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300" w:space="720"/>
            <w:col w:w="3220"/>
          </w:cols>
          <w:pgMar w:left="320" w:top="1084"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30"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5" w:lineRule="exact"/>
        <w:rPr>
          <w:sz w:val="24"/>
          <w:szCs w:val="24"/>
          <w:color w:val="auto"/>
        </w:rPr>
      </w:pPr>
    </w:p>
    <w:p>
      <w:pPr>
        <w:sectPr>
          <w:pgSz w:w="11900" w:h="16838" w:orient="portrait"/>
          <w:cols w:equalWidth="0" w:num="2">
            <w:col w:w="7160" w:space="720"/>
            <w:col w:w="336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260" w:space="720"/>
            <w:col w:w="1620" w:space="720"/>
            <w:col w:w="3920"/>
          </w:cols>
          <w:pgMar w:left="320" w:top="1084" w:right="339" w:bottom="1440" w:gutter="0" w:footer="0" w:header="0"/>
          <w:type w:val="continuous"/>
        </w:sectPr>
      </w:pPr>
    </w:p>
    <w:p>
      <w:pPr>
        <w:spacing w:after="0" w:line="2" w:lineRule="exact"/>
        <w:rPr>
          <w:sz w:val="24"/>
          <w:szCs w:val="24"/>
          <w:color w:val="auto"/>
        </w:rPr>
      </w:pPr>
    </w:p>
    <w:p>
      <w:pPr>
        <w:ind w:right="3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tbl>
      <w:tblPr>
        <w:tblLayout w:type="fixed"/>
        <w:tblInd w:w="0" w:type="dxa"/>
        <w:tblCellMar>
          <w:top w:w="0" w:type="dxa"/>
          <w:left w:w="0" w:type="dxa"/>
          <w:bottom w:w="0" w:type="dxa"/>
          <w:right w:w="0" w:type="dxa"/>
        </w:tblCellMar>
      </w:tblPr>
      <w:tr>
        <w:trPr>
          <w:trHeight w:val="254"/>
        </w:trPr>
        <w:tc>
          <w:tcPr>
            <w:tcW w:w="770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40" w:type="dxa"/>
            <w:vAlign w:val="bottom"/>
          </w:tcPr>
          <w:p>
            <w:pPr>
              <w:ind w:left="3120"/>
              <w:spacing w:after="0" w:line="161" w:lineRule="exact"/>
              <w:rPr>
                <w:sz w:val="20"/>
                <w:szCs w:val="20"/>
                <w:color w:val="auto"/>
              </w:rPr>
            </w:pPr>
            <w:r>
              <w:rPr>
                <w:rFonts w:ascii="MS PGothic" w:cs="MS PGothic" w:eastAsia="MS PGothic" w:hAnsi="MS PGothic"/>
                <w:sz w:val="16"/>
                <w:szCs w:val="16"/>
                <w:color w:val="auto"/>
              </w:rPr>
              <w:t>☐</w:t>
            </w:r>
          </w:p>
        </w:tc>
      </w:tr>
      <w:tr>
        <w:trPr>
          <w:trHeight w:val="194"/>
        </w:trPr>
        <w:tc>
          <w:tcPr>
            <w:tcW w:w="770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40" w:type="dxa"/>
            <w:vAlign w:val="bottom"/>
          </w:tcPr>
          <w:p>
            <w:pPr>
              <w:spacing w:after="0"/>
              <w:rPr>
                <w:sz w:val="16"/>
                <w:szCs w:val="16"/>
                <w:color w:val="auto"/>
              </w:rPr>
            </w:pPr>
          </w:p>
        </w:tc>
      </w:tr>
      <w:tr>
        <w:trPr>
          <w:trHeight w:val="254"/>
        </w:trPr>
        <w:tc>
          <w:tcPr>
            <w:tcW w:w="77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40" w:type="dxa"/>
            <w:vAlign w:val="bottom"/>
          </w:tcPr>
          <w:p>
            <w:pPr>
              <w:spacing w:after="0"/>
              <w:rPr>
                <w:sz w:val="22"/>
                <w:szCs w:val="22"/>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16"/>
                <w:szCs w:val="16"/>
                <w:color w:val="auto"/>
                <w:w w:val="97"/>
              </w:rPr>
              <w:t>Indicate the number of shares outstanding of each of the issuer’s classes of common stock, as of July 29, 2021:</w:t>
            </w:r>
          </w:p>
        </w:tc>
        <w:tc>
          <w:tcPr>
            <w:tcW w:w="3540" w:type="dxa"/>
            <w:vAlign w:val="bottom"/>
          </w:tcPr>
          <w:p>
            <w:pPr>
              <w:spacing w:after="0"/>
              <w:rPr>
                <w:sz w:val="24"/>
                <w:szCs w:val="24"/>
                <w:color w:val="auto"/>
              </w:rPr>
            </w:pPr>
          </w:p>
        </w:tc>
      </w:tr>
      <w:tr>
        <w:trPr>
          <w:trHeight w:val="230"/>
        </w:trPr>
        <w:tc>
          <w:tcPr>
            <w:tcW w:w="7700" w:type="dxa"/>
            <w:vAlign w:val="bottom"/>
          </w:tcPr>
          <w:p>
            <w:pPr>
              <w:ind w:left="2600"/>
              <w:spacing w:after="0"/>
              <w:rPr>
                <w:sz w:val="20"/>
                <w:szCs w:val="20"/>
                <w:color w:val="auto"/>
              </w:rPr>
            </w:pPr>
            <w:r>
              <w:rPr>
                <w:rFonts w:ascii="Arial" w:cs="Arial" w:eastAsia="Arial" w:hAnsi="Arial"/>
                <w:sz w:val="16"/>
                <w:szCs w:val="16"/>
                <w:color w:val="auto"/>
              </w:rPr>
              <w:t>Class</w:t>
            </w:r>
          </w:p>
        </w:tc>
        <w:tc>
          <w:tcPr>
            <w:tcW w:w="3540" w:type="dxa"/>
            <w:vAlign w:val="bottom"/>
          </w:tcPr>
          <w:p>
            <w:pPr>
              <w:jc w:val="center"/>
              <w:ind w:right="1979"/>
              <w:spacing w:after="0"/>
              <w:rPr>
                <w:sz w:val="20"/>
                <w:szCs w:val="20"/>
                <w:color w:val="auto"/>
              </w:rPr>
            </w:pPr>
            <w:r>
              <w:rPr>
                <w:rFonts w:ascii="Arial" w:cs="Arial" w:eastAsia="Arial" w:hAnsi="Arial"/>
                <w:sz w:val="16"/>
                <w:szCs w:val="16"/>
                <w:color w:val="auto"/>
                <w:w w:val="92"/>
              </w:rPr>
              <w:t>Outstanding</w:t>
            </w:r>
          </w:p>
        </w:tc>
      </w:tr>
      <w:tr>
        <w:trPr>
          <w:trHeight w:val="216"/>
        </w:trPr>
        <w:tc>
          <w:tcPr>
            <w:tcW w:w="770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40" w:type="dxa"/>
            <w:vAlign w:val="bottom"/>
          </w:tcPr>
          <w:p>
            <w:pPr>
              <w:jc w:val="right"/>
              <w:ind w:right="2359"/>
              <w:spacing w:after="0"/>
              <w:rPr>
                <w:sz w:val="20"/>
                <w:szCs w:val="20"/>
                <w:color w:val="auto"/>
              </w:rPr>
            </w:pPr>
            <w:r>
              <w:rPr>
                <w:rFonts w:ascii="Arial" w:cs="Arial" w:eastAsia="Arial" w:hAnsi="Arial"/>
                <w:sz w:val="16"/>
                <w:szCs w:val="16"/>
                <w:color w:val="auto"/>
              </w:rPr>
              <w:t>66,461,677</w:t>
            </w:r>
          </w:p>
        </w:tc>
      </w:tr>
      <w:tr>
        <w:trPr>
          <w:trHeight w:val="1350"/>
        </w:trPr>
        <w:tc>
          <w:tcPr>
            <w:tcW w:w="7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tcPr>
          <w:p>
            <w:pPr>
              <w:ind w:left="2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 xml:space="preserve">Condensed Consolidated Statements of Operations for the three-month and </w:t>
              </w:r>
            </w:hyperlink>
            <w:r>
              <w:rPr>
                <w:rFonts w:ascii="Arial" w:cs="Arial" w:eastAsia="Arial" w:hAnsi="Arial"/>
                <w:sz w:val="18"/>
                <w:szCs w:val="18"/>
                <w:color w:val="auto"/>
                <w:w w:val="91"/>
              </w:rPr>
              <w:t xml:space="preserve">six-month </w:t>
            </w:r>
            <w:hyperlink w:anchor="page3">
              <w:r>
                <w:rPr>
                  <w:rFonts w:ascii="Arial" w:cs="Arial" w:eastAsia="Arial" w:hAnsi="Arial"/>
                  <w:sz w:val="18"/>
                  <w:szCs w:val="18"/>
                  <w:color w:val="auto"/>
                  <w:w w:val="91"/>
                </w:rPr>
                <w:t xml:space="preserve">periods ended </w:t>
              </w:r>
            </w:hyperlink>
            <w:r>
              <w:rPr>
                <w:rFonts w:ascii="Arial" w:cs="Arial" w:eastAsia="Arial" w:hAnsi="Arial"/>
                <w:sz w:val="18"/>
                <w:szCs w:val="18"/>
                <w:color w:val="auto"/>
                <w:w w:val="91"/>
              </w:rPr>
              <w:t xml:space="preserve">June 30, 2021 </w:t>
            </w:r>
            <w:hyperlink w:anchor="page3">
              <w:r>
                <w:rPr>
                  <w:rFonts w:ascii="Arial" w:cs="Arial" w:eastAsia="Arial" w:hAnsi="Arial"/>
                  <w:sz w:val="18"/>
                  <w:szCs w:val="18"/>
                  <w:color w:val="auto"/>
                  <w:w w:val="91"/>
                </w:rPr>
                <w:t xml:space="preserve">and </w:t>
              </w:r>
            </w:hyperlink>
            <w:r>
              <w:rPr>
                <w:rFonts w:ascii="Arial" w:cs="Arial" w:eastAsia="Arial" w:hAnsi="Arial"/>
                <w:sz w:val="18"/>
                <w:szCs w:val="18"/>
                <w:color w:val="auto"/>
                <w:w w:val="91"/>
              </w:rPr>
              <w:t>2020</w:t>
            </w:r>
          </w:p>
        </w:tc>
        <w:tc>
          <w:tcPr>
            <w:tcW w:w="8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440" w:type="dxa"/>
            <w:vAlign w:val="bottom"/>
          </w:tcPr>
          <w:p>
            <w:pPr>
              <w:ind w:left="200"/>
              <w:spacing w:after="0"/>
              <w:rPr>
                <w:rFonts w:ascii="Arial" w:cs="Arial" w:eastAsia="Arial" w:hAnsi="Arial"/>
                <w:sz w:val="18"/>
                <w:szCs w:val="18"/>
                <w:color w:val="auto"/>
                <w:w w:val="89"/>
              </w:rPr>
            </w:pPr>
            <w:hyperlink w:anchor="page3">
              <w:r>
                <w:rPr>
                  <w:rFonts w:ascii="Arial" w:cs="Arial" w:eastAsia="Arial" w:hAnsi="Arial"/>
                  <w:sz w:val="18"/>
                  <w:szCs w:val="18"/>
                  <w:color w:val="auto"/>
                  <w:w w:val="89"/>
                </w:rPr>
                <w:t xml:space="preserve">Condensed Consolidated Statements of Comprehensive Income for the three-month and </w:t>
              </w:r>
            </w:hyperlink>
            <w:r>
              <w:rPr>
                <w:rFonts w:ascii="Arial" w:cs="Arial" w:eastAsia="Arial" w:hAnsi="Arial"/>
                <w:sz w:val="18"/>
                <w:szCs w:val="18"/>
                <w:color w:val="auto"/>
                <w:w w:val="89"/>
              </w:rPr>
              <w:t xml:space="preserve">six-month </w:t>
            </w:r>
            <w:hyperlink w:anchor="page3">
              <w:r>
                <w:rPr>
                  <w:rFonts w:ascii="Arial" w:cs="Arial" w:eastAsia="Arial" w:hAnsi="Arial"/>
                  <w:sz w:val="18"/>
                  <w:szCs w:val="18"/>
                  <w:color w:val="auto"/>
                  <w:w w:val="89"/>
                </w:rPr>
                <w:t xml:space="preserve">periods ended </w:t>
              </w:r>
            </w:hyperlink>
            <w:r>
              <w:rPr>
                <w:rFonts w:ascii="Arial" w:cs="Arial" w:eastAsia="Arial" w:hAnsi="Arial"/>
                <w:sz w:val="18"/>
                <w:szCs w:val="18"/>
                <w:color w:val="auto"/>
                <w:w w:val="89"/>
              </w:rPr>
              <w:t>June 30, 2021</w:t>
            </w:r>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440" w:type="dxa"/>
            <w:vAlign w:val="bottom"/>
          </w:tcPr>
          <w:p>
            <w:pPr>
              <w:ind w:left="20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June 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8"/>
              </w:rPr>
            </w:pPr>
            <w:hyperlink w:anchor="page5">
              <w:r>
                <w:rPr>
                  <w:rFonts w:ascii="Arial" w:cs="Arial" w:eastAsia="Arial" w:hAnsi="Arial"/>
                  <w:sz w:val="18"/>
                  <w:szCs w:val="18"/>
                  <w:color w:val="auto"/>
                  <w:w w:val="98"/>
                </w:rPr>
                <w:t xml:space="preserve">Condensed Consolidated Statement of Stockholders' Equity for the </w:t>
              </w:r>
            </w:hyperlink>
            <w:r>
              <w:rPr>
                <w:rFonts w:ascii="Arial" w:cs="Arial" w:eastAsia="Arial" w:hAnsi="Arial"/>
                <w:sz w:val="18"/>
                <w:szCs w:val="18"/>
                <w:color w:val="auto"/>
                <w:w w:val="98"/>
              </w:rPr>
              <w:t xml:space="preserve">six-month </w:t>
            </w:r>
            <w:hyperlink w:anchor="page5">
              <w:r>
                <w:rPr>
                  <w:rFonts w:ascii="Arial" w:cs="Arial" w:eastAsia="Arial" w:hAnsi="Arial"/>
                  <w:sz w:val="18"/>
                  <w:szCs w:val="18"/>
                  <w:color w:val="auto"/>
                  <w:w w:val="98"/>
                </w:rPr>
                <w:t xml:space="preserve">periods ending </w:t>
              </w:r>
            </w:hyperlink>
            <w:r>
              <w:rPr>
                <w:rFonts w:ascii="Arial" w:cs="Arial" w:eastAsia="Arial" w:hAnsi="Arial"/>
                <w:sz w:val="18"/>
                <w:szCs w:val="18"/>
                <w:color w:val="auto"/>
                <w:w w:val="98"/>
              </w:rPr>
              <w:t xml:space="preserve">June 30, 2021 </w:t>
            </w:r>
            <w:hyperlink w:anchor="page5">
              <w:r>
                <w:rPr>
                  <w:rFonts w:ascii="Arial" w:cs="Arial" w:eastAsia="Arial" w:hAnsi="Arial"/>
                  <w:sz w:val="18"/>
                  <w:szCs w:val="18"/>
                  <w:color w:val="auto"/>
                  <w:w w:val="98"/>
                </w:rPr>
                <w:t xml:space="preserve">and </w:t>
              </w:r>
            </w:hyperlink>
            <w:r>
              <w:rPr>
                <w:rFonts w:ascii="Arial" w:cs="Arial" w:eastAsia="Arial" w:hAnsi="Arial"/>
                <w:sz w:val="18"/>
                <w:szCs w:val="18"/>
                <w:color w:val="auto"/>
                <w:w w:val="98"/>
              </w:rPr>
              <w:t>2020</w:t>
            </w:r>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Condensed Consolidated Statements of Cash Flows for the </w:t>
              </w:r>
            </w:hyperlink>
            <w:r>
              <w:rPr>
                <w:rFonts w:ascii="Arial" w:cs="Arial" w:eastAsia="Arial" w:hAnsi="Arial"/>
                <w:sz w:val="18"/>
                <w:szCs w:val="18"/>
                <w:color w:val="auto"/>
              </w:rPr>
              <w:t xml:space="preserve">six-month </w:t>
            </w:r>
            <w:hyperlink w:anchor="page6">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June 30, 2021 </w:t>
            </w:r>
            <w:hyperlink w:anchor="page6">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24">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9440" w:type="dxa"/>
            <w:vAlign w:val="bottom"/>
          </w:tcPr>
          <w:p>
            <w:pPr>
              <w:ind w:left="20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1A.</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9440" w:type="dxa"/>
            <w:vAlign w:val="bottom"/>
            <w:vMerge w:val="restart"/>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Defaults Upon Senior Securities</w:t>
              </w:r>
            </w:hyperlink>
          </w:p>
        </w:tc>
        <w:tc>
          <w:tcPr>
            <w:tcW w:w="880" w:type="dxa"/>
            <w:vAlign w:val="bottom"/>
            <w:vMerge w:val="restart"/>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5.</w:t>
              </w:r>
            </w:hyperlink>
          </w:p>
        </w:tc>
        <w:tc>
          <w:tcPr>
            <w:tcW w:w="9440" w:type="dxa"/>
            <w:vAlign w:val="bottom"/>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6.</w:t>
              </w:r>
            </w:hyperlink>
          </w:p>
        </w:tc>
        <w:tc>
          <w:tcPr>
            <w:tcW w:w="9440" w:type="dxa"/>
            <w:vAlign w:val="bottom"/>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Exhibits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5460"/>
        <w:spacing w:after="0"/>
        <w:tabs>
          <w:tab w:leader="none" w:pos="702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23495</wp:posOffset>
            </wp:positionV>
            <wp:extent cx="1937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2"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48" w:lineRule="exact"/>
        <w:rPr>
          <w:sz w:val="20"/>
          <w:szCs w:val="20"/>
          <w:color w:val="auto"/>
        </w:rPr>
      </w:pPr>
    </w:p>
    <w:p>
      <w:pPr>
        <w:sectPr>
          <w:pgSz w:w="11900" w:h="16838" w:orient="portrait"/>
          <w:cols w:equalWidth="0" w:num="2">
            <w:col w:w="8060" w:space="720"/>
            <w:col w:w="246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8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Store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Rentals and fees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1,102,737</w:t>
            </w:r>
          </w:p>
        </w:tc>
        <w:tc>
          <w:tcPr>
            <w:tcW w:w="0" w:type="dxa"/>
            <w:vAlign w:val="bottom"/>
          </w:tcPr>
          <w:p>
            <w:pPr>
              <w:spacing w:after="0"/>
              <w:rPr>
                <w:sz w:val="1"/>
                <w:szCs w:val="1"/>
                <w:color w:val="auto"/>
              </w:rPr>
            </w:pPr>
          </w:p>
        </w:tc>
      </w:tr>
      <w:tr>
        <w:trPr>
          <w:trHeight w:val="229"/>
        </w:trPr>
        <w:tc>
          <w:tcPr>
            <w:tcW w:w="4880" w:type="dxa"/>
            <w:vAlign w:val="bottom"/>
          </w:tcPr>
          <w:p>
            <w:pPr>
              <w:ind w:left="6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221,229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108,080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209,460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Installment sales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store 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661,235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1,346,084</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Franchise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sales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Royalty income and fees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683,746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1,385,685</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680"/>
              <w:spacing w:after="0"/>
              <w:rPr>
                <w:sz w:val="20"/>
                <w:szCs w:val="20"/>
                <w:color w:val="auto"/>
              </w:rPr>
            </w:pPr>
            <w:r>
              <w:rPr>
                <w:rFonts w:ascii="Arial" w:cs="Arial" w:eastAsia="Arial" w:hAnsi="Arial"/>
                <w:sz w:val="18"/>
                <w:szCs w:val="18"/>
                <w:color w:val="auto"/>
              </w:rPr>
              <w:t>Cost of rentals and fees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320,873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157,124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567,908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322,579</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merchandise sold</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201,717</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Cost of installment sales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cost of store 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266,176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535,413</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Franchise cost of merchandise sold</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30,562</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1,132,762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565,975</w:t>
            </w:r>
          </w:p>
        </w:tc>
        <w:tc>
          <w:tcPr>
            <w:tcW w:w="0" w:type="dxa"/>
            <w:vAlign w:val="bottom"/>
          </w:tcPr>
          <w:p>
            <w:pPr>
              <w:spacing w:after="0"/>
              <w:rPr>
                <w:sz w:val="1"/>
                <w:szCs w:val="1"/>
                <w:color w:val="auto"/>
              </w:rPr>
            </w:pPr>
          </w:p>
        </w:tc>
      </w:tr>
      <w:tr>
        <w:trPr>
          <w:trHeight w:val="223"/>
        </w:trPr>
        <w:tc>
          <w:tcPr>
            <w:tcW w:w="488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399,532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1,097,995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819,710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Store expenses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Labor</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283,723</w:t>
            </w:r>
          </w:p>
        </w:tc>
        <w:tc>
          <w:tcPr>
            <w:tcW w:w="0" w:type="dxa"/>
            <w:vAlign w:val="bottom"/>
          </w:tcPr>
          <w:p>
            <w:pPr>
              <w:spacing w:after="0"/>
              <w:rPr>
                <w:sz w:val="1"/>
                <w:szCs w:val="1"/>
                <w:color w:val="auto"/>
              </w:rPr>
            </w:pPr>
          </w:p>
        </w:tc>
      </w:tr>
      <w:tr>
        <w:trPr>
          <w:trHeight w:val="230"/>
        </w:trPr>
        <w:tc>
          <w:tcPr>
            <w:tcW w:w="4880" w:type="dxa"/>
            <w:vAlign w:val="bottom"/>
          </w:tcPr>
          <w:p>
            <w:pPr>
              <w:ind w:left="680"/>
              <w:spacing w:after="0"/>
              <w:rPr>
                <w:sz w:val="20"/>
                <w:szCs w:val="20"/>
                <w:color w:val="auto"/>
              </w:rPr>
            </w:pPr>
            <w:r>
              <w:rPr>
                <w:rFonts w:ascii="Arial" w:cs="Arial" w:eastAsia="Arial" w:hAnsi="Arial"/>
                <w:sz w:val="18"/>
                <w:szCs w:val="18"/>
                <w:color w:val="auto"/>
              </w:rPr>
              <w:t>Other store expenses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351,145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322,474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72,118</w:t>
            </w: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29,261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345,897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717,200</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102,510</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Debt refinancing charges</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Earnings before income taxes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94,311</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38,493</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16" w:lineRule="exact"/>
        <w:rPr>
          <w:sz w:val="20"/>
          <w:szCs w:val="20"/>
          <w:color w:val="auto"/>
        </w:rPr>
      </w:pPr>
    </w:p>
    <w:p>
      <w:pPr>
        <w:ind w:left="550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38100</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5" w:lineRule="exact"/>
        <w:rPr>
          <w:sz w:val="20"/>
          <w:szCs w:val="20"/>
          <w:color w:val="auto"/>
        </w:rPr>
      </w:pPr>
    </w:p>
    <w:p>
      <w:pPr>
        <w:ind w:left="5500"/>
        <w:spacing w:after="0"/>
        <w:tabs>
          <w:tab w:leader="none" w:pos="704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23495</wp:posOffset>
            </wp:positionV>
            <wp:extent cx="1920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2"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37" w:lineRule="exact"/>
        <w:rPr>
          <w:sz w:val="20"/>
          <w:szCs w:val="20"/>
          <w:color w:val="auto"/>
        </w:rPr>
      </w:pPr>
    </w:p>
    <w:p>
      <w:pPr>
        <w:sectPr>
          <w:pgSz w:w="11900" w:h="16838" w:orient="portrait"/>
          <w:cols w:equalWidth="0" w:num="2">
            <w:col w:w="8080" w:space="720"/>
            <w:col w:w="244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38,493</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87,785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Foreign currency translation adjustments, net of tax of $238</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and $5, $11 and $(1,034) for the three and six</w:t>
            </w: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w w:val="94"/>
              </w:rPr>
              <w:t>(3,889)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months ended June 30, 2021 and 2020, respectively</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4"/>
              </w:rPr>
              <w:t>(3,889)</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8"/>
              </w:rPr>
              <w:t>83,896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145,072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159,449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Receivables, net of allowance for doubtful accounts of $7,763 and $8,047 in 2021 and 2020, respectively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90,003</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On 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1,122,057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762,886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for 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146,266</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Property assets, net of accumulated depreciation of $530,137 and $505,074 in 2021 and 2020, respectively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141,641</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283,422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23"/>
        </w:trPr>
        <w:tc>
          <w:tcPr>
            <w:tcW w:w="778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174,056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186,063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320,583</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299,537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285,354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176,410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842,047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190,490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2,210,138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1,158,900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$0.01 par value; 250,000,000 shares authorized; 124,347,073 and 112,180,517 shares</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issued in June 30, 2021 and December 31, 2020, respectively</w:t>
            </w: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886,902</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1,153,672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1,091,010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 57,891,859 shares in June 30, 2021 and December 31, 2020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(1,375,541)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592,080</w:t>
            </w:r>
          </w:p>
        </w:tc>
        <w:tc>
          <w:tcPr>
            <w:tcW w:w="0" w:type="dxa"/>
            <w:vAlign w:val="bottom"/>
          </w:tcPr>
          <w:p>
            <w:pPr>
              <w:spacing w:after="0"/>
              <w:rPr>
                <w:sz w:val="1"/>
                <w:szCs w:val="1"/>
                <w:color w:val="auto"/>
              </w:rPr>
            </w:pPr>
          </w:p>
        </w:tc>
      </w:tr>
      <w:tr>
        <w:trPr>
          <w:trHeight w:val="223"/>
        </w:trPr>
        <w:tc>
          <w:tcPr>
            <w:tcW w:w="778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tcPr>
          <w:p>
            <w:pPr>
              <w:jc w:val="right"/>
              <w:ind w:right="60"/>
              <w:spacing w:after="0" w:line="115" w:lineRule="exact"/>
              <w:rPr>
                <w:sz w:val="20"/>
                <w:szCs w:val="20"/>
                <w:color w:val="auto"/>
              </w:rPr>
            </w:pPr>
            <w:r>
              <w:rPr>
                <w:rFonts w:ascii="Arial" w:cs="Arial" w:eastAsia="Arial" w:hAnsi="Arial"/>
                <w:sz w:val="13"/>
                <w:szCs w:val="13"/>
                <w:b w:val="1"/>
                <w:bCs w:val="1"/>
                <w:color w:val="auto"/>
              </w:rPr>
              <w:t>Accumulated Other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8"/>
              </w:rPr>
              <w:t>Comprehensive Loss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9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112,181</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886,902</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1,091,010</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(1,375,541)</w:t>
            </w:r>
          </w:p>
        </w:tc>
        <w:tc>
          <w:tcPr>
            <w:tcW w:w="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(11,396)</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6"/>
                <w:szCs w:val="16"/>
                <w:color w:val="auto"/>
              </w:rPr>
              <w:t>Net earnings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330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9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(20,910)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(20,903)</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980" w:type="dxa"/>
            <w:vAlign w:val="bottom"/>
            <w:gridSpan w:val="2"/>
            <w:shd w:val="clear" w:color="auto" w:fill="CCEEFF"/>
          </w:tcPr>
          <w:p>
            <w:pPr>
              <w:ind w:left="140"/>
              <w:spacing w:after="0" w:line="213" w:lineRule="exact"/>
              <w:rPr>
                <w:sz w:val="20"/>
                <w:szCs w:val="20"/>
                <w:color w:val="auto"/>
              </w:rPr>
            </w:pPr>
            <w:r>
              <w:rPr>
                <w:rFonts w:ascii="Arial" w:cs="Arial" w:eastAsia="Arial" w:hAnsi="Arial"/>
                <w:sz w:val="16"/>
                <w:szCs w:val="16"/>
                <w:color w:val="auto"/>
              </w:rPr>
              <w:t>shares withheld for employee taxes</w:t>
            </w:r>
            <w:r>
              <w:rPr>
                <w:rFonts w:ascii="Arial" w:cs="Arial" w:eastAsia="Arial" w:hAnsi="Arial"/>
                <w:sz w:val="21"/>
                <w:szCs w:val="21"/>
                <w:color w:val="auto"/>
                <w:vertAlign w:val="superscript"/>
              </w:rPr>
              <w:t>(1)</w:t>
            </w: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20,148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(20,722)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Acima acquisition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120,914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120,941</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124,193</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1,015,995</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1,112,840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(1,375,541)</w:t>
            </w:r>
          </w:p>
        </w:tc>
        <w:tc>
          <w:tcPr>
            <w:tcW w:w="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(12,249)</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6"/>
                <w:szCs w:val="16"/>
                <w:color w:val="auto"/>
              </w:rPr>
              <w:t>Net earnings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61,309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9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(20,477)</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860" w:type="dxa"/>
            <w:vAlign w:val="bottom"/>
          </w:tcPr>
          <w:p>
            <w:pPr>
              <w:jc w:val="right"/>
              <w:spacing w:after="0"/>
              <w:rPr>
                <w:sz w:val="20"/>
                <w:szCs w:val="20"/>
                <w:color w:val="auto"/>
              </w:rPr>
            </w:pPr>
            <w:r>
              <w:rPr>
                <w:rFonts w:ascii="Arial" w:cs="Arial" w:eastAsia="Arial" w:hAnsi="Arial"/>
                <w:sz w:val="16"/>
                <w:szCs w:val="16"/>
                <w:color w:val="auto"/>
              </w:rPr>
              <w:t>124,347</w:t>
            </w:r>
          </w:p>
        </w:tc>
        <w:tc>
          <w:tcPr>
            <w:tcW w:w="6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1,144</w:t>
            </w:r>
          </w:p>
        </w:tc>
        <w:tc>
          <w:tcPr>
            <w:tcW w:w="6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1,057,242</w:t>
            </w:r>
          </w:p>
        </w:tc>
        <w:tc>
          <w:tcPr>
            <w:tcW w:w="6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1,153,672</w:t>
            </w:r>
          </w:p>
        </w:tc>
        <w:tc>
          <w:tcPr>
            <w:tcW w:w="6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(1,375,541)</w:t>
            </w:r>
          </w:p>
        </w:tc>
        <w:tc>
          <w:tcPr>
            <w:tcW w:w="4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(11,353)</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825,164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000" w:type="dxa"/>
            <w:vAlign w:val="bottom"/>
            <w:gridSpan w:val="10"/>
          </w:tcPr>
          <w:p>
            <w:pPr>
              <w:spacing w:after="0"/>
              <w:rPr>
                <w:sz w:val="20"/>
                <w:szCs w:val="20"/>
                <w:color w:val="auto"/>
              </w:rPr>
            </w:pPr>
            <w:r>
              <w:rPr>
                <w:rFonts w:ascii="Arial" w:cs="Arial" w:eastAsia="Arial" w:hAnsi="Arial"/>
                <w:sz w:val="16"/>
                <w:szCs w:val="16"/>
                <w:color w:val="auto"/>
                <w:w w:val="93"/>
                <w:vertAlign w:val="superscript"/>
              </w:rPr>
              <w:t>(1)</w:t>
            </w:r>
            <w:r>
              <w:rPr>
                <w:rFonts w:ascii="Arial" w:cs="Arial" w:eastAsia="Arial" w:hAnsi="Arial"/>
                <w:sz w:val="13"/>
                <w:szCs w:val="13"/>
                <w:color w:val="auto"/>
                <w:w w:val="93"/>
              </w:rPr>
              <w:t>Includes shares released from escrow related to the 2019 Merchant's Preferred acquisition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7"/>
          </w:tcPr>
          <w:p>
            <w:pPr>
              <w:ind w:left="4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3"/>
                <w:szCs w:val="3"/>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Comprehensive Loss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ind w:left="6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111,166</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869,617</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947,875</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(1,348,969)</w:t>
            </w:r>
          </w:p>
        </w:tc>
        <w:tc>
          <w:tcPr>
            <w:tcW w:w="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80"/>
              <w:spacing w:after="0"/>
              <w:rPr>
                <w:sz w:val="20"/>
                <w:szCs w:val="20"/>
                <w:color w:val="auto"/>
              </w:rPr>
            </w:pPr>
            <w:r>
              <w:rPr>
                <w:rFonts w:ascii="Arial" w:cs="Arial" w:eastAsia="Arial" w:hAnsi="Arial"/>
                <w:sz w:val="16"/>
                <w:szCs w:val="16"/>
                <w:color w:val="auto"/>
              </w:rPr>
              <w:t>ASC 326 adoption</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earnings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8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Purchase of treasury stock</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8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6"/>
                <w:szCs w:val="16"/>
                <w:color w:val="auto"/>
              </w:rPr>
              <w:t>Vesting of restricted share units, net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shares withheld for employee taxes</w:t>
            </w: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Stock-based compensation</w:t>
            </w: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3,043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111,669</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868,580</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996,398</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(1,375,480)</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(14,576)</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80"/>
              <w:spacing w:after="0"/>
              <w:rPr>
                <w:sz w:val="20"/>
                <w:szCs w:val="20"/>
                <w:color w:val="auto"/>
              </w:rPr>
            </w:pPr>
            <w:r>
              <w:rPr>
                <w:rFonts w:ascii="Arial" w:cs="Arial" w:eastAsia="Arial" w:hAnsi="Arial"/>
                <w:sz w:val="16"/>
                <w:szCs w:val="16"/>
                <w:color w:val="auto"/>
              </w:rPr>
              <w:t>Net earnings</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80" w:type="dxa"/>
            <w:vAlign w:val="bottom"/>
            <w:gridSpan w:val="2"/>
          </w:tcPr>
          <w:p>
            <w:pPr>
              <w:ind w:left="8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Dividends declared</w:t>
            </w: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111,711</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871,915</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1,003,599</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(1,375,480)</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67"/>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87,785</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Depreciation of rental merchandise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310,810</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5,892</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of property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28,706</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Loss on sale or disposal of property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Amortization of financing fees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Write-off of debt financing fees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Rental merchandise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(211,865)</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12,190</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right-of-use assets and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Accounts payable – trade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(22,250)</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27,543</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254,719</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Purchase of property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(14,750)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assets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Hurricane insurance recovery proceeds</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businesses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(1,273,542)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(14,405)</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Share repurchases</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(26,511)</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Shares withheld for payment of employee tax withholdings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Proceeds from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198,000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debt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(31,554)</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(102,653)</w:t>
            </w:r>
          </w:p>
        </w:tc>
      </w:tr>
      <w:tr>
        <w:trPr>
          <w:trHeight w:val="230"/>
        </w:trPr>
        <w:tc>
          <w:tcPr>
            <w:tcW w:w="81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135,932</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70,494</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2020.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may affect certain estimates and assumptions inherent in the financial reporting process, which may impact reported amounts of assets and liabilities in future periods and cause actual results to differ from those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Acima (formerly Preferred Lease), Mexico and Franchising.</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Acima segment, which operates in the United States and Puerto Rico and which, includes the operations of Acima Holdings (as defined in Note 2 below) acquired in February 2021 and our Preferred Lease virtual and staffed locations, generally offers the lease-to-own transaction to consumers who do not qualify for financing from the traditional retailer. The Acima segment offers the lease-to-own transaction through our virtual offering solutions across e-commerce, digital, and mobile channels, and through staffed and unstaffed kiosks located within such retailer’s locations.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We adopted ASU 2019-12 beginning January 1, 2021 using a prospective approach. Impacts to our financial statements for the six months ended June 30, 2021 resulting from the adoption of this ASU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20, 2020, we entered into the Merger Agreement (the "Merger") with Radalta, LLC, a Utah limited liability company and wholly owned subsidiary of the company, Acima ("Acima Holdings"), and Aaron Allred, solely in his capacity as the representative of the former owners of Acima Holdings, providing for the merger of Radalta, LLC with and into Acima Holdings, with Acima Holdings surviving the Merger as a wholly owned subsidiary of the Company for total estimated consideration of $1.65 billion, including cash consideration of approximately $1.3 billion and approximately 10.8 million shares with an estimated value of approximately $377 million. On February 17, 2021, we completed the acquisition of the membership interest of Acima Holdings, LLC. Acima Holdings is a leading platform offering customers virtual lease-to-own solutions at the point-of-sale via web and mobile technology.</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former owners of Acima Holdings who are also employees of Acima Holdings is subject to restricted stock agreements providing vesting conditions over a 36-month period beginning upon closing of the Merger. The portion of the Aggregate Stock Consideration issued to nonemployee former owners of Acima Holdings is subject to the terms of an 18-month lockup agreement, pursuant to which one-third of the aggregate shares of our common stock received by a non-employee former owner in the Merger becomes transferable after each six-month period following the closing of the Merger. We entered into a Registration Rights Agreement, dated as of February 17, 2021, pursuant to which certain former owners of Acima are entitled to registration rights in respect of the portion of the Aggregate Stock Consideration received by them in the Merger.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purchase price was approximately $1.4 billion, including net cash consideration of approximately $1.3 billion, and 2,683,328 shares of the Aggregate Stock Consideration subject to 18-month lockup agreements valued at $51.14 per share, as of the date of closing, and adjusted by a discount for lack of marketability to account for the transfer restrictions in three tranches, each in 6-month intervals after the closing date. The Aggregate Cash Consideration for the acquisition was financed with a combination of cash on hand, borrowings under our ABL Credit Facility and proceeds from issuances under our Term Loan Facility, as defined in Note 7, in addition to proceeds from the issuance of new unsecured senior notes. See Note 7 and Note 8 for additional information.</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remaining 8,096,595 common shares included in the Aggregate Stock Consideration subject to restricted stock agreements and 36-month vesting conditions were valued at $414.1 million, as of the date of closing. These shares have been excluded from the aggregate purchase price and instead will be recognized as stock-based compensation expense subject to ASC Topic 718, “Stock-based Compensation” over the required vesting period, and recorded to Other charges in our unaudited Condensed Consolidated Statements of Operations. However, for tax purposes the value of Aggregate Stock Consideration subject to restricted stock agreements is treated as goodwill. In addition, the total value of the common shares subject to restricted stock agreements noted above, resulted in a decrease in the deferred tax liability included in the net assets acquired of approximately $103.5 million based on the fair value of the shares, as of the date of closing, multiplied by the blended federal and state statutory rate of approximately 24%, as included in the below net assets acquired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Assets acquired and liabilities assumed in connection with the acquisition have been recorded at their fair values. The following table provides the preliminary estimated fair values of the identifiable assets acquired and liabilities assumed as of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February 17, 2021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cash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stock consideration, subject to lockup agreements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120,929</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r>
        <w:trPr>
          <w:trHeight w:val="209"/>
        </w:trPr>
        <w:tc>
          <w:tcPr>
            <w:tcW w:w="9480" w:type="dxa"/>
            <w:vAlign w:val="bottom"/>
          </w:tcPr>
          <w:p>
            <w:pPr>
              <w:ind w:left="3920"/>
              <w:spacing w:after="0"/>
              <w:rPr>
                <w:sz w:val="20"/>
                <w:szCs w:val="20"/>
                <w:color w:val="auto"/>
              </w:rPr>
            </w:pPr>
            <w:r>
              <w:rPr>
                <w:rFonts w:ascii="Arial" w:cs="Arial" w:eastAsia="Arial" w:hAnsi="Arial"/>
                <w:sz w:val="18"/>
                <w:szCs w:val="18"/>
                <w:color w:val="auto"/>
              </w:rPr>
              <w:t>ASSETS ACQUIRED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net</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480" w:type="dxa"/>
            <w:vAlign w:val="bottom"/>
          </w:tcPr>
          <w:p>
            <w:pPr>
              <w:ind w:left="240"/>
              <w:spacing w:after="0"/>
              <w:rPr>
                <w:sz w:val="20"/>
                <w:szCs w:val="20"/>
                <w:color w:val="auto"/>
              </w:rPr>
            </w:pPr>
            <w:r>
              <w:rPr>
                <w:rFonts w:ascii="Arial" w:cs="Arial" w:eastAsia="Arial" w:hAnsi="Arial"/>
                <w:sz w:val="18"/>
                <w:szCs w:val="18"/>
                <w:color w:val="auto"/>
              </w:rPr>
              <w:t>On 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325,073</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273,793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520,000</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1,330,621</w:t>
            </w:r>
          </w:p>
        </w:tc>
      </w:tr>
      <w:tr>
        <w:trPr>
          <w:trHeight w:val="209"/>
        </w:trPr>
        <w:tc>
          <w:tcPr>
            <w:tcW w:w="9480" w:type="dxa"/>
            <w:vAlign w:val="bottom"/>
          </w:tcPr>
          <w:p>
            <w:pPr>
              <w:ind w:left="3780"/>
              <w:spacing w:after="0"/>
              <w:rPr>
                <w:sz w:val="20"/>
                <w:szCs w:val="20"/>
                <w:color w:val="auto"/>
              </w:rPr>
            </w:pPr>
            <w:r>
              <w:rPr>
                <w:rFonts w:ascii="Arial" w:cs="Arial" w:eastAsia="Arial" w:hAnsi="Arial"/>
                <w:sz w:val="18"/>
                <w:szCs w:val="18"/>
                <w:color w:val="auto"/>
              </w:rPr>
              <w:t>LIABILITIES ASSUMED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 trade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23,677</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(112,960)</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(63,571)</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Total equity value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1,394,192</w:t>
            </w:r>
          </w:p>
        </w:tc>
      </w:tr>
    </w:tbl>
    <w:p>
      <w:pPr>
        <w:spacing w:after="0" w:line="7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Includes gross contractual receivables of $65.2 million related to merchandise lease contracts, of which we have estimated $35.5 million are uncollectible.</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Carrying value for assets and liabilities assumed as part of the acquisition, including receivables, prepaid expenses and other assets, rental merchandise,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842. The fair value measurements for acquired intangible assets and developed technology were primarily based on significant unobservable inputs (level 3) developed using company-specific information. Certain fair value estimates were determined based on an independent valuation of the net assets acquired, including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$520   million   of   identifiable   intangible   assets</w:t>
            </w:r>
          </w:p>
        </w:tc>
        <w:tc>
          <w:tcPr>
            <w:tcW w:w="2720" w:type="dxa"/>
            <w:vAlign w:val="bottom"/>
          </w:tcPr>
          <w:p>
            <w:pPr>
              <w:jc w:val="right"/>
              <w:ind w:right="30"/>
              <w:spacing w:after="0"/>
              <w:rPr>
                <w:sz w:val="20"/>
                <w:szCs w:val="20"/>
                <w:color w:val="auto"/>
              </w:rPr>
            </w:pPr>
            <w:r>
              <w:rPr>
                <w:rFonts w:ascii="Arial" w:cs="Arial" w:eastAsia="Arial" w:hAnsi="Arial"/>
                <w:sz w:val="18"/>
                <w:szCs w:val="18"/>
                <w:color w:val="auto"/>
              </w:rPr>
              <w:t>with   an   estimated   weighted</w:t>
            </w:r>
          </w:p>
        </w:tc>
        <w:tc>
          <w:tcPr>
            <w:tcW w:w="1980" w:type="dxa"/>
            <w:vAlign w:val="bottom"/>
          </w:tcPr>
          <w:p>
            <w:pPr>
              <w:jc w:val="right"/>
              <w:ind w:right="115"/>
              <w:spacing w:after="0"/>
              <w:rPr>
                <w:sz w:val="20"/>
                <w:szCs w:val="20"/>
                <w:color w:val="auto"/>
              </w:rPr>
            </w:pPr>
            <w:r>
              <w:rPr>
                <w:rFonts w:ascii="Arial" w:cs="Arial" w:eastAsia="Arial" w:hAnsi="Arial"/>
                <w:sz w:val="18"/>
                <w:szCs w:val="18"/>
                <w:color w:val="auto"/>
              </w:rPr>
              <w:t>average   useful   life</w:t>
            </w:r>
          </w:p>
        </w:tc>
        <w:tc>
          <w:tcPr>
            <w:tcW w:w="2320" w:type="dxa"/>
            <w:vAlign w:val="bottom"/>
          </w:tcPr>
          <w:p>
            <w:pPr>
              <w:jc w:val="center"/>
              <w:spacing w:after="0"/>
              <w:rPr>
                <w:sz w:val="20"/>
                <w:szCs w:val="20"/>
                <w:color w:val="auto"/>
              </w:rPr>
            </w:pPr>
            <w:r>
              <w:rPr>
                <w:rFonts w:ascii="Arial" w:cs="Arial" w:eastAsia="Arial" w:hAnsi="Arial"/>
                <w:sz w:val="18"/>
                <w:szCs w:val="18"/>
                <w:color w:val="auto"/>
              </w:rPr>
              <w:t>of   8   years,   as   follows:</w:t>
            </w:r>
          </w:p>
        </w:tc>
        <w:tc>
          <w:tcPr>
            <w:tcW w:w="0" w:type="dxa"/>
            <w:vAlign w:val="bottom"/>
          </w:tcPr>
          <w:p>
            <w:pPr>
              <w:spacing w:after="0"/>
              <w:rPr>
                <w:sz w:val="1"/>
                <w:szCs w:val="1"/>
                <w:color w:val="auto"/>
              </w:rPr>
            </w:pPr>
          </w:p>
        </w:tc>
      </w:tr>
      <w:tr>
        <w:trPr>
          <w:trHeight w:val="148"/>
        </w:trPr>
        <w:tc>
          <w:tcPr>
            <w:tcW w:w="422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Asset Class</w:t>
            </w:r>
          </w:p>
        </w:tc>
        <w:tc>
          <w:tcPr>
            <w:tcW w:w="2720" w:type="dxa"/>
            <w:vAlign w:val="bottom"/>
          </w:tcPr>
          <w:p>
            <w:pPr>
              <w:spacing w:after="0"/>
              <w:rPr>
                <w:sz w:val="12"/>
                <w:szCs w:val="12"/>
                <w:color w:val="auto"/>
              </w:rPr>
            </w:pPr>
          </w:p>
        </w:tc>
        <w:tc>
          <w:tcPr>
            <w:tcW w:w="1980" w:type="dxa"/>
            <w:vAlign w:val="bottom"/>
          </w:tcPr>
          <w:p>
            <w:pPr>
              <w:jc w:val="right"/>
              <w:ind w:right="355"/>
              <w:spacing w:after="0" w:line="148" w:lineRule="exact"/>
              <w:rPr>
                <w:sz w:val="20"/>
                <w:szCs w:val="20"/>
                <w:color w:val="auto"/>
              </w:rPr>
            </w:pPr>
            <w:r>
              <w:rPr>
                <w:rFonts w:ascii="Arial" w:cs="Arial" w:eastAsia="Arial" w:hAnsi="Arial"/>
                <w:sz w:val="14"/>
                <w:szCs w:val="14"/>
                <w:b w:val="1"/>
                <w:bCs w:val="1"/>
                <w:color w:val="auto"/>
              </w:rPr>
              <w:t>Estimated Fair Value</w:t>
            </w:r>
          </w:p>
        </w:tc>
        <w:tc>
          <w:tcPr>
            <w:tcW w:w="2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Estimated Remaining Useful Life (in</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2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Relationship with existing lessees</w:t>
            </w:r>
          </w:p>
        </w:tc>
        <w:tc>
          <w:tcPr>
            <w:tcW w:w="27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60,000</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7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7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40,000</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recorded goodwill of $273.8 million in our Acima operating segment, which consists of the excess of the net purchase price over the fair value of the net assets acquired and assembled workforce of $10 million. Goodwill represents expected cost and revenue synergies and other benefits expected to result within our retail partner business from the acquisition of Acima Holdings. The total value of goodwill for tax purposes, including our recorded goodwill, plus the value of Aggregate Stock Consideration subject to restricted stock agreements described above, and acquisition-related expenses described below, is fully deductible and will be amortized over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Acima Holdings results of operations are reflected in our unaudited condensed consolidated statements of operations from the date of acquisition.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2021, we recorded an adjustment to the fair value of rental merchandise reducing the value of the acquired assets by approximately $32.6 million with a corresponding increase to goodwill. The recorded adjustment was based on further assessment of the carrying value of the assets and corresponding evaluation of related (Level 2) market inputs. In connection with the adjustment to reduce the value of acquired rental merchandise we recorded a corresponding credit adjustment to rental merchandise depreciation of approximately $10.9 million, representing the period from the date of acquisition through June 30, 2021. The credit adjustment to rental merchandise depreciation is reflected in cost of rentals and fees in our condensed consolidated statement of operations.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do not anticipate additional adjustments to the above values, we are still in the process of finalizing our assessments of the preliminary purchase price allocation and will record any additional necessary adjustments to acquired assets and liabilities within the allowable measurement period.</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acquisition, we incurred approximately $23.2 million in acquisition-related expenses including expenses related to legal, professional, and banking transaction fees, which are treated as an addition to goodwill for tax purposes. In addition, we recognized a decrease in deferred tax liability included in the net assets acquired of $7.6 million related to these expenditures. These costs were included in Other charges in our unaudited Condensed Consolidated Statements of Operations.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 costs as of January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640" w:type="dxa"/>
            <w:vAlign w:val="bottom"/>
          </w:tcPr>
          <w:p>
            <w:pPr>
              <w:ind w:left="20"/>
              <w:spacing w:after="0"/>
              <w:rPr>
                <w:sz w:val="20"/>
                <w:szCs w:val="20"/>
                <w:color w:val="auto"/>
              </w:rPr>
            </w:pPr>
            <w:r>
              <w:rPr>
                <w:rFonts w:ascii="Arial" w:cs="Arial" w:eastAsia="Arial" w:hAnsi="Arial"/>
                <w:sz w:val="18"/>
                <w:szCs w:val="18"/>
                <w:color w:val="auto"/>
              </w:rPr>
              <w:t>The</w:t>
            </w:r>
          </w:p>
        </w:tc>
        <w:tc>
          <w:tcPr>
            <w:tcW w:w="1380" w:type="dxa"/>
            <w:vAlign w:val="bottom"/>
          </w:tcPr>
          <w:p>
            <w:pPr>
              <w:ind w:left="340"/>
              <w:spacing w:after="0"/>
              <w:rPr>
                <w:sz w:val="20"/>
                <w:szCs w:val="20"/>
                <w:color w:val="auto"/>
              </w:rPr>
            </w:pPr>
            <w:r>
              <w:rPr>
                <w:rFonts w:ascii="Arial" w:cs="Arial" w:eastAsia="Arial" w:hAnsi="Arial"/>
                <w:sz w:val="18"/>
                <w:szCs w:val="18"/>
                <w:color w:val="auto"/>
              </w:rPr>
              <w:t>unaudited</w:t>
            </w:r>
          </w:p>
        </w:tc>
        <w:tc>
          <w:tcPr>
            <w:tcW w:w="900" w:type="dxa"/>
            <w:vAlign w:val="bottom"/>
          </w:tcPr>
          <w:p>
            <w:pPr>
              <w:ind w:left="340"/>
              <w:spacing w:after="0"/>
              <w:rPr>
                <w:sz w:val="20"/>
                <w:szCs w:val="20"/>
                <w:color w:val="auto"/>
              </w:rPr>
            </w:pPr>
            <w:r>
              <w:rPr>
                <w:rFonts w:ascii="Arial" w:cs="Arial" w:eastAsia="Arial" w:hAnsi="Arial"/>
                <w:sz w:val="18"/>
                <w:szCs w:val="18"/>
                <w:color w:val="auto"/>
              </w:rPr>
              <w:t>pro</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forma</w:t>
            </w: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financial</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information</w:t>
            </w: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is</w:t>
            </w:r>
          </w:p>
        </w:tc>
        <w:tc>
          <w:tcPr>
            <w:tcW w:w="240" w:type="dxa"/>
            <w:vAlign w:val="bottom"/>
          </w:tcPr>
          <w:p>
            <w:pPr>
              <w:ind w:left="20"/>
              <w:spacing w:after="0"/>
              <w:rPr>
                <w:sz w:val="20"/>
                <w:szCs w:val="20"/>
                <w:color w:val="auto"/>
              </w:rPr>
            </w:pPr>
            <w:r>
              <w:rPr>
                <w:rFonts w:ascii="Arial" w:cs="Arial" w:eastAsia="Arial" w:hAnsi="Arial"/>
                <w:sz w:val="18"/>
                <w:szCs w:val="18"/>
                <w:color w:val="auto"/>
              </w:rPr>
              <w:t>as</w:t>
            </w:r>
          </w:p>
        </w:tc>
        <w:tc>
          <w:tcPr>
            <w:tcW w:w="1200" w:type="dxa"/>
            <w:vAlign w:val="bottom"/>
          </w:tcPr>
          <w:p>
            <w:pPr>
              <w:jc w:val="right"/>
              <w:spacing w:after="0"/>
              <w:rPr>
                <w:sz w:val="20"/>
                <w:szCs w:val="20"/>
                <w:color w:val="auto"/>
              </w:rPr>
            </w:pPr>
            <w:r>
              <w:rPr>
                <w:rFonts w:ascii="Arial" w:cs="Arial" w:eastAsia="Arial" w:hAnsi="Arial"/>
                <w:sz w:val="18"/>
                <w:szCs w:val="18"/>
                <w:color w:val="auto"/>
              </w:rPr>
              <w:t>follows:</w:t>
            </w:r>
          </w:p>
        </w:tc>
      </w:tr>
      <w:tr>
        <w:trPr>
          <w:trHeight w:val="195"/>
        </w:trPr>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78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8"/>
              </w:rPr>
              <w:t>(unaudited)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2"/>
              </w:rPr>
              <w:t>(unaudited)</w:t>
            </w: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color w:val="auto"/>
                <w:w w:val="89"/>
              </w:rPr>
              <w:t>Pro Forma total revenues</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1,193,975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982,266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2,425,361</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1,969,013</w:t>
            </w:r>
          </w:p>
        </w:tc>
      </w:tr>
      <w:tr>
        <w:trPr>
          <w:trHeight w:val="229"/>
        </w:trPr>
        <w:tc>
          <w:tcPr>
            <w:tcW w:w="1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87"/>
              </w:rPr>
              <w:t>Pro Forma net earnings</w:t>
            </w:r>
            <w:r>
              <w:rPr>
                <w:rFonts w:ascii="Arial" w:cs="Arial" w:eastAsia="Arial" w:hAnsi="Arial"/>
                <w:sz w:val="23"/>
                <w:szCs w:val="23"/>
                <w:color w:val="auto"/>
                <w:w w:val="87"/>
                <w:vertAlign w:val="superscript"/>
              </w:rPr>
              <w:t>(1)</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Total pro forma adjustments to net earnings represented an increase of $4.1 million for the three months ended June 30, 2021, a decrease of $106.2 million for the six months ended June 30,</w:t>
      </w:r>
    </w:p>
    <w:p>
      <w:pPr>
        <w:spacing w:after="0"/>
        <w:rPr>
          <w:sz w:val="20"/>
          <w:szCs w:val="20"/>
          <w:color w:val="auto"/>
        </w:rPr>
      </w:pPr>
      <w:r>
        <w:rPr>
          <w:rFonts w:ascii="Arial" w:cs="Arial" w:eastAsia="Arial" w:hAnsi="Arial"/>
          <w:sz w:val="14"/>
          <w:szCs w:val="14"/>
          <w:color w:val="auto"/>
        </w:rPr>
        <w:t>2021, and $71.7 million and $177.9 million for the three and six months ended June 30, 2020,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revenue and earnings of Acima Holdings included in our Condensed Consolidated Statements of Operations from the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940" w:type="dxa"/>
            <w:vAlign w:val="bottom"/>
          </w:tcPr>
          <w:p>
            <w:pPr>
              <w:jc w:val="right"/>
              <w:ind w:right="437"/>
              <w:spacing w:after="0"/>
              <w:rPr>
                <w:sz w:val="20"/>
                <w:szCs w:val="20"/>
                <w:color w:val="auto"/>
              </w:rPr>
            </w:pPr>
            <w:r>
              <w:rPr>
                <w:rFonts w:ascii="Arial" w:cs="Arial" w:eastAsia="Arial" w:hAnsi="Arial"/>
                <w:sz w:val="14"/>
                <w:szCs w:val="14"/>
                <w:b w:val="1"/>
                <w:bCs w:val="1"/>
                <w:color w:val="auto"/>
              </w:rPr>
              <w:t>February 17, 2021 -</w:t>
            </w:r>
          </w:p>
        </w:tc>
        <w:tc>
          <w:tcPr>
            <w:tcW w:w="340" w:type="dxa"/>
            <w:vAlign w:val="bottom"/>
          </w:tcPr>
          <w:p>
            <w:pPr>
              <w:spacing w:after="0"/>
              <w:rPr>
                <w:sz w:val="14"/>
                <w:szCs w:val="14"/>
                <w:color w:val="auto"/>
              </w:rPr>
            </w:pPr>
          </w:p>
        </w:tc>
        <w:tc>
          <w:tcPr>
            <w:tcW w:w="1960" w:type="dxa"/>
            <w:vAlign w:val="bottom"/>
          </w:tcPr>
          <w:p>
            <w:pPr>
              <w:jc w:val="right"/>
              <w:ind w:right="457"/>
              <w:spacing w:after="0"/>
              <w:rPr>
                <w:sz w:val="20"/>
                <w:szCs w:val="20"/>
                <w:color w:val="auto"/>
              </w:rPr>
            </w:pPr>
            <w:r>
              <w:rPr>
                <w:rFonts w:ascii="Arial" w:cs="Arial" w:eastAsia="Arial" w:hAnsi="Arial"/>
                <w:sz w:val="14"/>
                <w:szCs w:val="14"/>
                <w:b w:val="1"/>
                <w:bCs w:val="1"/>
                <w:color w:val="auto"/>
              </w:rPr>
              <w:t>February 17, 2020 -</w:t>
            </w: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(unaudited)</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615,646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441,959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68,986</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Net Earnings for the period February 17, 2021 - June 30, 2021 includes amortization of intangible assets acquired upon closing of the Acima Holdings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June 30,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 2021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438,162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463,841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916,405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221,229</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1,156,860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29,616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505,834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1,193,975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0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w w:val="92"/>
              </w:rPr>
              <w:t>Six Months Ended June 30, 2021</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867,463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766,367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1,661,939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454,022</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1,030,700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1,092,729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2,153,878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62,671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1,092,729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2,230,757</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385,338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139,440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534,737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108,080</w:t>
            </w: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661,235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18,047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459,192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191,243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683,746</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2"/>
              </w:rPr>
              <w:t>Six Months Ended June 30, 2020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778,503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301,438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1,102,737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209,460</w:t>
            </w: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32,390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914,157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1,346,084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914,157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1,385,685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Rental payments received at our Rent-A-Center Business, Acima (excluding virtual) and Mexico locations must be prepaid in advance of the next rental term. Under the virtual business model, revenues may be earned prior to the rental payment due date, in which case revenue is accrued prior to receipt of the rental payment, net of estimated returns and uncollectible renewal payments. Under both models, rental revenue is recognized over the rental term. See Note 4 for additional information regarding accrued rental revenue.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received for rental payments, including fees, prior to the period in which it should be recognized, is deferred and recognized according to the rental term. At June 30, 2021 and December 31, 2020, we had $47.2 million and $45.8 million, respectively, in deferred revenue included in accrued liabilities related to our rental purchase agreements. Revenue related to various payment, reinstatement or late fees is recognized when paid by the customer at the point service is provided. Rental merchandise in our Rent-A-Center Business, former Preferred Lease, and Mexico locations is depreciated using the income forecasting method and is recognized in cost of sales over the rental term. Rental merchandise in the recently acquired Acima Holdings is depreciated over the rental term using a straight-line depreciation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June 30, 2021 and December 31, 2020, we had $3.0 million and $3.1 million in deferred revenue included in accrued liabilities related to extended service plans.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consisted of revenue generated by other miscellaneous product plans offered to our rental and installment customers.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both June 30, 2021 and December 31, 2020, we had $4.5 million and $4.7 million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six months ended June 30, 2021 and 2020 was $6.1 million and $5.6 million, respectively.</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Trade and notes receivables consist of amounts due from our rental customers for renewal and uncollected rental payments;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62,309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61,794</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66,249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36,256</w:t>
            </w:r>
          </w:p>
        </w:tc>
      </w:tr>
      <w:tr>
        <w:trPr>
          <w:trHeight w:val="213"/>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98,050</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w w:val="94"/>
              </w:rPr>
              <w:t>(8,047)</w:t>
            </w:r>
          </w:p>
        </w:tc>
      </w:tr>
      <w:tr>
        <w:trPr>
          <w:trHeight w:val="23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90,003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doubtful accounts related to trade and notes receivable was $0.9 million and $1.0 million at June 30, 2021 and December 31, 2020, respectively. The allowance for doubtful accounts related to installment sales receivable was $6.9 million and $7.0 million at June 30, 2021 and December 31,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2021</w:t>
            </w:r>
          </w:p>
        </w:tc>
      </w:tr>
      <w:tr>
        <w:trPr>
          <w:trHeight w:val="215"/>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w w:val="94"/>
              </w:rPr>
              <w:t>8,047</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Bad debt expense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400" w:type="dxa"/>
            <w:vAlign w:val="bottom"/>
          </w:tcPr>
          <w:p>
            <w:pPr>
              <w:jc w:val="center"/>
              <w:ind w:left="821"/>
              <w:spacing w:after="0"/>
              <w:rPr>
                <w:sz w:val="20"/>
                <w:szCs w:val="20"/>
                <w:color w:val="auto"/>
              </w:rPr>
            </w:pPr>
            <w:r>
              <w:rPr>
                <w:rFonts w:ascii="Arial" w:cs="Arial" w:eastAsia="Arial" w:hAnsi="Arial"/>
                <w:sz w:val="16"/>
                <w:szCs w:val="16"/>
                <w:color w:val="auto"/>
                <w:w w:val="94"/>
              </w:rPr>
              <w:t>6,058</w:t>
            </w:r>
          </w:p>
        </w:tc>
      </w:tr>
      <w:tr>
        <w:trPr>
          <w:trHeight w:val="213"/>
        </w:trPr>
        <w:tc>
          <w:tcPr>
            <w:tcW w:w="9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4"/>
              </w:rPr>
              <w:t>(6,342)</w:t>
            </w:r>
          </w:p>
        </w:tc>
      </w:tr>
      <w:tr>
        <w:trPr>
          <w:trHeight w:val="213"/>
        </w:trPr>
        <w:tc>
          <w:tcPr>
            <w:tcW w:w="958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center"/>
              <w:ind w:left="821"/>
              <w:spacing w:after="0"/>
              <w:rPr>
                <w:sz w:val="20"/>
                <w:szCs w:val="20"/>
                <w:color w:val="auto"/>
              </w:rPr>
            </w:pPr>
            <w:r>
              <w:rPr>
                <w:rFonts w:ascii="Arial" w:cs="Arial" w:eastAsia="Arial" w:hAnsi="Arial"/>
                <w:sz w:val="16"/>
                <w:szCs w:val="16"/>
                <w:color w:val="auto"/>
                <w:w w:val="94"/>
              </w:rPr>
              <w:t>7,763</w:t>
            </w:r>
          </w:p>
        </w:tc>
      </w:tr>
      <w:tr>
        <w:trPr>
          <w:trHeight w:val="20"/>
        </w:trPr>
        <w:tc>
          <w:tcPr>
            <w:tcW w:w="9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Uncollectible installment payments, franchisee obligations, and other corporate receivables are recognized in other store operating expenses in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We include month-to-month leases in operating lease right-of-use assets and operating lease liabilities in our Condensed Consolidated Balance Sheet. 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We also lease vehicles for all of our Mexico stores which have terms expiring at various times through 2025 with rental rates adjusted periodically for inflation. Finally, we have a minimal number of equipment leases, primarily related to temporary storage containers and certain back office technology hardware assets.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of the leases described above, we have elected not to separate the lease and non-lease components and instead account for these as a single component. In addition, we have elected to use available practical expedients that eliminate the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reassess whether expired or existing contracts contained leases and the requirement to reassess the lease classification for any existing leases prior to our adoption of ASU 2016-02 on January 1, 2019.</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320" w:type="dxa"/>
            <w:vAlign w:val="bottom"/>
            <w:gridSpan w:val="4"/>
          </w:tcPr>
          <w:p>
            <w:pPr>
              <w:jc w:val="right"/>
              <w:ind w:right="11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62"/>
        </w:trPr>
        <w:tc>
          <w:tcPr>
            <w:tcW w:w="396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Operating lease cost included in Other store</w:t>
            </w: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34,690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34,438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68,826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71,877</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(1)(2)</w:t>
            </w:r>
          </w:p>
        </w:tc>
        <w:tc>
          <w:tcPr>
            <w:tcW w:w="2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line="230" w:lineRule="exact"/>
              <w:rPr>
                <w:sz w:val="20"/>
                <w:szCs w:val="20"/>
                <w:color w:val="auto"/>
              </w:rPr>
            </w:pPr>
            <w:r>
              <w:rPr>
                <w:rFonts w:ascii="Arial" w:cs="Arial" w:eastAsia="Arial" w:hAnsi="Arial"/>
                <w:sz w:val="18"/>
                <w:szCs w:val="18"/>
                <w:color w:val="auto"/>
                <w:w w:val="99"/>
              </w:rPr>
              <w:t>Operating lease cost included in Other charges</w:t>
            </w:r>
            <w:r>
              <w:rPr>
                <w:rFonts w:ascii="Arial" w:cs="Arial" w:eastAsia="Arial" w:hAnsi="Arial"/>
                <w:sz w:val="23"/>
                <w:szCs w:val="23"/>
                <w:color w:val="auto"/>
                <w:w w:val="99"/>
                <w:vertAlign w:val="superscript"/>
              </w:rPr>
              <w:t>(2)</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left="140" w:hanging="132"/>
        <w:spacing w:after="0" w:line="209" w:lineRule="auto"/>
        <w:tabs>
          <w:tab w:leader="none" w:pos="140"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Excludes variable lease costs of $8.4 million and $16.9 million for the three and six months ended June 30, 2021 compared to $8.5 million and $17.4 million for the three and six months ended June 30,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ectPr>
          <w:pgSz w:w="11900" w:h="16838" w:orient="portrait"/>
          <w:cols w:equalWidth="0" w:num="1">
            <w:col w:w="11240"/>
          </w:cols>
          <w:pgMar w:left="320" w:top="121"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Six Months Ended</w:t>
      </w:r>
    </w:p>
    <w:p>
      <w:pPr>
        <w:spacing w:after="0" w:line="28" w:lineRule="exact"/>
        <w:rPr>
          <w:sz w:val="20"/>
          <w:szCs w:val="20"/>
          <w:color w:val="auto"/>
        </w:rPr>
      </w:pPr>
    </w:p>
    <w:p>
      <w:pPr>
        <w:jc w:val="center"/>
        <w:ind w:right="460"/>
        <w:spacing w:after="0"/>
        <w:tabs>
          <w:tab w:leader="none" w:pos="102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2"/>
          <w:szCs w:val="12"/>
          <w:b w:val="1"/>
          <w:bCs w:val="1"/>
          <w:color w:val="auto"/>
        </w:rPr>
        <w:t>June 30, 2020</w:t>
      </w:r>
    </w:p>
    <w:p>
      <w:pPr>
        <w:spacing w:after="0" w:line="25" w:lineRule="exact"/>
        <w:rPr>
          <w:sz w:val="20"/>
          <w:szCs w:val="20"/>
          <w:color w:val="auto"/>
        </w:rPr>
      </w:pPr>
    </w:p>
    <w:p>
      <w:pPr>
        <w:sectPr>
          <w:pgSz w:w="11900" w:h="16838" w:orient="portrait"/>
          <w:cols w:equalWidth="0" w:num="2">
            <w:col w:w="7340" w:space="720"/>
            <w:col w:w="3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53,758</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and weighted-average remaining lease term: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 2021</w:t>
            </w:r>
          </w:p>
        </w:tc>
        <w:tc>
          <w:tcPr>
            <w:tcW w:w="19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38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79"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January 1, 2019 incremental borrowing rate was used for leases in existence at the time of adoption of ASU 2016-02.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June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Operating Leases</w:t>
            </w:r>
          </w:p>
        </w:tc>
      </w:tr>
      <w:tr>
        <w:trPr>
          <w:trHeight w:val="215"/>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57,007</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97,059</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70,526</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52,213</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35,737</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26,077</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338,619</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(39,082)</w:t>
            </w:r>
          </w:p>
        </w:tc>
      </w:tr>
      <w:tr>
        <w:trPr>
          <w:trHeight w:val="23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299,537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and related government restrictions negatively impacting our operations, we renegotiated approximately 500 store lease agreements in the second quarter of 2020 to obtain rent relief, in order to help offset the negative financial impacts of COVID-19. Lease amendments executed as a result of our renegotiations included near term rent abatements of approximately $2.3 million and rent deferrals of approximately $2.1 million. As of June 30, 2021, remaining unpaid deferred rent associated with these lease amendments was approximately $0.2 million, the majority of which will be repaid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tax rate was 28.8% and 23.4% for the three and six months ended June 30, 2021, compared to 22.6% and 6.9% for the respective periods in 2020. The effective tax rate for the six months ended June 30, 2021 was impacted by the tax effect of the equity consideration included in the Aggregate Stock Consideration subject to vesting conditions, and discrete income tax items related to excess tax benefits from the vesting of our annual restricted stock award grants and stock option exercises, and the release of domestic and foreign tax valuation allowances. The effective tax rate for the six months ended June 30, 2020 was primarily impacted by the tax benefit of net operating loss carrybacks at a 35% tax rate, as a result of the Coronavirus Aid, Relief, and Economic Security Act, enacted on March 27, 2020 (the “CARES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that provides for a seven-year $875 million senior secured term loan facility (the “Term Loan Facility”) and an Asset Based Loan Credit Facility (the “ABL Credit Facility”) that provides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Facility was $872.8 million at June 30, 2021. We had no outstanding balance under our ABL Credit Facility at June 30, 2021 and borrowing capacity of $462.6 million.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Proceeds from the Term Loan Credit Facility were net of original issue discount of $4.4 million upon issuance from the lenders. In addition, in connection with the closing of the Term Loan Credit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 Remaining debt issuance costs incurred of $4.9 million were expensed and recorded to Other charges in our Condensed Consolidated Statement of Operations. The original issue discount and capitalized debt issuance costs will be amortized as interest expense over the terms of the respective credit agreements. As of June 30, 2021, the total balance of unamortized debt issuance costs relating to our senior debt, including rollover debt issuance costs from our previous senior debt credit facilities of approximately $3.0 million, and original issue discount reported in the Condensed Consolidated Balance Sheet were $26.6 million and $4.2 million, respectively.</w:t>
      </w:r>
    </w:p>
    <w:p>
      <w:pPr>
        <w:spacing w:after="0" w:line="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June 30, 2021, we have issued letters of credit in the aggregate outstanding amount of $87.4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on borrowings under the Term Loan Facility is payable at a fluctuating rate of interest determined by reference to the eurodollar rate plus an applicable margin of 4.00%, subject to a 0.75% LIBOR floor. Borrowings under the Term Loan Facility amortize in equal quarterly installments in an amount equal to 1.000% per annum of the original aggregate principal amount thereof, with the remaining balance due at final maturity.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Any voluntary prepayment of the Term Loan Facility made using proceeds from a substantially concurrent incurrence of indebtedness and in connection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repricing transaction prior to August 17, 2021 will be subject to a 1.00% prepayment premium, except that no such prepayment premium will be required in connection with a change of control or a transformative acquisition. These covenants are subject to a number of limitations and exceptions set forth in the documentation governing the Term Loan.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payable in the transaction, repay certain of our outstanding indebtedness and that of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bears interest at a fluctuating rate determined by reference to the eurodollar rate plus an applicable margin of 1.50% to 2.00%. The total interest rate on the ABL Credit Facility at June 30, 2021 was 1.875%. A commitment fee equal to 0.250% to 0.375% of the unused portion of the ABL Credit Facility fluctuates dependent upon average utilization for the prior month as defined by a pricing grid included in the documentation governing the ABL Credit Facility. The commitment fee at June 30, 2021 was 0.375%. We paid $0.9 million of commitment fees during the second quarter of 2021.</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ABL Credit Facility also requires the maintenance of a consolidated fixed charge coverage ratio of 1.10 to 1.00 at the end of each fiscal quarter when either (i) 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Credit Facility. The fixed charge coverage ratio as of June 30, 2021 was 1.72 to 1.00.</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documentation governing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scheduled maturity dates of our outstanding debt at June 30, 2021 for each of the years ending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833,437</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872,812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8 -Senior Notes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 Debt issuance costs will be amortized as interest expense over the term of the Notes.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June 30, 2021 and December 31, 2020,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Notes is based on Level 1 inputs and was as follows at June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2"/>
              </w:rPr>
              <w:t>June 30, 2021</w:t>
            </w: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Carrying Value</w:t>
            </w:r>
          </w:p>
        </w:tc>
        <w:tc>
          <w:tcPr>
            <w:tcW w:w="340" w:type="dxa"/>
            <w:vAlign w:val="bottom"/>
          </w:tcPr>
          <w:p>
            <w:pPr>
              <w:spacing w:after="0"/>
              <w:rPr>
                <w:sz w:val="16"/>
                <w:szCs w:val="16"/>
                <w:color w:val="auto"/>
              </w:rPr>
            </w:pPr>
          </w:p>
        </w:tc>
        <w:tc>
          <w:tcPr>
            <w:tcW w:w="1720" w:type="dxa"/>
            <w:vAlign w:val="bottom"/>
          </w:tcPr>
          <w:p>
            <w:pPr>
              <w:jc w:val="center"/>
              <w:ind w:right="285"/>
              <w:spacing w:after="0"/>
              <w:rPr>
                <w:sz w:val="20"/>
                <w:szCs w:val="20"/>
                <w:color w:val="auto"/>
              </w:rPr>
            </w:pPr>
            <w:r>
              <w:rPr>
                <w:rFonts w:ascii="Arial" w:cs="Arial" w:eastAsia="Arial" w:hAnsi="Arial"/>
                <w:sz w:val="14"/>
                <w:szCs w:val="14"/>
                <w:b w:val="1"/>
                <w:bCs w:val="1"/>
                <w:color w:val="auto"/>
                <w:w w:val="95"/>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Arial" w:cs="Arial" w:eastAsia="Arial" w:hAnsi="Arial"/>
                <w:sz w:val="14"/>
                <w:szCs w:val="14"/>
                <w:b w:val="1"/>
                <w:bCs w:val="1"/>
                <w:color w:val="auto"/>
              </w:rPr>
              <w:t>Difference</w:t>
            </w: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480,375</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Charges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Acima Holdings Acquisition. </w:t>
      </w:r>
      <w:r>
        <w:rPr>
          <w:rFonts w:ascii="Arial" w:cs="Arial" w:eastAsia="Arial" w:hAnsi="Arial"/>
          <w:sz w:val="18"/>
          <w:szCs w:val="18"/>
          <w:color w:val="auto"/>
        </w:rPr>
        <w:t>As described in Note 2, on February 17, 2021, we completed the acquisition of Acima Holdings, a leading provider of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lease-to-own solutions. Included in the aggregate consideration issued to the former owners of Acima Holdings was 8,096,595 of common shares, valued at $414.1 million, subject to 36-month vesting conditions under restricted stock agreements, which will be recognized over the vesting term as stock compensation expense. During the six months ended June 30, 2021, we recognized approximately $50.3 million in stock compensation expense related to these restricted stock agreements.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assets acquired as part of the transaction included $520 million in intangible assets and $170 million in developed technology. During the six months ended June 30, 2021, we recognized approximately $43.2 million in amortization expense and $5.3 million in incremental depreciation expense related to these assets.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during the six months ended June 30, 2021 we recognized approximately $17.1 million in transaction costs associated with the closing of the transaction, and approximately $3.9 million in post-acquisition integration costs, including $3.1 million in employee severance and $0.8 million in other integration costs, including reorganization advisory fees.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six months ended June 30, 2021 is summarized in the below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Accrued Charges at</w:t>
            </w:r>
          </w:p>
        </w:tc>
        <w:tc>
          <w:tcPr>
            <w:tcW w:w="220" w:type="dxa"/>
            <w:vAlign w:val="bottom"/>
          </w:tcPr>
          <w:p>
            <w:pPr>
              <w:spacing w:after="0"/>
              <w:rPr>
                <w:sz w:val="14"/>
                <w:szCs w:val="14"/>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Payments &amp;</w:t>
            </w:r>
          </w:p>
        </w:tc>
        <w:tc>
          <w:tcPr>
            <w:tcW w:w="120" w:type="dxa"/>
            <w:vAlign w:val="bottom"/>
          </w:tcPr>
          <w:p>
            <w:pPr>
              <w:spacing w:after="0"/>
              <w:rPr>
                <w:sz w:val="14"/>
                <w:szCs w:val="14"/>
                <w:color w:val="auto"/>
              </w:rPr>
            </w:pPr>
          </w:p>
        </w:tc>
        <w:tc>
          <w:tcPr>
            <w:tcW w:w="134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Accrued Charges at</w:t>
            </w:r>
          </w:p>
        </w:tc>
        <w:tc>
          <w:tcPr>
            <w:tcW w:w="0" w:type="dxa"/>
            <w:vAlign w:val="bottom"/>
          </w:tcPr>
          <w:p>
            <w:pPr>
              <w:spacing w:after="0"/>
              <w:rPr>
                <w:sz w:val="1"/>
                <w:szCs w:val="1"/>
                <w:color w:val="auto"/>
              </w:rPr>
            </w:pPr>
          </w:p>
        </w:tc>
      </w:tr>
      <w:tr>
        <w:trPr>
          <w:trHeight w:val="188"/>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340" w:type="dxa"/>
            <w:vAlign w:val="bottom"/>
          </w:tcPr>
          <w:p>
            <w:pPr>
              <w:jc w:val="right"/>
              <w:ind w:right="236"/>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Acima Holdings transaction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17,111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 Holdings integration costs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cash charges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charges: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Depreciation and amortization of acquired assets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Acima Holdings restricted stock agreements</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reserves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charges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Represents employee severance, shutdown and holding expenses related to store closures.</w:t>
      </w:r>
    </w:p>
    <w:p>
      <w:pPr>
        <w:ind w:right="40" w:firstLine="8"/>
        <w:spacing w:after="0" w:line="247" w:lineRule="auto"/>
        <w:tabs>
          <w:tab w:leader="none" w:pos="127"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Note 2.</w:t>
      </w:r>
    </w:p>
    <w:p>
      <w:pPr>
        <w:spacing w:after="0" w:line="1" w:lineRule="exact"/>
        <w:rPr>
          <w:rFonts w:ascii="Arial" w:cs="Arial" w:eastAsia="Arial" w:hAnsi="Arial"/>
          <w:sz w:val="14"/>
          <w:szCs w:val="14"/>
          <w:color w:val="auto"/>
          <w:vertAlign w:val="superscript"/>
        </w:rPr>
      </w:pPr>
    </w:p>
    <w:p>
      <w:pPr>
        <w:ind w:right="480" w:firstLine="8"/>
        <w:spacing w:after="0" w:line="247" w:lineRule="auto"/>
        <w:tabs>
          <w:tab w:leader="none" w:pos="127"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Represents stock compensation expense recognized for six months ended June 30, 2021, related to common stock issued to Acima Holdings employees under restricted stock agreements as part of the acquisition proceeds subject to vesting restrictions, as described in Note 2 and Note 12.</w:t>
      </w:r>
    </w:p>
    <w:p>
      <w:pPr>
        <w:spacing w:after="0" w:line="1" w:lineRule="exact"/>
        <w:rPr>
          <w:rFonts w:ascii="Arial" w:cs="Arial" w:eastAsia="Arial" w:hAnsi="Arial"/>
          <w:sz w:val="14"/>
          <w:szCs w:val="14"/>
          <w:color w:val="auto"/>
          <w:vertAlign w:val="superscript"/>
        </w:rPr>
      </w:pPr>
    </w:p>
    <w:p>
      <w:pPr>
        <w:ind w:left="140" w:hanging="132"/>
        <w:spacing w:after="0" w:line="223" w:lineRule="auto"/>
        <w:tabs>
          <w:tab w:leader="none" w:pos="14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Asset impairments primarily includes impairments of operating lease right-of-use assets and other property assets related to the closure of Rent-A-Center Business stores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and accessories. Smartphones are also offered in our Rent-A-Center Business stores and franchise locations.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six months ended June 30, 2021 and 2020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338"/>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505,834</w:t>
            </w:r>
          </w:p>
        </w:tc>
        <w:tc>
          <w:tcPr>
            <w:tcW w:w="100" w:type="dxa"/>
            <w:vAlign w:val="bottom"/>
          </w:tcPr>
          <w:p>
            <w:pPr>
              <w:spacing w:after="0"/>
              <w:rPr>
                <w:sz w:val="24"/>
                <w:szCs w:val="24"/>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459,192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1,030,700</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914,157</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407,370</w:t>
            </w: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24,157</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40,001</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1,193,975</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2,230,757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1,385,685</w:t>
            </w:r>
          </w:p>
        </w:tc>
      </w:tr>
      <w:tr>
        <w:trPr>
          <w:trHeight w:val="21"/>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98"/>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357,187</w:t>
            </w:r>
          </w:p>
        </w:tc>
        <w:tc>
          <w:tcPr>
            <w:tcW w:w="100" w:type="dxa"/>
            <w:vAlign w:val="bottom"/>
          </w:tcPr>
          <w:p>
            <w:pPr>
              <w:spacing w:after="0"/>
              <w:rPr>
                <w:sz w:val="19"/>
                <w:szCs w:val="19"/>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316,047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716,356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633,605</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159,706</w:t>
            </w: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16,960</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587,472</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1,097,995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819,710</w:t>
            </w: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126,487</w:t>
            </w:r>
          </w:p>
        </w:tc>
        <w:tc>
          <w:tcPr>
            <w:tcW w:w="100" w:type="dxa"/>
            <w:vAlign w:val="bottom"/>
          </w:tcPr>
          <w:p>
            <w:pPr>
              <w:spacing w:after="0"/>
              <w:rPr>
                <w:sz w:val="19"/>
                <w:szCs w:val="19"/>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247,764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153,075</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w:t>
            </w: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95,446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355,730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185,097</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(82,587)</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106,519</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102,510</w:t>
            </w: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98"/>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9,029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9,833</w:t>
            </w:r>
          </w:p>
        </w:tc>
      </w:tr>
      <w:tr>
        <w:trPr>
          <w:trHeight w:val="230"/>
        </w:trPr>
        <w:tc>
          <w:tcPr>
            <w:tcW w:w="3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11,035</w:t>
            </w:r>
          </w:p>
        </w:tc>
      </w:tr>
      <w:tr>
        <w:trPr>
          <w:trHeight w:val="229"/>
        </w:trPr>
        <w:tc>
          <w:tcPr>
            <w:tcW w:w="3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18,226</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29,261</w:t>
            </w: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right="280"/>
        <w:spacing w:after="0" w:line="218"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Excludes amortization expense of approximately $29.2 million and $43.2 million for the three and six months ended June 30, 2021, recorded to Other charges in the Condensed Consolidated Statement of Operations, related to intangible assets acquired upon closing of the Acima Holdings acquisition</w:t>
      </w:r>
    </w:p>
    <w:p>
      <w:pPr>
        <w:ind w:right="40"/>
        <w:spacing w:after="0" w:line="225"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Excludes depreciation expense of approximately $4.0 million and $5.3 million for the three and six months ended June 30, 2021, recorded to Other charges in the Condensed Consolidated Statement of Operations, related to software acquired upon closing of the Acima Holdings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8,308</w:t>
            </w:r>
          </w:p>
        </w:tc>
        <w:tc>
          <w:tcPr>
            <w:tcW w:w="12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14,565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4,484</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w:t>
            </w:r>
          </w:p>
        </w:tc>
      </w:tr>
      <w:tr>
        <w:trPr>
          <w:trHeight w:val="24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capital expenditures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449,243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444,945</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299,660</w:t>
            </w:r>
          </w:p>
        </w:tc>
      </w:tr>
      <w:tr>
        <w:trPr>
          <w:trHeight w:val="229"/>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18,281</w:t>
            </w:r>
          </w:p>
        </w:tc>
      </w:tr>
      <w:tr>
        <w:trPr>
          <w:trHeight w:val="24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762,886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23"/>
                <w:szCs w:val="23"/>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110,560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136,219</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29"/>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w:t>
            </w:r>
          </w:p>
        </w:tc>
      </w:tr>
      <w:tr>
        <w:trPr>
          <w:trHeight w:val="24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78"/>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969,617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999,252</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389,650</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41,106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42,278</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r>
      <w:tr>
        <w:trPr>
          <w:trHeight w:val="223"/>
        </w:trPr>
        <w:tc>
          <w:tcPr>
            <w:tcW w:w="392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2,584,949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1,445,909</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305,071</w:t>
            </w:r>
          </w:p>
        </w:tc>
      </w:tr>
      <w:tr>
        <w:trPr>
          <w:trHeight w:val="223"/>
        </w:trPr>
        <w:tc>
          <w:tcPr>
            <w:tcW w:w="39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r>
      <w:tr>
        <w:trPr>
          <w:trHeight w:val="20"/>
        </w:trPr>
        <w:tc>
          <w:tcPr>
            <w:tcW w:w="3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and Stock-Based Compensation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early August 2021, our Board of Directors authorized a new stock repurchase program for up to $250 million, which supersedes our previous stock repurchase program. Under such program, the Company may purchase shares of our common stock from time to time in the open market or privately negotiated transactions. The timing and exact amount of repurchases under the newly authorized repurchase program will be determined by the Company's management, and will be subject to our capital allocation strategy, market conditions and other factors. The Company is not obligated to acquire any shares under the new program, and the program may be suspended or discontinued at any time. Under our previous common stock repurchase programs, no shares were repurchased during the six months ended June 30, 2021, while 1,461,177 shares of our common stock were repurchased for an aggregate purchase price of $26.5 million during the six months ended June 30, 2020.</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$5.1 million and $2.9 million in compensation expense related to stock awards issued under the Rent-A-Center 2016 Long-Term Incentive Plan (the “2016 Plan”) during the three months ended June 30, 2021 and 2020, and $9.4 million and $5.9 million during the six months ended June 30, 2021 and 2020. During the six months ended June 30, 2021, we granted approximately 97,000 stock options, 240,000 market-based performance units and 145,000 time-vesting units under the 2016 Plan. The stock options granted were valued using a Black-Scholes pricing model with the following assumptions: an expected volatility of 47.54% to 53.21%, a risk-free interest rate of 0.21% to 1.08%, an expected dividend yield of 2.15% to 3.24%, and an expected term of 3.50 to 5.75 years. The weighted-average exercise price of the options granted during the six months ended June 30, 2021 was $44.84 and the weighted-average grant-date fair value was $14.94. Performance-based restricted stock units are valued using a Monte Carlo simulation. Time-vesting restricted stock units are valued based on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six months ended June 30, 2020 was $98.49 and $60.54, respectively.</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described in Note 2, Aggregate Stock Consideration issued to the former owners of Acima Holdings included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will be recognized as stock compensation expense over the vesting term in accordance with ASC Topic 718, “Stock-based Compensation”. We recognized $34.4 million and $50.3 million in stock compensation expense related to these restricted stock agreements during the three and six months ended June 30, 2021, which was recorded to Other charges in our Condensed Consolidated Statements of Operations, as described in Note 10.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condensed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unclaimed property audits by states in the ordinary course of business. The property subject to review in the audit process include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Acima Consumer Financial Protection Bureau investigation. </w:t>
      </w:r>
      <w:r>
        <w:rPr>
          <w:rFonts w:ascii="Arial" w:cs="Arial" w:eastAsia="Arial" w:hAnsi="Arial"/>
          <w:sz w:val="16"/>
          <w:szCs w:val="16"/>
          <w:color w:val="auto"/>
        </w:rPr>
        <w:t>Prior to the execution of the definitive agreement to acquire Acima Holdings, Acima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We completed our production of records in response to the initial requests of the CFPB at the end of March 2021. In July 2021, we received additional requests from the CFPB. We are currently in the process of responding to these additional requests. The CFPB has not made any allegations in the investigation, and we are currently unable to predict the eventual scope, ultimate timing or outcome of the CFPB investigation.</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terms and subject to the conditions set forth in the definitive agreement to acquire Acima Holdings, the former owners of Acima Holdings have agreed to indemnify Rent-A-Center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Rent-A-Center’s sole recourse against the former owners of Acima Holdings with respect to all of the indemnifiable claims under the definitive transaction agreement. Other than with respect to any pending or unresolved claims for indemnification submitted by Rent-A-Center prior to such time, and subject to other limited exceptions, the escrowed amount will be released to the former owners of Acima Holdings as follows: (i) in respect of the CID, on the earlier of February 17, 2024 and the date on which a final determination is entered providing for a resolution of the matters regarding the CID and (ii) in respect of certain pre-closing taxes, on August 18, 2022, the first business day following the date that is 18 months after the closing date of the transaction.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(the “CAG”) issued an investigative subpoena in 2018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our Acceptance Now business practices (now part of the Acima segment). Since receiving such demand, we have cooperated with the CAG in connection with its investigation and made several productions of requested documents. In March 2020, the CAG put forth proposed settlement terms to address alleged violations of California law. The CAG’s allegations include those with respect to certain consumer fees, charges and communications in connection with our lease-to-own transactions. The CAG’s proposed settlement terms include civil penalties, disgorgement of certain revenues, additional training requirements, and changes to certain business practices. We are continuing to discuss resolution of the inquiry with the CAG. We are currently unable to predict the ultimate timing or outcome of the CAG investigation.</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Massachusetts Attorney General. </w:t>
      </w:r>
      <w:r>
        <w:rPr>
          <w:rFonts w:ascii="Arial" w:cs="Arial" w:eastAsia="Arial" w:hAnsi="Arial"/>
          <w:sz w:val="18"/>
          <w:szCs w:val="18"/>
          <w:color w:val="auto"/>
        </w:rPr>
        <w:t>The Massachusetts Attorney General (the “MAG”) issued a civil investigative demand in 2018 seeking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with the MAG and to discuss resolution of the inquiry with the MAG. We are currently unable to predict the ultimate timing or outcome of the MAG investigation.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580" w:type="dxa"/>
            <w:vAlign w:val="bottom"/>
          </w:tcPr>
          <w:p>
            <w:pPr>
              <w:ind w:left="260"/>
              <w:spacing w:after="0" w:line="230" w:lineRule="exact"/>
              <w:rPr>
                <w:sz w:val="20"/>
                <w:szCs w:val="20"/>
                <w:color w:val="auto"/>
              </w:rPr>
            </w:pPr>
            <w:r>
              <w:rPr>
                <w:rFonts w:ascii="Arial" w:cs="Arial" w:eastAsia="Arial" w:hAnsi="Arial"/>
                <w:sz w:val="18"/>
                <w:szCs w:val="18"/>
                <w:color w:val="auto"/>
              </w:rPr>
              <w:t>Weighted-average shares outstanding</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54,287</w:t>
            </w:r>
          </w:p>
        </w:tc>
      </w:tr>
      <w:tr>
        <w:trPr>
          <w:trHeight w:val="230"/>
        </w:trPr>
        <w:tc>
          <w:tcPr>
            <w:tcW w:w="45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Effect of dilutive stock awards</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23"/>
        </w:trPr>
        <w:tc>
          <w:tcPr>
            <w:tcW w:w="458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55,688</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9"/>
              </w:rPr>
              <w:t>Anti-dilutive securities excluded from diluted earnings per</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restricted share units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Anti-dilutive performance share units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stock options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bl>
    <w:p>
      <w:pPr>
        <w:spacing w:after="0" w:line="80" w:lineRule="exact"/>
        <w:rPr>
          <w:sz w:val="20"/>
          <w:szCs w:val="20"/>
          <w:color w:val="auto"/>
        </w:rPr>
      </w:pPr>
    </w:p>
    <w:p>
      <w:pPr>
        <w:ind w:firstLine="8"/>
        <w:spacing w:after="0" w:line="256" w:lineRule="auto"/>
        <w:tabs>
          <w:tab w:leader="none" w:pos="127"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Weighted-average shares outstanding for the six months ended June 30, 2021 includes approximately 2.6 million common shares issued in connection with the acquisition of Acima Holdings in February 2021. See Note 2 for additional information.</w:t>
      </w:r>
    </w:p>
    <w:p>
      <w:pPr>
        <w:ind w:firstLine="8"/>
        <w:spacing w:after="0" w:line="230" w:lineRule="auto"/>
        <w:tabs>
          <w:tab w:leader="none" w:pos="132"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Weighted-average dilutive shares outstanding for the six months ended June 30, 2021 includes approximately 8.1 million common shares issued in connection with the acquisition of Acima Holdings in February 2021, and subject to vesting conditions under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the closing of our acquisition of Acima Holdings, LLC (“Acima Holdings”), cost and revenue synergies and other benefits expected to result from the Acima Holdings acquisition, our planned technologies and other enhancements to our lease-to-own solutions for consumers and retailers, our expectations, plans and strategy relating to our capital structure and capital allocation, other statements regarding our strategy and plans, and other statements that are not historical facts.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2020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10" w:lineRule="exact"/>
        <w:rPr>
          <w:sz w:val="20"/>
          <w:szCs w:val="20"/>
          <w:color w:val="auto"/>
        </w:rPr>
      </w:pPr>
    </w:p>
    <w:p>
      <w:pPr>
        <w:ind w:left="6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Acima Holdings acquisition may not be fully realized or may take longer to realize than expected;</w:t>
      </w:r>
    </w:p>
    <w:p>
      <w:pPr>
        <w:spacing w:after="0" w:line="8" w:lineRule="exact"/>
        <w:rPr>
          <w:rFonts w:ascii="Arial" w:cs="Arial" w:eastAsia="Arial" w:hAnsi="Arial"/>
          <w:sz w:val="18"/>
          <w:szCs w:val="18"/>
          <w:color w:val="auto"/>
        </w:rPr>
      </w:pPr>
    </w:p>
    <w:p>
      <w:pPr>
        <w:ind w:left="660" w:hanging="166"/>
        <w:spacing w:after="0" w:line="277" w:lineRule="auto"/>
        <w:tabs>
          <w:tab w:leader="none" w:pos="60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Holdings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2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right="20" w:hanging="166"/>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63" w:lineRule="exact"/>
        <w:rPr>
          <w:rFonts w:ascii="Arial" w:cs="Arial" w:eastAsia="Arial" w:hAnsi="Arial"/>
          <w:sz w:val="18"/>
          <w:szCs w:val="18"/>
          <w:color w:val="auto"/>
        </w:rPr>
      </w:pPr>
    </w:p>
    <w:p>
      <w:pPr>
        <w:jc w:val="both"/>
        <w:ind w:left="660" w:hanging="166"/>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 and related government and regulatory restrictions issued to combat the pandemic, including adverse changes in such restrictions, and impacts on (i) demand for our lease-to-own products offered in our operating segments, (ii) our Acima retail partners, (iii) our customers and their willingness and ability to satisfy their lease obligations, (iv) our supplier's ability to satisfy our merchandise needs, (v) our employees, including our ability to adequately staff our operating locations, (vi) our financial and operational performance, and (vii) our liquidity;</w:t>
      </w:r>
    </w:p>
    <w:p>
      <w:pPr>
        <w:spacing w:after="0" w:line="25"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Acima offering and potential for higher merchandise losses;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Fintech companies and other competitors, including subprime lenders;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identify and successfully market products and services that appeal to our current and future targeted customer segments;</w:t>
      </w:r>
    </w:p>
    <w:p>
      <w:pPr>
        <w:spacing w:after="0" w:line="74" w:lineRule="exact"/>
        <w:rPr>
          <w:rFonts w:ascii="Arial" w:cs="Arial" w:eastAsia="Arial" w:hAnsi="Arial"/>
          <w:sz w:val="17"/>
          <w:szCs w:val="17"/>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166" w:hanging="166"/>
        <w:spacing w:after="0" w:line="263"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additional social unrest such as that experienced in 2020 or otherwise, and resulting damage to our inventory or other assets and potential lost revenues;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 and our ability to protect the integrity and security of individually identifiable data of our customers, employees and retail partners;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9" w:right="339" w:bottom="1440" w:gutter="0" w:footer="0" w:header="0"/>
        </w:sectPr>
      </w:pPr>
    </w:p>
    <w:bookmarkStart w:id="26" w:name="page27"/>
    <w:bookmarkEnd w:id="26"/>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important factors that could cause our actual results to differ materially from our expectations are discussed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year ended December 31, 2020 and elsewhere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executing on market opportunities and enhancing our competitive position across both traditional and virtual lease-to-own solutions;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accelerating the shift to e-commerce, expanding product categories, including into emerging product categories, and improving the fully integrated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using technology to support frictionless retailer onboarding with seamless integration to retailer platforms;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continuing to generate repeat business while expanding our potential customer base;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leveraging the integration of the Acima Holdings decision engine and expanding digital payments and communication channels;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4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 additional information regarding the acquisition of Acima Holdings, see “Item 2. Management's Discussion and Analysis of Financial Condition and Results of Operation—Recent Developments”.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Acima Acquisition. </w:t>
      </w:r>
      <w:r>
        <w:rPr>
          <w:rFonts w:ascii="Arial" w:cs="Arial" w:eastAsia="Arial" w:hAnsi="Arial"/>
          <w:sz w:val="16"/>
          <w:szCs w:val="16"/>
          <w:color w:val="auto"/>
        </w:rPr>
        <w:t>On February 17, 2021, we completed the acquisition of Acima Holdings and issued to the former owners of Acima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10,779,923 shares of our common stock (the “Aggregate Stock Consideration”), with a value of $51.14 per share based on the closing price of our common stock on the date of closing, and paid to them aggregate cash consideration of $1,273.3 million (the “Aggregate Cash Consideration”). Under the terms of the definitive agreement, $50 million of the Aggregate Cash Consideration was placed into escrow at closing to cover certain potential tax and regulatory indemnification obligations of the former owners of Acima Holdings under the agreement. Although we currently believe the escrow holdback amount, which serves as our sole recourse of with respect to any indemnifiable claims, will be sufficient to cover any such potential tax and regulatory matters, there is no assurance that any actual payments by us with respect to such matters will not exceed the escrow holdback amount.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portion of the Aggregate Stock Consideration issued to former owners of Acima Holdings who are also employees of Acima is subject to restricted stock agreements providing vesting conditions over a 36-month period beginning upon closing of the acquisition. The portion of the Aggregate Stock Consideration issued to non-employee former owners of Acima Holdings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jc w:val="both"/>
        <w:ind w:right="20"/>
        <w:spacing w:after="0" w:line="308" w:lineRule="auto"/>
        <w:rPr>
          <w:sz w:val="20"/>
          <w:szCs w:val="20"/>
          <w:color w:val="auto"/>
        </w:rPr>
      </w:pPr>
      <w:r>
        <w:rPr>
          <w:rFonts w:ascii="Arial" w:cs="Arial" w:eastAsia="Arial" w:hAnsi="Arial"/>
          <w:sz w:val="17"/>
          <w:szCs w:val="17"/>
          <w:color w:val="auto"/>
        </w:rPr>
        <w:t>subject to the terms of an 18-month lockup agreement, pursuant to which one-third of the aggregate shares of our common stock received by a non-employee former owner of Acima Holdings becomes transferable after each six month period following the closing of the acquisition.</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acquisition, we entered into employment agreements with certain executives of Acima Holdings, including Aaron Allred, Chairman and Founder of Acima Holdings, which became effective upon closing.</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w:t>
      </w:r>
      <w:r>
        <w:rPr>
          <w:rFonts w:ascii="Arial" w:cs="Arial" w:eastAsia="Arial" w:hAnsi="Arial"/>
          <w:sz w:val="16"/>
          <w:szCs w:val="16"/>
          <w:color w:val="auto"/>
        </w:rPr>
        <w:t>s. On June 9, 2021, we announced that our board of directors approved a quarterly cash dividend of $0.31 per share for the third quarter of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dividend was paid on July 13, 2021 to our common stockholders of record as of the close of business on June 22, 2021.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and Operational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Beginning in the latter half of March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On March 11, 2020, the World Health Organization declared the COVID-19 outbreak a worldwide pandemic. On March 13, 2020, the president of the United States declared a national state of emergency for the nation. In response to the issuance of U.S. federal guidelines to contain the spread of COVID-19, U.S. state and local jurisdictions implemented various containment or mitigation measures, including temporary shelter-in-place orders and the temporary closure of non-essential businesses.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COVID-19 and related jurisdictional ordinances implemented in the United States beginning in the latter half of March 2020 to contain the spread of COVID-19 or mitigate its effects, a significant number of Acima retail partner locations were temporarily closed, resulting in the initial closure of approximately 65% of our staffed Acima locations, which operated within those stores. In addition, while the majority of our Rent-A-Center Business stores remained open, due to government orders in certain jurisdictions, beginning in mid-March 2020 we temporarily shut down operations at a small number of stores and approximately 24% of our stores were partially closed. Our partially closed locations operated with closed showrooms, conducting business only through e-commerce web orders and transitioned to a contactless curbside service model or to a ship-from-store model, to the extent permitted by local orders. Some franchise locations and stores in our Mexico operating segment were also temporarily closed or had restricted operations due to COVID-19. All locations in our Rent-A-Center Business, Franchising and Mexico operating segments and staffed Acima locations, temporarily or partially closed at the onset of the pandemic, were reopened in the second quarter of 2020. Despite the recent availability of COVID-19 vaccines, the number of COVID-19 cases has increased at various times throughout the first half of 2021 resulting in certain governmental authorities imposing or re-imposing certain restrictions on businesses. As of July 29, 2021, all locations in our Rent-A-Center Business, Franchising and Mexico operating segments and staffed Acima locations are providing full in-store services subject to local requirements for sanitization, social distancing, face masks and capacity limitations and, in Mexico, certain restrictions regarding hours of operation.</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response to the negative impacts to our business resulting from COVID-19, in 2020,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In addition, we implemented additional electronic payment methods for our Rent-A-Center Business and Acima customers to facilitate contactless transactions. There are no assurances we will not be subject to future government actions negatively impacting our business as the pandemic progresses.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while we may also be impacted by deteriorating worldwide economic conditions, including elevated unemployment rates throughout the United States, which could have a sustained impact on discretionary consumer spending, the lease-to-own industry has remained resilient because it provides credit constrained customers with a viable option to obtain merchandise they may not otherwise be able to obtain through other retailers offering financing options due to the tightening of credit by traditional financing.</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Part I, Item 1A in our Annual Report on Form 10-K for the year ended December 31, 2020, for additional discussion of operational impacts to our business and additional risks associated with COVID-19.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and six months ended June 30, 2021 included in Part I, Item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six months ended June 30, 2021 as compared to the six months ended June 30, 2020.</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six months of 2021, consolidated revenues increased approximately $845.1 million, primarily due to the acquisition of Acima Holdings, in addition to an increase in same store sales in our Rent-A-Center Business. Operating profit increased approximately $74.1 million for the six months ended June 30, 2021, primarily due to the increased operating profit of the Rent-A-Center Business and Acima segments, partially offset by one-time transaction and integration costs, stock compensation expense related to equity consideration subject to vesting conditions, and depreciation and amortization of acquired software and intangible assets related to the acquisition of Acima Holdings.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Rent-A-Center Business segment increased approximately $116.5 million for the six months ended June 30, 2021, primarily due to an increase in same store sales revenue driven by growth in e-commerce sales, partially offset by the impact of refranchising approximately 100 stores in California in the fourth quarter of 2020 which are no longer reflected in the Rent-A-Center Business segment revenues. Operating profit increased $94.7 million for the six months ended June 30, 2021, driven primarily by increased operating leverage as a result of higher revenues and lower operating expenses.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Acima segment revenues increased approximately $685.4 million for the six months ended June 30, 2021, driven primarily by the acquisition of Acima Holdings. Operating profit increased approximately $68.5 million for the six months ended June 30, 2021, driven by higher revenue due to the acquisition of Acima Holdings and stronger lease performance, partially offset by depreciation and amortization of acquired software and intangible assets related to the acquisition of Acima Holdings.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Mexico segment revenues increased by 23.2% for the six months ended June 30, 2021, driving an increase in gross profit of 24.0%, or $4.1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$2.4 million for the six months ended June 30, 2021.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Franchising segment increased $37.6 million for the six months ended June 30, 2021, primarily due to a higher store count, resulting from the refranchising of approximately 100 California stores during 2020 and higher inventory purchases by franchisees. Operating profit increased $5.1 million for the six months ended June 30, 2021.</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 from operations was $250.5 million for the six months ended June 30, 2021. As of June 30, 2021, we held $145.1 million of cash and cash equivalents and outstanding indebtedness of $1.32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Store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Rentals and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534,737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1,661,939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1,102,737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0" w:type="dxa"/>
            <w:vAlign w:val="bottom"/>
          </w:tcPr>
          <w:p>
            <w:pPr>
              <w:spacing w:after="0"/>
              <w:rPr>
                <w:sz w:val="1"/>
                <w:szCs w:val="1"/>
                <w:color w:val="auto"/>
              </w:rPr>
            </w:pPr>
          </w:p>
        </w:tc>
      </w:tr>
      <w:tr>
        <w:trPr>
          <w:trHeight w:val="229"/>
        </w:trPr>
        <w:tc>
          <w:tcPr>
            <w:tcW w:w="2660" w:type="dxa"/>
            <w:vAlign w:val="bottom"/>
          </w:tcPr>
          <w:p>
            <w:pPr>
              <w:ind w:left="22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221,229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108,080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113,149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Installment sales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store revenue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1,156,860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661,235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495,625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2,153,878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Franchise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sales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Royalty income and fees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1,193,975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683,746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510,229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2,230,757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1,385,685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20"/>
              <w:spacing w:after="0"/>
              <w:rPr>
                <w:sz w:val="20"/>
                <w:szCs w:val="20"/>
                <w:color w:val="auto"/>
              </w:rPr>
            </w:pPr>
            <w:r>
              <w:rPr>
                <w:rFonts w:ascii="Arial" w:cs="Arial" w:eastAsia="Arial" w:hAnsi="Arial"/>
                <w:sz w:val="18"/>
                <w:szCs w:val="18"/>
                <w:color w:val="auto"/>
              </w:rPr>
              <w:t>Cost of rentals and fees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320,873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157,124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163,749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merchandise sold</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146,893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of installment sales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store revenues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310,784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1,070,142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99.9 %</w:t>
            </w:r>
          </w:p>
        </w:tc>
        <w:tc>
          <w:tcPr>
            <w:tcW w:w="0" w:type="dxa"/>
            <w:vAlign w:val="bottom"/>
          </w:tcPr>
          <w:p>
            <w:pPr>
              <w:spacing w:after="0"/>
              <w:rPr>
                <w:sz w:val="1"/>
                <w:szCs w:val="1"/>
                <w:color w:val="auto"/>
              </w:rPr>
            </w:pPr>
          </w:p>
        </w:tc>
      </w:tr>
      <w:tr>
        <w:trPr>
          <w:trHeight w:val="175"/>
        </w:trPr>
        <w:tc>
          <w:tcPr>
            <w:tcW w:w="2660" w:type="dxa"/>
            <w:vAlign w:val="bottom"/>
          </w:tcPr>
          <w:p>
            <w:pPr>
              <w:ind w:left="300"/>
              <w:spacing w:after="0" w:line="176" w:lineRule="exact"/>
              <w:rPr>
                <w:sz w:val="20"/>
                <w:szCs w:val="20"/>
                <w:color w:val="auto"/>
              </w:rPr>
            </w:pPr>
            <w:r>
              <w:rPr>
                <w:rFonts w:ascii="Arial" w:cs="Arial" w:eastAsia="Arial" w:hAnsi="Arial"/>
                <w:sz w:val="18"/>
                <w:szCs w:val="18"/>
                <w:color w:val="auto"/>
                <w:w w:val="95"/>
              </w:rPr>
              <w:t>Franchise cost of merchandise</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29,543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62,620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30,562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32,058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104.9 %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sold</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322,289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113.4 %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1,132,762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587,472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399,532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187,940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1,097,995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Store expenses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Other store expenses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181,012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160,756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54,385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103,510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charges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817.2 %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1,186.1 %</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345,897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135,056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72.2 %</w:t>
            </w:r>
          </w:p>
        </w:tc>
        <w:tc>
          <w:tcPr>
            <w:tcW w:w="0" w:type="dxa"/>
            <w:vAlign w:val="bottom"/>
          </w:tcPr>
          <w:p>
            <w:pPr>
              <w:spacing w:after="0"/>
              <w:rPr>
                <w:sz w:val="1"/>
                <w:szCs w:val="1"/>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Debt refinancing charges</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423.4 %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294.0 %</w:t>
            </w:r>
          </w:p>
        </w:tc>
        <w:tc>
          <w:tcPr>
            <w:tcW w:w="0" w:type="dxa"/>
            <w:vAlign w:val="bottom"/>
          </w:tcPr>
          <w:p>
            <w:pPr>
              <w:spacing w:after="0"/>
              <w:rPr>
                <w:sz w:val="1"/>
                <w:szCs w:val="1"/>
                <w:color w:val="auto"/>
              </w:rPr>
            </w:pPr>
          </w:p>
        </w:tc>
      </w:tr>
      <w:tr>
        <w:trPr>
          <w:trHeight w:val="223"/>
        </w:trPr>
        <w:tc>
          <w:tcPr>
            <w:tcW w:w="2660" w:type="dxa"/>
            <w:vAlign w:val="bottom"/>
          </w:tcPr>
          <w:p>
            <w:pPr>
              <w:ind w:left="400"/>
              <w:spacing w:after="0"/>
              <w:rPr>
                <w:sz w:val="20"/>
                <w:szCs w:val="20"/>
                <w:color w:val="auto"/>
              </w:rPr>
            </w:pPr>
            <w:r>
              <w:rPr>
                <w:rFonts w:ascii="Arial" w:cs="Arial" w:eastAsia="Arial" w:hAnsi="Arial"/>
                <w:sz w:val="18"/>
                <w:szCs w:val="18"/>
                <w:color w:val="auto"/>
                <w:w w:val="94"/>
              </w:rPr>
              <w:t>Earnings before income taxes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120.7 %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59.3 %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Store Revenue. </w:t>
      </w:r>
      <w:r>
        <w:rPr>
          <w:rFonts w:ascii="Arial" w:cs="Arial" w:eastAsia="Arial" w:hAnsi="Arial"/>
          <w:sz w:val="16"/>
          <w:szCs w:val="16"/>
          <w:color w:val="auto"/>
        </w:rPr>
        <w:t>Total store revenue increased by $495.7 million, or 75.0%, to $1,156.9 million for the three months ended June 30, 2021, from $661.2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2020. This increase was primarily due to increases of approximately $444.0 million and $46.6 million in revenues in the Acima and Rent-A-Center Business segments, respectively, as discussed further in the section “Segment Performance”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increased by $163.8 million, or 104.2%, to $320.9 million as compared to $157.1 million in 2020. This increase in cost of rentals and fees was primarily attributable to increases of $149.2 million and $13.5 million in the Acima and Rent-A-Center Business segments, respectively, as discussed further in the section “Segment Performance” below. Cost of rentals and fees expressed as a percentage of rentals and fees revenue was 35.0% for the three months ended June 30, 2021, as compared to 29.4% in 2020.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$146.9 million, or 142.7%, to $249.9 million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$103.0 million in 2020, primarily attributable to an increase of $154.8 million in the Acima segment, partially offset by a decrease of $8.2 million in the Rent-A-Center Business segment as discussed further in the section “Segment Performance” below. The gross margin percent of merchandise sales decreased to (12.9)% for the three months ended June 30, 2021, from 4.7%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$188.0 million, or 47.0%, to $587.5 million for the three months ended June 30, 2021, from $399.5 million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increases of $140.0 million and $41.1 million in the Acima and Rent-A-Center Business segments, respectively, as discussed further in the section “Segment Performance” below. Gross profit as a percentage of total revenue decreased to 49.2% for the three months ended June 30, 2021, as compared to 58.4%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$29.4 million, or 22.6%, to $159.3 million, for the three months ended June 30, 2021, as compared to $129.9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primarily due to increases of $17.5 million and $10.8 million in the Acima and Rent-A-Center Business segments, respectively, as discussed further in the section “Segment Performance” below. Store labor expressed as a percentage of total store revenue was 13.8% for the three months ended June 30, 2021, as compared to 19.6% in 2020.</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increased by $20.2 million, or 12.6%, to $181.0 million for the three months ended June 30, 2021,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$160.8 million in 2020, primarily due to an increase of $28.4 million in the Acima segment, partially offset by a decrease of $9.4 million in the Rent-A-Center Business segment, as discussed further in the section “Segment Performance” below. Other store expenses expressed as a percentage of total store revenue were 15.6% for the three months ended June 30, 2021, compared to 24.3% in 2020.</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$21.5 million, or 65.1%, to $54.4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as compared to $32.9 million in 2020, primarily due to higher labor overhead as a result of the acquisition of Acima Holdings and higher incentive compensation in 2021, combined with the impact of cost savings initiatives implemented in response to COVID-19 in 2020. General and administrative expenses expressed as a percentage of total revenue were 4.6% for the three months ended June 30, 2021, compared to 4.8% in 2020.</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Other Charges. </w:t>
      </w:r>
      <w:r>
        <w:rPr>
          <w:rFonts w:ascii="Arial" w:cs="Arial" w:eastAsia="Arial" w:hAnsi="Arial"/>
          <w:sz w:val="16"/>
          <w:szCs w:val="16"/>
          <w:color w:val="auto"/>
        </w:rPr>
        <w:t>Other charges increased by $64.8 million, to $72.7 million for the three months ended June 30, 2021, as compared to $7.9 million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Other charges for the three months ended June 30, 2021 primarily included stock compensation expense related to equity consideration subject to vesting conditions, depreciation and amortization of acquired software and intangible assets, and other one-time transaction and integration costs related to the acquisition of Acima Holdings. Other charges for the three months ended June 30, 2020 primarily related to legal settlement and state sales tax assessment reserves, cost savings initiatives, inventory losses resulting from damage related to social unrest, employee payroll and incremental sanitation costs in connection with COVID-19, and store closures impacts, partially offset by rent abatements and insurance proceeds</w:t>
      </w:r>
    </w:p>
    <w:p>
      <w:pPr>
        <w:spacing w:after="0" w:line="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increased by $52.9 million, to $106.5 million for the three months ended June 30, 2021, as compared to $53.6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primarily due to the increase in gross profit, partially offset by increases in general and administrative expenses and other charges, as described above. Operating profit expressed as a percentage of total revenue was 8.9% for the three months ended June 30, 2021, compared to 7.8% in 2020.</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three months ended June 30, 2021 was $24.8 million, as compared to $11.2 million in 2020.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was 28.8% for the three months ended June 30, 2021, compared to 22.6% in 2020.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increased by $807.8 million, or 60.0%, to $2,153.9 million for the six months ended June 30, 2021, from $1,346.1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30, 2020. This increase was primarily due to increases of approximately $685.4 million and $116.5 million in the Acima and Rent-A-Center Business segments, respectively, as discussed further in the section "Segment Performance" below.</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increased by $245.3 million, or 76.1%, to $567.9 million as compared to $322.6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million in 2020. This increase in cost of rentals and fees was primarily attributable to increases of $220.7 million and $23.5 million in the Acima and Rent-A-Center Business segments, respectively, as discussed further in the section "Segment Performance" below. Cost of rentals and fees expressed as a percentage of rentals and fees revenue increased to 34.2% for the six months ended June 30, 2021 as compared to 29.3% in 2020.</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$288.3 million, or 142.9%, to $490.0 million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$201.7 million in 2020, primarily attributable to increases of $278.7 million and $9.2 million in the Acima and Rent-A-Center Business segments, respectively, as discussed further in the section "Segment Performance" below. The gross margin percent of merchandise sales decreased to (7.9)% for the six months ended June 30, 2021, from 3.7%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$278.3 million, or 33.9%, to $1,098.0 million for the six months ended June 30, 2021, from $819.7 million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increases of $185.9 million and $82.8 million in the Acima and Rent-A-Center Business segments, respectively, as discussed further in the section "Segment Performance" below. Gross profit as a percentage of total revenue decreased to 49.2% for the six months ended June 30, 2021, as compared to 59.2%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$32.3 million, or 11.4%, to $316.0 million, for the six months ended June 30, 2021, as compared to $283.7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attributable to increases of $20.6 million and $10.6 million in the Acima and Rent-A-Center Business segments, respectively, as discussed further in the section "Segment Performance" below. Store labor expressed as a percentage of total store revenue was 14.7% for the six months ended June 30, 2021, as compared to 21.1% in 2020.</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increased by $28.6 million, to $351.1 million for the six months ended June 30, 2021, as compared to $322.5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2020, primarily attributable to an increase of $46.4 million in the Acima segment, partially offset by a decrease of $19.4 million in the Rent-A-Center Business segment, as discussed further in the section "Segment Performance" below. Other store expenses expressed as a percentage of total store revenue were 16.3% for the six months ended June 30, 2021, compared to 24.0% in 2020.</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$31.4 million, or 43.5%, to $103.5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as compared to $72.1 million in 2020, primarily due to higher labor overhead as a result of the acquisition of Acima Holdings and higher incentive compensation in 2021, combined with the impact of cost savings initiatives implemented in response to COVID-19 in 2020. General and administrative expenses expressed as a percentage of total revenue were 4.6% for the six months ended June 30, 2021, compared to 5.2% in 2020.</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Other Charges. </w:t>
      </w:r>
      <w:r>
        <w:rPr>
          <w:rFonts w:ascii="Arial" w:cs="Arial" w:eastAsia="Arial" w:hAnsi="Arial"/>
          <w:sz w:val="17"/>
          <w:szCs w:val="17"/>
          <w:color w:val="auto"/>
        </w:rPr>
        <w:t>Other charges increased by $114.2 million, to $123.8 million for the six months ended June 30, 2021, as compared to $9.6 million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Other charges for the six months ended June 30, 2021 primarily included stock compensation expense related to equity consideration subject to vesting conditions, depreciation and amortization of acquired software and intangible assets, and one-time transaction and integration costs related to the acquisition of Acima Holdings. Other gains and charges for the six months ended June 30, 2020 primarily related to legal settlement and state sales tax assessment reserves, cost savings initiatives, inventory losses resulting from damage and looting related to social unrest, employee payroll and sanitation costs in connection with COVID-19, and store closure impacts, partially offset by rent abatements and insurance proceeds.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increased by $74.1 million, to $176.6 million for the six months ended June 30, 2021, as compared to $102.5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primarily due to the increase in gross profit, partially offset by increases in general and administrative expenses and other charges, as described above. Operating profit expressed as a percentage of total revenue was 7.9% for the six months ended June 30, 2021, compared to 7.4% in 2020.</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six months ended June 30, 2021 was $31.7 million, as compared to $6.5 million in 2020. The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was 23.4% for the six months ended June 30, 2021, compared to 6.9% in 2020. The increase in the effective tax rate is primarily related to the tax benefit of net operating loss carrybacks at a 35% tax rate as a result of changes from the Coronavirus Aid, Relief, and Economic Security Act (the "CARES Act") in 2020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6"/>
                <w:szCs w:val="16"/>
                <w:color w:val="auto"/>
              </w:rPr>
            </w:pPr>
          </w:p>
        </w:tc>
        <w:tc>
          <w:tcPr>
            <w:tcW w:w="110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505,834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459,192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10.2 %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1,030,700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Pr>
          <w:p>
            <w:pPr>
              <w:jc w:val="right"/>
              <w:spacing w:after="0"/>
              <w:rPr>
                <w:sz w:val="20"/>
                <w:szCs w:val="20"/>
                <w:color w:val="auto"/>
              </w:rPr>
            </w:pPr>
            <w:r>
              <w:rPr>
                <w:rFonts w:ascii="Arial" w:cs="Arial" w:eastAsia="Arial" w:hAnsi="Arial"/>
                <w:sz w:val="18"/>
                <w:szCs w:val="18"/>
                <w:color w:val="auto"/>
              </w:rPr>
              <w:t>357,187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92"/>
              </w:rPr>
              <w:t>13.0 %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48.6 %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92"/>
              </w:rPr>
              <w:t>16.6 %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Stores in same store revenue</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calculation</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8"/>
        <w:spacing w:after="0" w:line="257" w:lineRule="auto"/>
        <w:tabs>
          <w:tab w:leader="none" w:pos="127"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full month following account transfer. Due to the COVID-19 pandemic and related temporary store closures, all 32 stores in Puerto Rico were excluded starting in March 2020 and will remain excluded through September 2021.</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and six months ended June 30, 2021, as compared to 2020, was primarily due to an increase in same store</w:t>
      </w:r>
      <w:r>
        <w:rPr>
          <w:rFonts w:ascii="Arial" w:cs="Arial" w:eastAsia="Arial" w:hAnsi="Arial"/>
          <w:sz w:val="18"/>
          <w:szCs w:val="18"/>
          <w:i w:val="1"/>
          <w:iCs w:val="1"/>
          <w:color w:val="auto"/>
        </w:rPr>
        <w:t xml:space="preserve"> </w:t>
      </w:r>
      <w:r>
        <w:rPr>
          <w:rFonts w:ascii="Arial" w:cs="Arial" w:eastAsia="Arial" w:hAnsi="Arial"/>
          <w:sz w:val="18"/>
          <w:szCs w:val="18"/>
          <w:color w:val="auto"/>
        </w:rPr>
        <w:t>sales revenue driven by growth in e-commerce sales, partially offset by the impact of refranchising approximately 100 stores in California in the fourth quarter of 2020.</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for the three and six months ended June 30, 2021, as compared to 2020, driven primarily by increased segment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above. Gross profit as a percentage of segment revenues was 70.6% and 69.5% for the three and six months ended June 30, 2021, as compared to 68.8% and 69.3% for the corresponding period in 2020.</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was 25.0% and 24.0% for the three and six months ended June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18.5% and 16.7% for the respective periods in 2020. The increase in operating profit for the three and six months ended June 30, 2021, as compared to 2020 was driven primarily by increased operating leverage as a result of higher revenues and lower operating expenses, including lower merchandise losses. Charge-offs in our Rent-A-Center Business lease-to-own stores due to customer stolen merchandise, expressed as a percentage of Rent-A-Center Business lease-to-own revenues, were approximately 2.6% and 2.8% for the three and six months ended June 30, 2021, compared to 3.7% and 3.8% for the respective periods in 2020. Charge-offs in our Rent-A-Center Business lease-to-own stores due to other merchandise losses, expressed as a percentage of Rent-A-Center Business lease-to-own revenues, were approximately 1.5% and 1.4% for the three and six months ended June 30, 2021, compared to 1.7% and 1.4% for the respective periods in 2020. Other merchandise losses include unrepairable and missing merchandise, and loss/damage waiver claims.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Acima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242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635,280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191,243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444,037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1,092,729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168.2 %</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Pr>
          <w:p>
            <w:pPr>
              <w:jc w:val="right"/>
              <w:spacing w:after="0"/>
              <w:rPr>
                <w:sz w:val="20"/>
                <w:szCs w:val="20"/>
                <w:color w:val="auto"/>
              </w:rPr>
            </w:pPr>
            <w:r>
              <w:rPr>
                <w:rFonts w:ascii="Arial" w:cs="Arial" w:eastAsia="Arial" w:hAnsi="Arial"/>
                <w:sz w:val="18"/>
                <w:szCs w:val="18"/>
                <w:color w:val="auto"/>
              </w:rPr>
              <w:t>211,404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71,391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196.1 %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345,654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159,706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116.4 %</w:t>
            </w: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279.9 %</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and six months ended June 30, 2021 compared to 2020, was driven primarily by the acquisition of Acima</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for the three and six months ended June 30, 2021, compared to 2020, driven by higher revenue, discussed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gross profit margin due to higher mix of rental agreements generated from our virtual business model primarily related to the recent acquisition of Acima Holdings. Gross profit as a percentage of segment revenues decreased to 33.3% and 31.6% for the three and six months ended June 30, 2021, compared to 37.3% and 39.2% for the respective periods in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for the three and six months ended June 30, 2021, as compared to 2020, primarily driven by higher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Acima Holdings acquisition and stronger lease performance. Charge-offs in our Acima locations due to customer stolen merchandise, expressed as a percentage of revenues, were approximately 8.7% for both the three and six months ended June 30, 2021, compared to 18.4% and 15.1% for the respective periods in 2020. Charge-offs in our Acima locations due to other merchandise losses, expressed as a percentage of revenues, were approximately 0.1% and 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spacing w:after="0" w:line="342" w:lineRule="auto"/>
        <w:rPr>
          <w:sz w:val="20"/>
          <w:szCs w:val="20"/>
          <w:color w:val="auto"/>
        </w:rPr>
      </w:pPr>
      <w:r>
        <w:rPr>
          <w:rFonts w:ascii="Arial" w:cs="Arial" w:eastAsia="Arial" w:hAnsi="Arial"/>
          <w:sz w:val="16"/>
          <w:szCs w:val="16"/>
          <w:color w:val="auto"/>
        </w:rPr>
        <w:t>for the six months ended June 30, 2021, compared to 0.3% in both of the respective periods in 2020. Operating profit as a percentage of segment revenues increased to 10.7% and 8.5% for the three and six months ended June 30, 2021, compared to 3.3% and 6.0% for the respective periods in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6"/>
                <w:szCs w:val="16"/>
                <w:color w:val="auto"/>
              </w:rPr>
            </w:pPr>
          </w:p>
        </w:tc>
        <w:tc>
          <w:tcPr>
            <w:tcW w:w="124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gridSpan w:val="3"/>
          </w:tcPr>
          <w:p>
            <w:pPr>
              <w:jc w:val="right"/>
              <w:ind w:right="8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84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15,255</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10,611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40" w:type="dxa"/>
            <w:vAlign w:val="bottom"/>
          </w:tcPr>
          <w:p>
            <w:pPr>
              <w:jc w:val="right"/>
              <w:spacing w:after="0"/>
              <w:rPr>
                <w:sz w:val="20"/>
                <w:szCs w:val="20"/>
                <w:color w:val="auto"/>
              </w:rPr>
            </w:pPr>
            <w:r>
              <w:rPr>
                <w:rFonts w:ascii="Arial" w:cs="Arial" w:eastAsia="Arial" w:hAnsi="Arial"/>
                <w:sz w:val="18"/>
                <w:szCs w:val="18"/>
                <w:color w:val="auto"/>
              </w:rPr>
              <w:t>10,818</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16,960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116.6 %</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Stores in same store revenue</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2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calculation</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8"/>
        <w:spacing w:after="0" w:line="277" w:lineRule="auto"/>
        <w:tabs>
          <w:tab w:leader="none" w:pos="127"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full month following account transfer.</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Exchange rate fluctuations resulted in positive impacts on revenues of approximately $2.1 million and $1.6 million for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as compared to the same periods in 2020. On a constant currency basis, revenues for the three and six months ended June 30, 2021 increased approximately $2.6 million and $4.0 million, compared to the same periods in 2020.</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Exchange rate fluctuations resulted in positive impacts on gross profit of approximately $1.5 million and $1.1 million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as compared to the same periods in 2020. On a constant currency basis, gross profit for the three and six months ended June 30, 2021 increased by approximately $1.9 million and $2.9 million as compared to the same periods in 2020. Gross profit as a percentage of segment revenues was 70.9% and 70.7% for the three and six months ended June 30, 2021, compared to 70.0% and 70.2% for the respective periods in 2020.</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Exchange rate fluctuations resulted in positive impacts to operating profit of approximately $0.3 million and $0.2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2021, as compared to the same periods in 2020. On a constant currency basis, operating profit for the three and six months ended June 30, 2021 increased by approximately $1.0 million and $2.2 million, respectively, as compared to the same periods in 2020. Operating profit as a percentage of segment revenues increased to 15.9% and 14.7% for the three and six months ended June 30, 2021, compared to 9.9% and 8.4% for the respective periods in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88"/>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r>
      <w:tr>
        <w:trPr>
          <w:trHeight w:val="224"/>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58.4 %</w:t>
            </w: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92.5 %</w:t>
            </w:r>
          </w:p>
        </w:tc>
      </w:tr>
    </w:tbl>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for the three and six months ended June 30, 2021 compared to the respective periods in 2020, primarily due to a higher store</w:t>
      </w:r>
      <w:r>
        <w:rPr>
          <w:rFonts w:ascii="Arial" w:cs="Arial" w:eastAsia="Arial" w:hAnsi="Arial"/>
          <w:sz w:val="16"/>
          <w:szCs w:val="16"/>
          <w:i w:val="1"/>
          <w:iCs w:val="1"/>
          <w:color w:val="auto"/>
        </w:rPr>
        <w:t xml:space="preserve"> </w:t>
      </w:r>
      <w:r>
        <w:rPr>
          <w:rFonts w:ascii="Arial" w:cs="Arial" w:eastAsia="Arial" w:hAnsi="Arial"/>
          <w:sz w:val="16"/>
          <w:szCs w:val="16"/>
          <w:color w:val="auto"/>
        </w:rPr>
        <w:t>count, resulting from the refranchising of approximately 100 California stores during 2020 and higher inventory purchases by franchisees.</w:t>
      </w:r>
    </w:p>
    <w:p>
      <w:pPr>
        <w:spacing w:after="0" w:line="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as a percentage of segment revenues was 21.4% and 19.3% for the three and six months ended June 30, 2021, compared to 20.5%</w:t>
      </w:r>
      <w:r>
        <w:rPr>
          <w:rFonts w:ascii="Arial" w:cs="Arial" w:eastAsia="Arial" w:hAnsi="Arial"/>
          <w:sz w:val="16"/>
          <w:szCs w:val="16"/>
          <w:i w:val="1"/>
          <w:iCs w:val="1"/>
          <w:color w:val="auto"/>
        </w:rPr>
        <w:t xml:space="preserve"> </w:t>
      </w:r>
      <w:r>
        <w:rPr>
          <w:rFonts w:ascii="Arial" w:cs="Arial" w:eastAsia="Arial" w:hAnsi="Arial"/>
          <w:sz w:val="16"/>
          <w:szCs w:val="16"/>
          <w:color w:val="auto"/>
        </w:rPr>
        <w:t>and 23.6% for the respective periods in 2020. The increase for the three months ended June 30, 2021 was primarily due to a higher percentage of royalty income and fees included in revenues, compared to the respective period in 2020. Conversely the decrease for the six months ended June 30, 2021, was primarily due to a lower percentage of royalty income and fees included in the revenues, compared to the respective period in 2020.</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was 15.1% and 13.8%, for the three and six months ended June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13.3% and 13.9% for the respective periods in 2020. The increase for the three months ended June 30, 2021 compared to the respective period in 2020 was primarily due to the increase in gross profit as a percentage of segment revenues described above. Conversely, the decrease for the six months ended June 30, 2021, compared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to the respective period in 2020 was primarily due to the decrease in gross profit as a percentage of segment revenues described above, in addition to an increase in operating expenses compared to the respective period in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For the six months ended June 30, 2021, we generated $250.5 million in operating cash flow. We used cash in the amount of $1,273.5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$46.1 million for debt issuance costs, $35.1 million for dividends, and $25.4 million for capital expenditures. We ended the second quarter of 2021 with $145.1 million of cash and cash equivalents and outstanding indebtedness of $1.32 billion.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decreased by $4.2 million to $250.5 million for the six months ended June 30,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$254.7 million in 2020, primarily due to an increase in inventory purchases, in addition to cost savings initiatives implemented by the Company in response to COVID-19 and benefits from the CARES Act in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$1,298.9 million for the six months ended June 30, 2021, compared to $14.4 million in 2020, a change of $1,284.5 million, primarily due to the Acima Holdings acquisition in February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(used in) financing activities was $1,033.9 million for the six months ended June 30, 2021, compared to $(102.7) in 2020, representing a change of $1,136.6 million, primarily due to an increase in debt proceeds of $1,292.0 million during the six months ended June 30, 2021 to fund the Acima Holdings acquisition in February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debt service, and dividends.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July 29, 2021, we had approximately $138.1 million in cash on hand, and $462.6 million available under our ABL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deferred approximately $23 million in employer payroll taxes to future periods as part of the benefits received from the CARES Act passed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government in response to COVID-19. We expect to repay approximately $12 million in deferred employer taxes during the second half of 2021.</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$211 million for us in 2020. We estimate the remaining tax deferral associated with bonus depreciation from these Acts is approximately $260 million at December 31, 2020, of which approximately 80%, or $207 million, will reverse in 2021, and the majority of the remainder will reverse between 2022 and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8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48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Customer stolen merchandise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69,088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54,519</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101,429</w:t>
            </w:r>
          </w:p>
        </w:tc>
      </w:tr>
      <w:tr>
        <w:trPr>
          <w:trHeight w:val="230"/>
        </w:trPr>
        <w:tc>
          <w:tcPr>
            <w:tcW w:w="4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merchandise losses </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r>
      <w:tr>
        <w:trPr>
          <w:trHeight w:val="248"/>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77,174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62,672</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3"/>
          <w:szCs w:val="13"/>
          <w:color w:val="auto"/>
        </w:rPr>
        <w:t>Includes incremental losses related to COVID-19</w:t>
      </w:r>
    </w:p>
    <w:p>
      <w:pPr>
        <w:ind w:left="160" w:hanging="152"/>
        <w:spacing w:after="0" w:line="195" w:lineRule="auto"/>
        <w:tabs>
          <w:tab w:leader="none" w:pos="16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$25.4 million and $14.8 million on capital expenditures during the six months ended June 30, 2021 and 2020, respectively.</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Acquisitions and New Location Openings. </w:t>
      </w:r>
      <w:r>
        <w:rPr>
          <w:rFonts w:ascii="Arial" w:cs="Arial" w:eastAsia="Arial" w:hAnsi="Arial"/>
          <w:sz w:val="16"/>
          <w:szCs w:val="16"/>
          <w:color w:val="auto"/>
        </w:rPr>
        <w:t>During the first six months of 2021, we acquired one rent-to-own store location and customer accounts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purchase price of approximately $0.3 million. The store location remained open upon acquisition as part of our Rent-A-Center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ind w:right="700"/>
        <w:spacing w:after="0" w:line="269" w:lineRule="auto"/>
        <w:rPr>
          <w:sz w:val="20"/>
          <w:szCs w:val="20"/>
          <w:color w:val="auto"/>
        </w:rPr>
      </w:pPr>
      <w:r>
        <w:rPr>
          <w:rFonts w:ascii="Arial" w:cs="Arial" w:eastAsia="Arial" w:hAnsi="Arial"/>
          <w:sz w:val="18"/>
          <w:szCs w:val="18"/>
          <w:color w:val="auto"/>
        </w:rPr>
        <w:t>The table below summarizes the store location activity for the six-month period ended June 30, 2021 for our Rent-A-Center Business, Mexico and Franchising operating segments.</w:t>
      </w:r>
    </w:p>
    <w:tbl>
      <w:tblPr>
        <w:tblLayout w:type="fixed"/>
        <w:tblInd w:w="0" w:type="dxa"/>
        <w:tblCellMar>
          <w:top w:w="0" w:type="dxa"/>
          <w:left w:w="0" w:type="dxa"/>
          <w:bottom w:w="0" w:type="dxa"/>
          <w:right w:w="0" w:type="dxa"/>
        </w:tblCellMar>
      </w:tblPr>
      <w:tr>
        <w:trPr>
          <w:trHeight w:val="144"/>
        </w:trPr>
        <w:tc>
          <w:tcPr>
            <w:tcW w:w="558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Rent-A-Center</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Mexico</w:t>
            </w: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Franchising</w:t>
            </w:r>
          </w:p>
        </w:tc>
        <w:tc>
          <w:tcPr>
            <w:tcW w:w="13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Business</w:t>
            </w:r>
          </w:p>
        </w:tc>
        <w:tc>
          <w:tcPr>
            <w:tcW w:w="14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Closed locations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Merged with existing locations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end of period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Acima segment.</w:t>
      </w:r>
    </w:p>
    <w:p>
      <w:pPr>
        <w:spacing w:after="0" w:line="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Senior Debt. </w:t>
      </w:r>
      <w:r>
        <w:rPr>
          <w:rFonts w:ascii="Arial" w:cs="Arial" w:eastAsia="Arial" w:hAnsi="Arial"/>
          <w:sz w:val="16"/>
          <w:szCs w:val="16"/>
          <w:color w:val="auto"/>
        </w:rPr>
        <w:t>On February 17, 2021, we entered into a credit agreement with JPMorgan Chase Bank, N.A., as administrative agent, and lenders party</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February 19, 2021, was 2.125%.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the subsidiary guarantors’ accounts, inventory, deposit accounts, securities accounts, cash and cash equivalents, rental agreements, general intangibles (other than equity interests in o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July 29, 2021, we had outstanding borrowings of $872.8 million and available commitments of $462.6 million under our ABL Credit Facility, net of letters of credit.</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17, 2021, we also entered into a term loan credit agreement with JPMorgan Chase Bank, N.A., as administrative agent, and lenders party thereto, that provides for a seven-year $875 million senior secured term loan facility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4.00%, subject to a 0.75%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ours and the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repay certain of our outstanding indebtedness and our subsidiaries, repay all outstanding indebtedness of Acima and its subsidiaries and pay certain fees and expenses incurred in connection with the Acima Holdings acquisition. A portion of such proceeds were used to repay $197.5 million outstanding under our prior term loan facility, dated as of August 5, 2019, among us, JPMorgan Chase Bank, N.A., as administrative agent, and the lenders party thereto (the “Prior Term Loan Facility”), which Prior Term Loan Facility was terminated in connection with such repayment. At February 19, 2021, we had outstanding borrowings of $875 million under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spacing w:after="0" w:line="289"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On February 17, 2021, we issued $450.0 million in senior unsecured notes due February 15, 2029, at par value, bearing interest at 6.375%</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2027.</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June 30, 2021, our total remaining obligation for existing store lease contracts was approximately $337.9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Business stores under operating leases with lease terms expiring 12 months after the start date of the lease. We classify these leases as short-term and have elected the short-term lease exemption for our vehicle leases, and have therefore excluded them from our operating lease right-of-use assets within our Condensed Consolidated Balance Sheet. As of June 30, 2021, our total remaining minimum obligation for existing Rent-A-Center Business vehicle lease contracts was approximately $1.9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2025 with rental rates adjusted periodically for inflation. As of June 30, 2021, our total remaining obligation for existing Mexico vehicle lease contracts was approximately $0.7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of our consolidated financial statements for additional discussion of our store operating 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June 30, 2021, we have recorded $21.9 million in uncertain tax positions. Although these positions represent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liability to us, the amounts and timing of such payments are uncertain.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 Furthermore, we tend to experience slower growth in the number of rental purchase agreements in the third quarter of each fiscal year compared to other quarters throughout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As of June 30, 2021, we believe the impact of any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2021, we had $872.8 million outstanding under our term loan credit agreement at an interest rate indexed to the Eurodollar rate, which exposes us to the risk of increased interest costs if interest rates rise. Based on our overall interest rate exposure at June 30, 2021, a hypothetical 1.0% increase or decrease in market interest rates would have the effect of causing an additional $8.8 million annualized pre-tax charge or credit to interest expense in our consolidated statement of operations. We have not entered into any interest rate swap agreements as of June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2021, our disclosure controls and procedures (as defined in Rules 13a– 15(e) and 15d–15(e) under the Securities Exchange Act of 1934) were effective.</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Changes in internal controls over financial reporting</w:t>
      </w:r>
      <w:r>
        <w:rPr>
          <w:rFonts w:ascii="Arial" w:cs="Arial" w:eastAsia="Arial" w:hAnsi="Arial"/>
          <w:sz w:val="16"/>
          <w:szCs w:val="16"/>
          <w:color w:val="auto"/>
        </w:rPr>
        <w:t>. In February 2021, we acquired Acima Holdings. We are currently in the process of integrating Acima</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into our assessment of our internal control over financial reporting. Management's assessment and conclusions on the effectiveness of our disclosure controls and procedures as of June 30, 2021 excludes an assessment of the internal control over financial reporting of Acima Holdings. Acima Holdings represents approximately 34% and 28% of the Company's total revenues for the three and six months ended June 30, 2021, respectively.</w:t>
      </w:r>
    </w:p>
    <w:p>
      <w:pPr>
        <w:spacing w:after="0" w:line="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quarter ended June 30, 2021, there have been no changes in our internal control over financial reporting (as defined in Rule 13a-15(f) under the Securities Exchange Act of 1934)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reference Note 13 in the Notes to our Financial Statements for additional discussion of our legal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1, "Risk Factors" of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4979"/>
        <w:spacing w:after="0" w:line="406"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gridSpan w:val="19"/>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1"/>
                <w:szCs w:val="21"/>
                <w:color w:val="auto"/>
              </w:rPr>
            </w:pPr>
          </w:p>
        </w:tc>
        <w:tc>
          <w:tcPr>
            <w:tcW w:w="9980" w:type="dxa"/>
            <w:vAlign w:val="bottom"/>
            <w:gridSpan w:val="27"/>
          </w:tcPr>
          <w:p>
            <w:pPr>
              <w:spacing w:after="0"/>
              <w:rPr>
                <w:rFonts w:ascii="Arial" w:cs="Arial" w:eastAsia="Arial" w:hAnsi="Arial"/>
                <w:sz w:val="18"/>
                <w:szCs w:val="18"/>
                <w:color w:val="0000FF"/>
                <w:w w:val="97"/>
              </w:rPr>
            </w:pPr>
            <w:hyperlink r:id="rId52">
              <w:r>
                <w:rPr>
                  <w:rFonts w:ascii="Arial" w:cs="Arial" w:eastAsia="Arial" w:hAnsi="Arial"/>
                  <w:sz w:val="18"/>
                  <w:szCs w:val="18"/>
                  <w:color w:val="0000FF"/>
                  <w:w w:val="97"/>
                </w:rPr>
                <w:t>Certificate of Incorporation of Rent-A-Center, Inc., as amended (incorporated herein by reference to Exhibit 3.1 to the registrant's</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Current Report on Form 8-K dated as of December 31, 2002)</w:t>
              </w:r>
            </w:hyperlink>
          </w:p>
        </w:tc>
        <w:tc>
          <w:tcPr>
            <w:tcW w:w="55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8"/>
              </w:rPr>
            </w:pPr>
            <w:hyperlink r:id="rId53">
              <w:r>
                <w:rPr>
                  <w:rFonts w:ascii="Arial" w:cs="Arial" w:eastAsia="Arial" w:hAnsi="Arial"/>
                  <w:sz w:val="18"/>
                  <w:szCs w:val="18"/>
                  <w:color w:val="0000FF"/>
                  <w:w w:val="98"/>
                </w:rPr>
                <w:t>Certificate of Amendment to the Certificate of Incorporation of Rent-A-Center, Inc., dated May 19, 2004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Certificate of Amendment to the Certificate of Incorporation of Rent-A-Center, Inc., dated June 8, 2021 (incorporated herein by</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reference to Exhibit 3.1 to the registrant's Current Report on Form 8-K dated as of June 8, 2021)</w:t>
              </w:r>
            </w:hyperlink>
          </w:p>
        </w:tc>
        <w:tc>
          <w:tcPr>
            <w:tcW w:w="29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Certificate of Designations of Series D Preferred Stock of Rent-A-Center, Inc. (incorporated herein by reference to Exhibit 3.1 to the</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registrant's Current Report on Form 8-K dated as of March 29, 2017)</w:t>
              </w:r>
            </w:hyperlink>
          </w:p>
        </w:tc>
        <w:tc>
          <w:tcPr>
            <w:tcW w:w="49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3.5</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7"/>
              </w:rPr>
            </w:pPr>
            <w:hyperlink r:id="rId56">
              <w:r>
                <w:rPr>
                  <w:rFonts w:ascii="Arial" w:cs="Arial" w:eastAsia="Arial" w:hAnsi="Arial"/>
                  <w:sz w:val="18"/>
                  <w:szCs w:val="18"/>
                  <w:color w:val="0000FF"/>
                  <w:w w:val="97"/>
                </w:rPr>
                <w:t>Amended and Restated Bylaws of Rent-A-Center, Inc. (incorporated herein by reference to Exhibit 3.2 to the registrant's Current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Report on Form 8-K dated as of December 1, 2020)</w:t>
              </w:r>
            </w:hyperlink>
          </w:p>
        </w:tc>
        <w:tc>
          <w:tcPr>
            <w:tcW w:w="61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9980" w:type="dxa"/>
            <w:vAlign w:val="bottom"/>
            <w:gridSpan w:val="27"/>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Rent-A-Center, Inc. 2021 Long-Term Incentive Plan (incorporated herein by reference to Exhibit 10.1 to the registrant's Current Report</w:t>
              </w:r>
            </w:hyperlink>
          </w:p>
        </w:tc>
      </w:tr>
      <w:tr>
        <w:trPr>
          <w:trHeight w:val="136"/>
        </w:trPr>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40" w:type="dxa"/>
            <w:vAlign w:val="bottom"/>
            <w:tcBorders>
              <w:top w:val="single" w:sz="8" w:color="0000FF"/>
            </w:tcBorders>
            <w:gridSpan w:val="7"/>
          </w:tcPr>
          <w:p>
            <w:pPr>
              <w:spacing w:after="0" w:line="136" w:lineRule="exact"/>
              <w:rPr>
                <w:rFonts w:ascii="Arial" w:cs="Arial" w:eastAsia="Arial" w:hAnsi="Arial"/>
                <w:sz w:val="15"/>
                <w:szCs w:val="15"/>
                <w:color w:val="0000FF"/>
              </w:rPr>
            </w:pPr>
            <w:hyperlink r:id="rId57">
              <w:r>
                <w:rPr>
                  <w:rFonts w:ascii="Arial" w:cs="Arial" w:eastAsia="Arial" w:hAnsi="Arial"/>
                  <w:sz w:val="15"/>
                  <w:szCs w:val="15"/>
                  <w:color w:val="0000FF"/>
                </w:rPr>
                <w:t>on Form 8-K dated as of June 8, 2021)</w:t>
              </w:r>
            </w:hyperlink>
          </w:p>
        </w:tc>
        <w:tc>
          <w:tcPr>
            <w:tcW w:w="4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1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Rent-A-Center, Inc. 2021 Long-Term Incentive Plan Restricted Stock Unit Award Agreement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1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reference to Exhibit 10.2 to the registrant's Current Report on Form 8-K dated as of June 8, 2021)</w:t>
              </w:r>
            </w:hyperlink>
          </w:p>
        </w:tc>
        <w:tc>
          <w:tcPr>
            <w:tcW w:w="1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4"/>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00" w:type="dxa"/>
            <w:vAlign w:val="bottom"/>
          </w:tcPr>
          <w:p>
            <w:pPr>
              <w:spacing w:after="0"/>
              <w:rPr>
                <w:sz w:val="24"/>
                <w:szCs w:val="24"/>
                <w:color w:val="auto"/>
              </w:rPr>
            </w:pPr>
          </w:p>
        </w:tc>
        <w:tc>
          <w:tcPr>
            <w:tcW w:w="9980" w:type="dxa"/>
            <w:vAlign w:val="bottom"/>
            <w:gridSpan w:val="27"/>
          </w:tcPr>
          <w:p>
            <w:pPr>
              <w:spacing w:after="0"/>
              <w:rPr>
                <w:rFonts w:ascii="Arial" w:cs="Arial" w:eastAsia="Arial" w:hAnsi="Arial"/>
                <w:sz w:val="18"/>
                <w:szCs w:val="18"/>
                <w:color w:val="0000FF"/>
                <w:w w:val="98"/>
              </w:rPr>
            </w:pPr>
            <w:hyperlink r:id="rId59">
              <w:r>
                <w:rPr>
                  <w:rFonts w:ascii="Arial" w:cs="Arial" w:eastAsia="Arial" w:hAnsi="Arial"/>
                  <w:sz w:val="18"/>
                  <w:szCs w:val="18"/>
                  <w:color w:val="0000FF"/>
                  <w:w w:val="98"/>
                </w:rPr>
                <w:t>Form of Rent-A-Center, Inc. 2021 Long-Term Incentive Plan Performance Stock Unit Award Agreement (incorporated herein by</w:t>
              </w:r>
            </w:hyperlink>
          </w:p>
        </w:tc>
      </w:tr>
      <w:tr>
        <w:trPr>
          <w:trHeight w:val="135"/>
        </w:trPr>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120" w:type="dxa"/>
            <w:vAlign w:val="bottom"/>
            <w:tcBorders>
              <w:top w:val="single" w:sz="8" w:color="0000FF"/>
            </w:tcBorders>
            <w:gridSpan w:val="15"/>
          </w:tcPr>
          <w:p>
            <w:pPr>
              <w:spacing w:after="0" w:line="136" w:lineRule="exact"/>
              <w:rPr>
                <w:rFonts w:ascii="Arial" w:cs="Arial" w:eastAsia="Arial" w:hAnsi="Arial"/>
                <w:sz w:val="15"/>
                <w:szCs w:val="15"/>
                <w:color w:val="0000FF"/>
              </w:rPr>
            </w:pPr>
            <w:hyperlink r:id="rId59">
              <w:r>
                <w:rPr>
                  <w:rFonts w:ascii="Arial" w:cs="Arial" w:eastAsia="Arial" w:hAnsi="Arial"/>
                  <w:sz w:val="15"/>
                  <w:szCs w:val="15"/>
                  <w:color w:val="0000FF"/>
                </w:rPr>
                <w:t>reference to Exhibit 10.3 to the registrant's Current Report on Form 8-K dated as of June 8, 2021)</w:t>
              </w:r>
            </w:hyperlink>
          </w:p>
        </w:tc>
        <w:tc>
          <w:tcPr>
            <w:tcW w:w="1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Form of Rent-A-Center, Inc. 2021 Long-Term Incentive Plan Stock Option Award Agreement (incorporated herein by reference to</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Exhibit 10.4 to the registrant's Current Report on Form 8-K dated as of June 8, 2021)</w:t>
              </w:r>
            </w:hyperlink>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Form of Rent-A-Center, Inc. 2021 Long-Term Incentive Plan Deferred Stock Unit Award Agreement (Incorporated herein by reference</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to Exhibit 10.5 to the registrant's Current Report on Form 8-K dated as of June 8, 2021.)</w:t>
              </w:r>
            </w:hyperlink>
          </w:p>
        </w:tc>
        <w:tc>
          <w:tcPr>
            <w:tcW w:w="34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Certification pursuant to Rule 13a-14(a) of the Securities Exchange Act of 1934 implementing Section 302 of the Sarbanes-Oxley Act</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of 2002 by Mitchell E. Fadel</w:t>
              </w:r>
            </w:hyperlink>
          </w:p>
        </w:tc>
        <w:tc>
          <w:tcPr>
            <w:tcW w:w="100" w:type="dxa"/>
            <w:vAlign w:val="bottom"/>
            <w:gridSpan w:val="5"/>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of 2002 by Maureen B. Short</w:t>
              </w:r>
            </w:hyperlink>
          </w:p>
        </w:tc>
        <w:tc>
          <w:tcPr>
            <w:tcW w:w="776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pursuant to 18 U.S.C. Section 1350 as adopted pursuant to Section 906 of the Sarbanes-Oxley Act of 2002 by Mitchell E.</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Fadel</w:t>
              </w:r>
            </w:hyperlink>
          </w:p>
        </w:tc>
        <w:tc>
          <w:tcPr>
            <w:tcW w:w="9380" w:type="dxa"/>
            <w:vAlign w:val="bottom"/>
            <w:tcBorders>
              <w:top w:val="single" w:sz="8" w:color="0000FF"/>
            </w:tcBorders>
            <w:gridSpan w:val="16"/>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2"/>
                <w:szCs w:val="22"/>
                <w:color w:val="auto"/>
              </w:rPr>
            </w:pPr>
          </w:p>
        </w:tc>
        <w:tc>
          <w:tcPr>
            <w:tcW w:w="9980" w:type="dxa"/>
            <w:vAlign w:val="bottom"/>
            <w:gridSpan w:val="27"/>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pursuant to 18 U.S.C. Section 1350 as adopted pursuant to Section 906 of the Sarbanes-Oxley Act of 2002 by Maureen B.</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5">
              <w:r>
                <w:rPr>
                  <w:rFonts w:ascii="Arial" w:cs="Arial" w:eastAsia="Arial" w:hAnsi="Arial"/>
                  <w:sz w:val="18"/>
                  <w:szCs w:val="18"/>
                  <w:color w:val="0000FF"/>
                  <w:w w:val="88"/>
                </w:rPr>
                <w:t>Short</w:t>
              </w:r>
            </w:hyperlink>
          </w:p>
        </w:tc>
        <w:tc>
          <w:tcPr>
            <w:tcW w:w="9360" w:type="dxa"/>
            <w:vAlign w:val="bottom"/>
            <w:tcBorders>
              <w:top w:val="single" w:sz="8" w:color="0000FF"/>
            </w:tcBorders>
            <w:gridSpan w:val="15"/>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5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7"/>
              </w:rPr>
              <w:t>101.INS*</w:t>
            </w:r>
          </w:p>
        </w:tc>
        <w:tc>
          <w:tcPr>
            <w:tcW w:w="200" w:type="dxa"/>
            <w:vAlign w:val="bottom"/>
          </w:tcPr>
          <w:p>
            <w:pPr>
              <w:spacing w:after="0"/>
              <w:rPr>
                <w:sz w:val="21"/>
                <w:szCs w:val="21"/>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files because its XBRL tags are embedded</w:t>
            </w:r>
          </w:p>
        </w:tc>
      </w:tr>
      <w:tr>
        <w:trPr>
          <w:trHeight w:val="230"/>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0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0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20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0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101.PRE*</w:t>
            </w:r>
          </w:p>
        </w:tc>
        <w:tc>
          <w:tcPr>
            <w:tcW w:w="20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20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r>
        <w:trPr>
          <w:trHeight w:val="231"/>
        </w:trPr>
        <w:tc>
          <w:tcPr>
            <w:tcW w:w="960" w:type="dxa"/>
            <w:vAlign w:val="bottom"/>
          </w:tcPr>
          <w:p>
            <w:pPr>
              <w:spacing w:after="0"/>
              <w:rPr>
                <w:sz w:val="20"/>
                <w:szCs w:val="20"/>
                <w:color w:val="auto"/>
              </w:rPr>
            </w:pPr>
          </w:p>
        </w:tc>
        <w:tc>
          <w:tcPr>
            <w:tcW w:w="10180" w:type="dxa"/>
            <w:vAlign w:val="bottom"/>
            <w:gridSpan w:val="28"/>
          </w:tcPr>
          <w:p>
            <w:pPr>
              <w:ind w:left="100"/>
              <w:spacing w:after="0"/>
              <w:rPr>
                <w:sz w:val="20"/>
                <w:szCs w:val="20"/>
                <w:color w:val="auto"/>
              </w:rPr>
            </w:pPr>
            <w:r>
              <w:rPr>
                <w:rFonts w:ascii="Arial" w:cs="Arial" w:eastAsia="Arial" w:hAnsi="Arial"/>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MAUREEN B. SHORT</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Maureen B. Short</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3"/>
              </w:rPr>
              <w:t>EVP, Chief Financial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039"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207"/>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June 30, 2021,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August 5,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22"/>
          <w:szCs w:val="22"/>
          <w:color w:val="auto"/>
        </w:rPr>
        <w:t>In connection with the Quarterly Report on Form 10-Q of Rent-A-Center,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for the period ended June 30, 2021, as filed with the Securities and Exchange Commission on the date hereof (the "</w:t>
      </w:r>
      <w:r>
        <w:rPr>
          <w:rFonts w:ascii="Arial" w:cs="Arial" w:eastAsia="Arial" w:hAnsi="Arial"/>
          <w:sz w:val="22"/>
          <w:szCs w:val="22"/>
          <w:b w:val="1"/>
          <w:bCs w:val="1"/>
          <w:i w:val="1"/>
          <w:iCs w:val="1"/>
          <w:color w:val="auto"/>
        </w:rPr>
        <w:t>Report</w:t>
      </w:r>
      <w:r>
        <w:rPr>
          <w:rFonts w:ascii="Arial" w:cs="Arial" w:eastAsia="Arial" w:hAnsi="Arial"/>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21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August 5,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2" Type="http://schemas.openxmlformats.org/officeDocument/2006/relationships/image" Target="media/image45.png"/><Relationship Id="rId52" Type="http://schemas.openxmlformats.org/officeDocument/2006/relationships/hyperlink" Target="http://www.sec.gov/Archives/edgar/data/933036/000095013402016210/d02215exv3w1.txt" TargetMode="External"/><Relationship Id="rId53" Type="http://schemas.openxmlformats.org/officeDocument/2006/relationships/hyperlink" Target="http://www.sec.gov/Archives/edgar/data/933036/000095013404010948/d17068exv3w2.txt" TargetMode="External"/><Relationship Id="rId54" Type="http://schemas.openxmlformats.org/officeDocument/2006/relationships/hyperlink" Target="http://www.sec.gov/Archives/edgar/data/0000933036/000110465921078652/tm2119045d1_ex3-1.htm" TargetMode="External"/><Relationship Id="rId55" Type="http://schemas.openxmlformats.org/officeDocument/2006/relationships/hyperlink" Target="http://www.sec.gov/Archives/edgar/data/933036/000093303617000022/exhibit31march282017america.htm" TargetMode="External"/><Relationship Id="rId56" Type="http://schemas.openxmlformats.org/officeDocument/2006/relationships/hyperlink" Target="http://www.sec.gov/Archives/edgar/data/933036/000093303620000119/ex-32amendedandrestate.htm" TargetMode="External"/><Relationship Id="rId57" Type="http://schemas.openxmlformats.org/officeDocument/2006/relationships/hyperlink" Target="http://www.sec.gov/Archives/edgar/data/0000933036/000110465921078652/tm2119045d1_ex10-1.htm" TargetMode="External"/><Relationship Id="rId58" Type="http://schemas.openxmlformats.org/officeDocument/2006/relationships/hyperlink" Target="http://www.sec.gov/Archives/edgar/data/0000933036/000110465921078652/tm2119045d1_ex10-2.htm" TargetMode="External"/><Relationship Id="rId59" Type="http://schemas.openxmlformats.org/officeDocument/2006/relationships/hyperlink" Target="http://www.sec.gov/Archives/edgar/data/0000933036/000110465921078652/tm2119045d1_ex10-3.htm" TargetMode="External"/><Relationship Id="rId60" Type="http://schemas.openxmlformats.org/officeDocument/2006/relationships/hyperlink" Target="http://www.sec.gov/Archives/edgar/data/0000933036/000110465921078652/tm2119045d1_ex10-4.htm" TargetMode="External"/><Relationship Id="rId61" Type="http://schemas.openxmlformats.org/officeDocument/2006/relationships/hyperlink" Target="http://www.sec.gov/Archives/edgar/data/0000933036/000110465921078652/tm2119045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2021-08-06T05:58:54Z</dcterms:created>
  <dcterms:modified xsi:type="dcterms:W3CDTF">2021-08-06T05:58:54Z</dcterms:modified>
</cp:coreProperties>
</file>