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Blasquez Anthony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EVP-RAC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1"/>
        <w:gridCol w:w="900"/>
        <w:gridCol w:w="772"/>
        <w:gridCol w:w="598"/>
        <w:gridCol w:w="339"/>
        <w:gridCol w:w="905"/>
        <w:gridCol w:w="429"/>
        <w:gridCol w:w="786"/>
        <w:gridCol w:w="1119"/>
        <w:gridCol w:w="965"/>
        <w:gridCol w:w="10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18.85</w:t>
            </w:r>
            <w:r>
              <w:rPr>
                <w:rFonts w:ascii="Times;serif" w:hAnsi="Times;serif"/>
                <w:color w:val="008000"/>
                <w:position w:val="7"/>
                <w:sz w:val="16"/>
                <w:sz w:val="20"/>
                <w:shd w:fill="FFFFFF" w:val="clear"/>
              </w:rPr>
              <w:t>(1)</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43,717</w:t>
            </w:r>
            <w:r>
              <w:rPr>
                <w:rFonts w:ascii="Times;serif" w:hAnsi="Times;serif"/>
                <w:color w:val="008000"/>
                <w:position w:val="7"/>
                <w:sz w:val="16"/>
                <w:sz w:val="20"/>
                <w:shd w:fill="FFFFFF" w:val="clear"/>
              </w:rPr>
              <w:t>(2)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Company 401(k) Plan</w:t>
            </w:r>
          </w:p>
        </w:tc>
      </w:tr>
      <w:tr>
        <w:trPr/>
        <w:tc>
          <w:tcPr>
            <w:tcW w:w="23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Company NQDC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of $18.85. These shares were sold in multiple transactions at prices ranging from $18.81 to $18.87, inclusive. The reporting person undertakes to provide to Upbound Group, Inc., any security holder of Upbound Group, Inc. or the staff of the Securities and Exchange Commission, upon request, full information regarding the number of shares sold at each separate price within the foregoing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of common stock and unvested restriced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Anthony Blasquez</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color w:val="000000"/>
        </w:rPr>
        <w:t>”</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color w:val="000000"/>
        </w:rPr>
        <w: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Times New Roman" w:hAnsi="Times New Roman"/>
          <w:sz w:val="20"/>
        </w:rPr>
      </w:pPr>
      <w:r>
        <w:rPr>
          <w:rFonts w:ascii="sans-serif" w:hAnsi="sans-serif"/>
          <w:color w:val="000000"/>
          <w:sz w:val="20"/>
        </w:rPr>
        <w:t xml:space="preserve">Power of Attorney of Anthony Blasquez | Page </w:t>
      </w:r>
      <w:r>
        <w:rPr>
          <w:rFonts w:ascii="sans-serif" w:hAnsi="sans-serif"/>
          <w:b/>
          <w:color w:val="000000"/>
          <w:sz w:val="20"/>
        </w:rPr>
        <w:t>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2nd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Anthony Blasquez </w:t>
      </w:r>
    </w:p>
    <w:p>
      <w:pPr>
        <w:pStyle w:val="TextBody"/>
        <w:bidi w:val="0"/>
        <w:jc w:val="left"/>
        <w:rPr>
          <w:rFonts w:ascii="sans-serif" w:hAnsi="sans-serif"/>
          <w:color w:val="000000"/>
          <w:sz w:val="22"/>
        </w:rPr>
      </w:pPr>
      <w:r>
        <w:rPr>
          <w:rFonts w:ascii="sans-serif" w:hAnsi="sans-serif"/>
          <w:color w:val="000000"/>
          <w:sz w:val="22"/>
        </w:rPr>
        <w:t>Name: Anthony Blasquez</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sans-serif" w:hAnsi="sans-serif"/>
          <w:color w:val="000000"/>
          <w:sz w:val="20"/>
        </w:rPr>
        <w:t xml:space="preserve">Power of Attorney of Anthony Blasquez | Page </w:t>
      </w:r>
      <w:r>
        <w:rPr>
          <w:rFonts w:ascii="sans-serif" w:hAnsi="sans-serif"/>
          <w:b/>
          <w:color w:val="000000"/>
          <w:sz w:val="20"/>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381"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1171</Words>
  <Characters>6245</Characters>
  <CharactersWithSpaces>7332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