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3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auto"/>
        </w:rPr>
        <w:t>(Mark One)</w:t>
      </w:r>
    </w:p>
    <w:p>
      <w:pPr>
        <w:spacing w:after="0" w:line="144" w:lineRule="exact"/>
        <w:rPr>
          <w:sz w:val="24"/>
          <w:szCs w:val="24"/>
          <w:color w:val="auto"/>
        </w:rPr>
      </w:pPr>
    </w:p>
    <w:p>
      <w:pPr>
        <w:ind w:left="480" w:hanging="179"/>
        <w:spacing w:after="0"/>
        <w:tabs>
          <w:tab w:leader="none" w:pos="4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For the fiscal year end December 31, 2022</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or</w:t>
      </w:r>
    </w:p>
    <w:p>
      <w:pPr>
        <w:spacing w:after="0" w:line="34" w:lineRule="exact"/>
        <w:rPr>
          <w:sz w:val="24"/>
          <w:szCs w:val="24"/>
          <w:color w:val="auto"/>
        </w:rPr>
      </w:pPr>
    </w:p>
    <w:p>
      <w:pPr>
        <w:ind w:left="480" w:hanging="179"/>
        <w:spacing w:after="0"/>
        <w:tabs>
          <w:tab w:leader="none" w:pos="4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189"/>
        </w:trPr>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960" w:type="dxa"/>
            <w:vAlign w:val="bottom"/>
            <w:gridSpan w:val="3"/>
          </w:tcPr>
          <w:p>
            <w:pPr>
              <w:ind w:left="540"/>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tc>
        <w:tc>
          <w:tcPr>
            <w:tcW w:w="37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to</w:t>
            </w:r>
          </w:p>
        </w:tc>
      </w:tr>
      <w:tr>
        <w:trPr>
          <w:trHeight w:val="170"/>
        </w:trPr>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60" w:type="dxa"/>
            <w:vAlign w:val="bottom"/>
            <w:gridSpan w:val="5"/>
          </w:tcPr>
          <w:p>
            <w:pPr>
              <w:jc w:val="center"/>
              <w:ind w:right="2404"/>
              <w:spacing w:after="0" w:line="170" w:lineRule="exact"/>
              <w:rPr>
                <w:sz w:val="20"/>
                <w:szCs w:val="20"/>
                <w:color w:val="auto"/>
              </w:rPr>
            </w:pPr>
            <w:r>
              <w:rPr>
                <w:rFonts w:ascii="Times New Roman" w:cs="Times New Roman" w:eastAsia="Times New Roman" w:hAnsi="Times New Roman"/>
                <w:sz w:val="15"/>
                <w:szCs w:val="15"/>
                <w:b w:val="1"/>
                <w:bCs w:val="1"/>
                <w:color w:val="auto"/>
              </w:rPr>
              <w:t>Commission File Number: 001-38047</w:t>
            </w:r>
          </w:p>
        </w:tc>
      </w:tr>
      <w:tr>
        <w:trPr>
          <w:trHeight w:val="493"/>
        </w:trPr>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60" w:type="dxa"/>
            <w:vAlign w:val="bottom"/>
            <w:gridSpan w:val="5"/>
          </w:tcPr>
          <w:p>
            <w:pPr>
              <w:jc w:val="center"/>
              <w:ind w:right="2424"/>
              <w:spacing w:after="0"/>
              <w:rPr>
                <w:sz w:val="20"/>
                <w:szCs w:val="20"/>
                <w:color w:val="auto"/>
              </w:rPr>
            </w:pPr>
            <w:r>
              <w:rPr>
                <w:rFonts w:ascii="Times New Roman" w:cs="Times New Roman" w:eastAsia="Times New Roman" w:hAnsi="Times New Roman"/>
                <w:sz w:val="40"/>
                <w:szCs w:val="40"/>
                <w:b w:val="1"/>
                <w:bCs w:val="1"/>
                <w:color w:val="auto"/>
                <w:w w:val="98"/>
              </w:rPr>
              <w:t>Upbound Group, Inc.</w:t>
            </w:r>
          </w:p>
        </w:tc>
      </w:tr>
      <w:tr>
        <w:trPr>
          <w:trHeight w:val="166"/>
        </w:trPr>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60" w:type="dxa"/>
            <w:vAlign w:val="bottom"/>
            <w:gridSpan w:val="5"/>
          </w:tcPr>
          <w:p>
            <w:pPr>
              <w:jc w:val="center"/>
              <w:ind w:right="2424"/>
              <w:spacing w:after="0"/>
              <w:rPr>
                <w:sz w:val="20"/>
                <w:szCs w:val="20"/>
                <w:color w:val="auto"/>
              </w:rPr>
            </w:pPr>
            <w:r>
              <w:rPr>
                <w:rFonts w:ascii="Times New Roman" w:cs="Times New Roman" w:eastAsia="Times New Roman" w:hAnsi="Times New Roman"/>
                <w:sz w:val="13"/>
                <w:szCs w:val="13"/>
                <w:i w:val="1"/>
                <w:iCs w:val="1"/>
                <w:color w:val="auto"/>
                <w:w w:val="96"/>
              </w:rPr>
              <w:t>(Exact name of registrant as specified in its charter)</w:t>
            </w:r>
          </w:p>
        </w:tc>
      </w:tr>
      <w:tr>
        <w:trPr>
          <w:trHeight w:val="224"/>
        </w:trPr>
        <w:tc>
          <w:tcPr>
            <w:tcW w:w="860" w:type="dxa"/>
            <w:vAlign w:val="bottom"/>
          </w:tcPr>
          <w:p>
            <w:pPr>
              <w:spacing w:after="0"/>
              <w:rPr>
                <w:sz w:val="19"/>
                <w:szCs w:val="19"/>
                <w:color w:val="auto"/>
              </w:rPr>
            </w:pPr>
          </w:p>
        </w:tc>
        <w:tc>
          <w:tcPr>
            <w:tcW w:w="1920" w:type="dxa"/>
            <w:vAlign w:val="bottom"/>
            <w:gridSpan w:val="2"/>
          </w:tcPr>
          <w:p>
            <w:pPr>
              <w:jc w:val="center"/>
              <w:ind w:right="900"/>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1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700" w:type="dxa"/>
            <w:vAlign w:val="bottom"/>
            <w:gridSpan w:val="2"/>
          </w:tcPr>
          <w:p>
            <w:pPr>
              <w:jc w:val="center"/>
              <w:ind w:left="1448"/>
              <w:spacing w:after="0"/>
              <w:rPr>
                <w:sz w:val="20"/>
                <w:szCs w:val="20"/>
                <w:color w:val="auto"/>
              </w:rPr>
            </w:pPr>
            <w:r>
              <w:rPr>
                <w:rFonts w:ascii="Times New Roman" w:cs="Times New Roman" w:eastAsia="Times New Roman" w:hAnsi="Times New Roman"/>
                <w:sz w:val="15"/>
                <w:szCs w:val="15"/>
                <w:b w:val="1"/>
                <w:bCs w:val="1"/>
                <w:color w:val="auto"/>
              </w:rPr>
              <w:t>45-0491516</w:t>
            </w:r>
          </w:p>
        </w:tc>
      </w:tr>
      <w:tr>
        <w:trPr>
          <w:trHeight w:val="203"/>
        </w:trPr>
        <w:tc>
          <w:tcPr>
            <w:tcW w:w="2780" w:type="dxa"/>
            <w:vAlign w:val="bottom"/>
            <w:gridSpan w:val="3"/>
          </w:tcPr>
          <w:p>
            <w:pPr>
              <w:jc w:val="center"/>
              <w:ind w:right="40"/>
              <w:spacing w:after="0"/>
              <w:rPr>
                <w:sz w:val="20"/>
                <w:szCs w:val="20"/>
                <w:color w:val="auto"/>
              </w:rPr>
            </w:pPr>
            <w:r>
              <w:rPr>
                <w:rFonts w:ascii="Times New Roman" w:cs="Times New Roman" w:eastAsia="Times New Roman" w:hAnsi="Times New Roman"/>
                <w:sz w:val="15"/>
                <w:szCs w:val="15"/>
                <w:i w:val="1"/>
                <w:iCs w:val="1"/>
                <w:color w:val="auto"/>
              </w:rPr>
              <w:t>(State or other jurisdiction of</w:t>
            </w: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5"/>
                <w:szCs w:val="15"/>
                <w:i w:val="1"/>
                <w:iCs w:val="1"/>
                <w:color w:val="auto"/>
              </w:rPr>
              <w:t>(I.R.S. Employer</w:t>
            </w:r>
          </w:p>
        </w:tc>
      </w:tr>
      <w:tr>
        <w:trPr>
          <w:trHeight w:val="203"/>
        </w:trPr>
        <w:tc>
          <w:tcPr>
            <w:tcW w:w="2780" w:type="dxa"/>
            <w:vAlign w:val="bottom"/>
            <w:gridSpan w:val="3"/>
          </w:tcPr>
          <w:p>
            <w:pPr>
              <w:jc w:val="center"/>
              <w:ind w:right="40"/>
              <w:spacing w:after="0"/>
              <w:rPr>
                <w:sz w:val="20"/>
                <w:szCs w:val="20"/>
                <w:color w:val="auto"/>
              </w:rPr>
            </w:pPr>
            <w:r>
              <w:rPr>
                <w:rFonts w:ascii="Times New Roman" w:cs="Times New Roman" w:eastAsia="Times New Roman" w:hAnsi="Times New Roman"/>
                <w:sz w:val="15"/>
                <w:szCs w:val="15"/>
                <w:i w:val="1"/>
                <w:iCs w:val="1"/>
                <w:color w:val="auto"/>
              </w:rPr>
              <w:t>incorporation or organization)</w:t>
            </w: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5"/>
                <w:szCs w:val="15"/>
                <w:i w:val="1"/>
                <w:iCs w:val="1"/>
                <w:color w:val="auto"/>
              </w:rPr>
              <w:t>Identification No.)</w:t>
            </w:r>
          </w:p>
        </w:tc>
      </w:tr>
      <w:tr>
        <w:trPr>
          <w:trHeight w:val="257"/>
        </w:trPr>
        <w:tc>
          <w:tcPr>
            <w:tcW w:w="8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960" w:type="dxa"/>
            <w:vAlign w:val="bottom"/>
            <w:gridSpan w:val="3"/>
          </w:tcPr>
          <w:p>
            <w:pPr>
              <w:jc w:val="center"/>
              <w:ind w:left="1133"/>
              <w:spacing w:after="0"/>
              <w:rPr>
                <w:sz w:val="20"/>
                <w:szCs w:val="20"/>
                <w:color w:val="auto"/>
              </w:rPr>
            </w:pPr>
            <w:r>
              <w:rPr>
                <w:rFonts w:ascii="Times New Roman" w:cs="Times New Roman" w:eastAsia="Times New Roman" w:hAnsi="Times New Roman"/>
                <w:sz w:val="15"/>
                <w:szCs w:val="15"/>
                <w:b w:val="1"/>
                <w:bCs w:val="1"/>
                <w:color w:val="auto"/>
              </w:rPr>
              <w:t>5501 Headquarters Drive</w:t>
            </w:r>
          </w:p>
        </w:tc>
        <w:tc>
          <w:tcPr>
            <w:tcW w:w="154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189"/>
        </w:trPr>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960" w:type="dxa"/>
            <w:vAlign w:val="bottom"/>
            <w:gridSpan w:val="3"/>
          </w:tcPr>
          <w:p>
            <w:pPr>
              <w:jc w:val="center"/>
              <w:ind w:left="1113"/>
              <w:spacing w:after="0"/>
              <w:rPr>
                <w:sz w:val="20"/>
                <w:szCs w:val="20"/>
                <w:color w:val="auto"/>
              </w:rPr>
            </w:pPr>
            <w:r>
              <w:rPr>
                <w:rFonts w:ascii="Times New Roman" w:cs="Times New Roman" w:eastAsia="Times New Roman" w:hAnsi="Times New Roman"/>
                <w:sz w:val="15"/>
                <w:szCs w:val="15"/>
                <w:b w:val="1"/>
                <w:bCs w:val="1"/>
                <w:color w:val="auto"/>
              </w:rPr>
              <w:t>Plano, Texas 75024</w:t>
            </w:r>
          </w:p>
        </w:tc>
        <w:tc>
          <w:tcPr>
            <w:tcW w:w="154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75"/>
        </w:trPr>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60" w:type="dxa"/>
            <w:vAlign w:val="bottom"/>
            <w:gridSpan w:val="5"/>
          </w:tcPr>
          <w:p>
            <w:pPr>
              <w:jc w:val="center"/>
              <w:ind w:right="2404"/>
              <w:spacing w:after="0"/>
              <w:rPr>
                <w:sz w:val="20"/>
                <w:szCs w:val="20"/>
                <w:color w:val="auto"/>
              </w:rPr>
            </w:pPr>
            <w:r>
              <w:rPr>
                <w:rFonts w:ascii="Times New Roman" w:cs="Times New Roman" w:eastAsia="Times New Roman" w:hAnsi="Times New Roman"/>
                <w:sz w:val="15"/>
                <w:szCs w:val="15"/>
                <w:i w:val="1"/>
                <w:iCs w:val="1"/>
                <w:color w:val="auto"/>
              </w:rPr>
              <w:t>(Address, including zip code of registrant's</w:t>
            </w:r>
          </w:p>
        </w:tc>
      </w:tr>
      <w:tr>
        <w:trPr>
          <w:trHeight w:val="189"/>
        </w:trPr>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960" w:type="dxa"/>
            <w:vAlign w:val="bottom"/>
            <w:gridSpan w:val="3"/>
          </w:tcPr>
          <w:p>
            <w:pPr>
              <w:jc w:val="center"/>
              <w:ind w:left="1133"/>
              <w:spacing w:after="0"/>
              <w:rPr>
                <w:sz w:val="20"/>
                <w:szCs w:val="20"/>
                <w:color w:val="auto"/>
              </w:rPr>
            </w:pPr>
            <w:r>
              <w:rPr>
                <w:rFonts w:ascii="Times New Roman" w:cs="Times New Roman" w:eastAsia="Times New Roman" w:hAnsi="Times New Roman"/>
                <w:sz w:val="15"/>
                <w:szCs w:val="15"/>
                <w:i w:val="1"/>
                <w:iCs w:val="1"/>
                <w:color w:val="auto"/>
              </w:rPr>
              <w:t>principal executive offices)</w:t>
            </w:r>
          </w:p>
        </w:tc>
        <w:tc>
          <w:tcPr>
            <w:tcW w:w="154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60" w:type="dxa"/>
            <w:vAlign w:val="bottom"/>
            <w:gridSpan w:val="5"/>
          </w:tcPr>
          <w:p>
            <w:pPr>
              <w:jc w:val="center"/>
              <w:ind w:right="2404"/>
              <w:spacing w:after="0"/>
              <w:rPr>
                <w:sz w:val="20"/>
                <w:szCs w:val="20"/>
                <w:color w:val="auto"/>
              </w:rPr>
            </w:pPr>
            <w:r>
              <w:rPr>
                <w:rFonts w:ascii="Times New Roman" w:cs="Times New Roman" w:eastAsia="Times New Roman" w:hAnsi="Times New Roman"/>
                <w:sz w:val="15"/>
                <w:szCs w:val="15"/>
                <w:color w:val="auto"/>
              </w:rPr>
              <w:t xml:space="preserve">Registrant's telephone number, including area code: </w:t>
            </w:r>
            <w:r>
              <w:rPr>
                <w:rFonts w:ascii="Times New Roman" w:cs="Times New Roman" w:eastAsia="Times New Roman" w:hAnsi="Times New Roman"/>
                <w:sz w:val="15"/>
                <w:szCs w:val="15"/>
                <w:b w:val="1"/>
                <w:bCs w:val="1"/>
                <w:color w:val="auto"/>
              </w:rPr>
              <w:t>972-801-1100</w:t>
            </w:r>
          </w:p>
        </w:tc>
      </w:tr>
      <w:tr>
        <w:trPr>
          <w:trHeight w:val="198"/>
        </w:trPr>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60" w:type="dxa"/>
            <w:vAlign w:val="bottom"/>
            <w:gridSpan w:val="5"/>
          </w:tcPr>
          <w:p>
            <w:pPr>
              <w:jc w:val="center"/>
              <w:ind w:right="2424"/>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r>
      <w:tr>
        <w:trPr>
          <w:trHeight w:val="157"/>
        </w:trPr>
        <w:tc>
          <w:tcPr>
            <w:tcW w:w="86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9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Trading Symbol</w:t>
            </w:r>
          </w:p>
        </w:tc>
        <w:tc>
          <w:tcPr>
            <w:tcW w:w="440" w:type="dxa"/>
            <w:vAlign w:val="bottom"/>
          </w:tcPr>
          <w:p>
            <w:pPr>
              <w:spacing w:after="0"/>
              <w:rPr>
                <w:sz w:val="13"/>
                <w:szCs w:val="13"/>
                <w:color w:val="auto"/>
              </w:rPr>
            </w:pPr>
          </w:p>
        </w:tc>
        <w:tc>
          <w:tcPr>
            <w:tcW w:w="3700" w:type="dxa"/>
            <w:vAlign w:val="bottom"/>
            <w:gridSpan w:val="2"/>
          </w:tcPr>
          <w:p>
            <w:pPr>
              <w:jc w:val="center"/>
              <w:ind w:left="1468"/>
              <w:spacing w:after="0"/>
              <w:rPr>
                <w:sz w:val="20"/>
                <w:szCs w:val="20"/>
                <w:color w:val="auto"/>
              </w:rPr>
            </w:pPr>
            <w:r>
              <w:rPr>
                <w:rFonts w:ascii="Times New Roman" w:cs="Times New Roman" w:eastAsia="Times New Roman" w:hAnsi="Times New Roman"/>
                <w:sz w:val="13"/>
                <w:szCs w:val="13"/>
                <w:b w:val="1"/>
                <w:bCs w:val="1"/>
                <w:color w:val="auto"/>
                <w:w w:val="96"/>
              </w:rPr>
              <w:t>Name of Exchange on Which Registered</w:t>
            </w:r>
          </w:p>
        </w:tc>
      </w:tr>
      <w:tr>
        <w:trPr>
          <w:trHeight w:val="20"/>
        </w:trPr>
        <w:tc>
          <w:tcPr>
            <w:tcW w:w="8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r>
      <w:tr>
        <w:trPr>
          <w:trHeight w:val="215"/>
        </w:trPr>
        <w:tc>
          <w:tcPr>
            <w:tcW w:w="2780" w:type="dxa"/>
            <w:vAlign w:val="bottom"/>
            <w:gridSpan w:val="3"/>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Common Stock, par value $0.01 per share</w:t>
            </w:r>
          </w:p>
        </w:tc>
        <w:tc>
          <w:tcPr>
            <w:tcW w:w="16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RCII</w:t>
            </w:r>
          </w:p>
        </w:tc>
        <w:tc>
          <w:tcPr>
            <w:tcW w:w="15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The Nasdaq Stock Market</w:t>
            </w:r>
          </w:p>
        </w:tc>
      </w:tr>
    </w:tbl>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55245</wp:posOffset>
            </wp:positionV>
            <wp:extent cx="17399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243" w:lineRule="exact"/>
        <w:rPr>
          <w:sz w:val="24"/>
          <w:szCs w:val="24"/>
          <w:color w:val="auto"/>
        </w:rPr>
      </w:pPr>
    </w:p>
    <w:p>
      <w:pPr>
        <w:spacing w:after="0" w:line="184" w:lineRule="exact"/>
        <w:tabs>
          <w:tab w:leader="none" w:pos="7800" w:val="left"/>
        </w:tabs>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5"/>
          <w:szCs w:val="15"/>
          <w:color w:val="auto"/>
        </w:rPr>
        <w:t>☐</w:t>
      </w:r>
    </w:p>
    <w:p>
      <w:pPr>
        <w:spacing w:after="0" w:line="113" w:lineRule="exact"/>
        <w:rPr>
          <w:sz w:val="24"/>
          <w:szCs w:val="24"/>
          <w:color w:val="auto"/>
        </w:rPr>
      </w:pPr>
    </w:p>
    <w:p>
      <w:pPr>
        <w:spacing w:after="0" w:line="184" w:lineRule="exact"/>
        <w:tabs>
          <w:tab w:leader="none" w:pos="8540" w:val="left"/>
        </w:tabs>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Section 15(d) of the Exchange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5"/>
          <w:szCs w:val="15"/>
          <w:color w:val="auto"/>
        </w:rPr>
        <w:t>☒</w:t>
      </w:r>
    </w:p>
    <w:p>
      <w:pPr>
        <w:spacing w:after="0" w:line="149" w:lineRule="exact"/>
        <w:rPr>
          <w:sz w:val="24"/>
          <w:szCs w:val="24"/>
          <w:color w:val="auto"/>
        </w:rPr>
      </w:pPr>
    </w:p>
    <w:p>
      <w:pPr>
        <w:ind w:right="20"/>
        <w:spacing w:after="0" w:line="21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6"/>
          <w:szCs w:val="16"/>
          <w:color w:val="auto"/>
        </w:rPr>
        <w:t>☐</w:t>
      </w:r>
    </w:p>
    <w:p>
      <w:pPr>
        <w:spacing w:after="0" w:line="66" w:lineRule="exact"/>
        <w:rPr>
          <w:sz w:val="24"/>
          <w:szCs w:val="24"/>
          <w:color w:val="auto"/>
        </w:rPr>
      </w:pPr>
    </w:p>
    <w:p>
      <w:pPr>
        <w:spacing w:after="0" w:line="21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6"/>
          <w:szCs w:val="16"/>
          <w:color w:val="auto"/>
        </w:rPr>
        <w:t>☐</w:t>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93" w:lineRule="exact"/>
        <w:rPr>
          <w:sz w:val="24"/>
          <w:szCs w:val="24"/>
          <w:color w:val="auto"/>
        </w:rPr>
      </w:pPr>
    </w:p>
    <w:p>
      <w:pPr>
        <w:spacing w:after="0" w:line="184" w:lineRule="exact"/>
        <w:tabs>
          <w:tab w:leader="none" w:pos="1720" w:val="left"/>
          <w:tab w:leader="none" w:pos="3140" w:val="left"/>
        </w:tabs>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ab/>
        <w:t xml:space="preserve">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5"/>
          <w:szCs w:val="15"/>
          <w:color w:val="auto"/>
        </w:rPr>
        <w:t>☐</w:t>
      </w:r>
    </w:p>
    <w:p>
      <w:pPr>
        <w:spacing w:after="0" w:line="43" w:lineRule="exact"/>
        <w:rPr>
          <w:sz w:val="24"/>
          <w:szCs w:val="24"/>
          <w:color w:val="auto"/>
        </w:rPr>
      </w:pPr>
    </w:p>
    <w:p>
      <w:pPr>
        <w:spacing w:after="0" w:line="184" w:lineRule="exact"/>
        <w:tabs>
          <w:tab w:leader="none" w:pos="2000" w:val="left"/>
        </w:tabs>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ab/>
        <w:t xml:space="preserve">Emerging growth company </w:t>
      </w:r>
      <w:r>
        <w:rPr>
          <w:rFonts w:ascii="MS PGothic" w:cs="MS PGothic" w:eastAsia="MS PGothic" w:hAnsi="MS PGothic"/>
          <w:sz w:val="16"/>
          <w:szCs w:val="16"/>
          <w:color w:val="auto"/>
        </w:rPr>
        <w:t>☐</w:t>
      </w:r>
    </w:p>
    <w:p>
      <w:pPr>
        <w:spacing w:after="0" w:line="111" w:lineRule="exact"/>
        <w:rPr>
          <w:sz w:val="24"/>
          <w:szCs w:val="24"/>
          <w:color w:val="auto"/>
        </w:rPr>
      </w:pPr>
    </w:p>
    <w:p>
      <w:pPr>
        <w:ind w:right="20"/>
        <w:spacing w:after="0" w:line="204"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9" w:lineRule="exact"/>
        <w:rPr>
          <w:sz w:val="24"/>
          <w:szCs w:val="24"/>
          <w:color w:val="auto"/>
        </w:rPr>
      </w:pPr>
    </w:p>
    <w:p>
      <w:pPr>
        <w:ind w:right="2180"/>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57" w:lineRule="exact"/>
        <w:rPr>
          <w:sz w:val="24"/>
          <w:szCs w:val="24"/>
          <w:color w:val="auto"/>
        </w:rPr>
      </w:pPr>
    </w:p>
    <w:p>
      <w:pPr>
        <w:spacing w:after="0" w:line="184" w:lineRule="exact"/>
        <w:tabs>
          <w:tab w:leader="none" w:pos="7540" w:val="left"/>
        </w:tabs>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5"/>
          <w:szCs w:val="15"/>
          <w:color w:val="auto"/>
        </w:rPr>
        <w:t>☒</w:t>
      </w:r>
    </w:p>
    <w:p>
      <w:pPr>
        <w:spacing w:after="0" w:line="136" w:lineRule="exact"/>
        <w:rPr>
          <w:sz w:val="24"/>
          <w:szCs w:val="24"/>
          <w:color w:val="auto"/>
        </w:rPr>
      </w:pPr>
    </w:p>
    <w:p>
      <w:pPr>
        <w:ind w:right="100"/>
        <w:spacing w:after="0" w:line="211"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79" w:lineRule="exact"/>
        <w:rPr>
          <w:sz w:val="24"/>
          <w:szCs w:val="24"/>
          <w:color w:val="auto"/>
        </w:rPr>
      </w:pPr>
    </w:p>
    <w:p>
      <w:pPr>
        <w:ind w:right="320"/>
        <w:spacing w:after="0" w:line="204" w:lineRule="exact"/>
        <w:rPr>
          <w:sz w:val="20"/>
          <w:szCs w:val="20"/>
          <w:color w:val="auto"/>
        </w:rPr>
      </w:pPr>
      <w:r>
        <w:rPr>
          <w:rFonts w:ascii="Times New Roman" w:cs="Times New Roman" w:eastAsia="Times New Roman" w:hAnsi="Times New Roman"/>
          <w:sz w:val="15"/>
          <w:szCs w:val="15"/>
          <w:color w:val="auto"/>
        </w:rPr>
        <w:t xml:space="preserve">Indicate by check mark whether any of these error corrections are restatements that require a recovery analysis of incentive-based compensation received by any of the registrant's executive officers during the relevant recovery period pursuant to §240 10D-1(b). </w:t>
      </w:r>
      <w:r>
        <w:rPr>
          <w:rFonts w:ascii="MS PGothic" w:cs="MS PGothic" w:eastAsia="MS PGothic" w:hAnsi="MS PGothic"/>
          <w:sz w:val="16"/>
          <w:szCs w:val="16"/>
          <w:color w:val="auto"/>
        </w:rPr>
        <w:t>☐</w:t>
      </w:r>
    </w:p>
    <w:tbl>
      <w:tblPr>
        <w:tblLayout w:type="fixed"/>
        <w:tblInd w:w="20" w:type="dxa"/>
        <w:tblCellMar>
          <w:top w:w="0" w:type="dxa"/>
          <w:left w:w="0" w:type="dxa"/>
          <w:bottom w:w="0" w:type="dxa"/>
          <w:right w:w="0" w:type="dxa"/>
        </w:tblCellMar>
      </w:tblPr>
      <w:tr>
        <w:trPr>
          <w:trHeight w:val="150"/>
        </w:trPr>
        <w:tc>
          <w:tcPr>
            <w:tcW w:w="948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Aggregate market value of the 53,290,246 shares of Common Stock held by non-affiliates of the registrant at the closing sales price as reported on The</w:t>
            </w:r>
          </w:p>
        </w:tc>
        <w:tc>
          <w:tcPr>
            <w:tcW w:w="6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1,036,495,277</w:t>
            </w:r>
          </w:p>
        </w:tc>
        <w:tc>
          <w:tcPr>
            <w:tcW w:w="0" w:type="dxa"/>
            <w:vAlign w:val="bottom"/>
          </w:tcPr>
          <w:p>
            <w:pPr>
              <w:spacing w:after="0"/>
              <w:rPr>
                <w:sz w:val="1"/>
                <w:szCs w:val="1"/>
                <w:color w:val="auto"/>
              </w:rPr>
            </w:pPr>
          </w:p>
        </w:tc>
      </w:tr>
      <w:tr>
        <w:trPr>
          <w:trHeight w:val="190"/>
        </w:trPr>
        <w:tc>
          <w:tcPr>
            <w:tcW w:w="9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Nasdaq Global Select Market, on June 30, 2022</w:t>
            </w:r>
          </w:p>
        </w:tc>
        <w:tc>
          <w:tcPr>
            <w:tcW w:w="6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 of shares of Common Stock outstanding as of the close of business on February 20, 2023:</w:t>
            </w:r>
          </w:p>
        </w:tc>
        <w:tc>
          <w:tcPr>
            <w:tcW w:w="6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55,729,109</w:t>
            </w:r>
          </w:p>
        </w:tc>
        <w:tc>
          <w:tcPr>
            <w:tcW w:w="0" w:type="dxa"/>
            <w:vAlign w:val="bottom"/>
          </w:tcPr>
          <w:p>
            <w:pPr>
              <w:spacing w:after="0"/>
              <w:rPr>
                <w:sz w:val="1"/>
                <w:szCs w:val="1"/>
                <w:color w:val="auto"/>
              </w:rPr>
            </w:pPr>
          </w:p>
        </w:tc>
      </w:tr>
    </w:tbl>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Portions of the definitive proxy statement relating to the 2023 Annual Meeting of Stockholders of Upbound Group, Inc.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791845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 w:name="page2"/>
    <w:bookmarkEnd w:id="1"/>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8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20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12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200" w:type="dxa"/>
            <w:vAlign w:val="bottom"/>
          </w:tcPr>
          <w:p>
            <w:pPr>
              <w:spacing w:after="0"/>
              <w:rPr>
                <w:sz w:val="2"/>
                <w:szCs w:val="2"/>
                <w:color w:val="auto"/>
              </w:rPr>
            </w:pPr>
          </w:p>
        </w:tc>
        <w:tc>
          <w:tcPr>
            <w:tcW w:w="8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878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Business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4</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 Factors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12</w:t>
            </w:r>
          </w:p>
        </w:tc>
        <w:tc>
          <w:tcPr>
            <w:tcW w:w="0" w:type="dxa"/>
            <w:vAlign w:val="bottom"/>
          </w:tcPr>
          <w:p>
            <w:pPr>
              <w:spacing w:after="0"/>
              <w:rPr>
                <w:sz w:val="1"/>
                <w:szCs w:val="1"/>
                <w:color w:val="auto"/>
              </w:rPr>
            </w:pPr>
          </w:p>
        </w:tc>
      </w:t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0" w:type="dxa"/>
            <w:vAlign w:val="bottom"/>
          </w:tcPr>
          <w:p>
            <w:pPr>
              <w:spacing w:after="0"/>
              <w:rPr>
                <w:sz w:val="1"/>
                <w:szCs w:val="1"/>
                <w:color w:val="auto"/>
              </w:rPr>
            </w:pPr>
          </w:p>
        </w:tc>
      </w:t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Properties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Legal Proceedings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Mine Safety Disclosures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0" w:type="dxa"/>
            <w:vAlign w:val="bottom"/>
          </w:tcPr>
          <w:p>
            <w:pPr>
              <w:spacing w:after="0"/>
              <w:rPr>
                <w:sz w:val="1"/>
                <w:szCs w:val="1"/>
                <w:color w:val="auto"/>
              </w:rPr>
            </w:pPr>
          </w:p>
        </w:tc>
      </w:tr>
      <w:tr>
        <w:trPr>
          <w:trHeight w:val="495"/>
        </w:trPr>
        <w:tc>
          <w:tcPr>
            <w:tcW w:w="1200" w:type="dxa"/>
            <w:vAlign w:val="bottom"/>
          </w:tcPr>
          <w:p>
            <w:pPr>
              <w:spacing w:after="0"/>
              <w:rPr>
                <w:sz w:val="24"/>
                <w:szCs w:val="24"/>
                <w:color w:val="auto"/>
              </w:rPr>
            </w:pPr>
          </w:p>
        </w:tc>
        <w:tc>
          <w:tcPr>
            <w:tcW w:w="8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0" w:type="dxa"/>
            <w:vAlign w:val="bottom"/>
          </w:tcPr>
          <w:p>
            <w:pPr>
              <w:spacing w:after="0"/>
              <w:rPr>
                <w:sz w:val="1"/>
                <w:szCs w:val="1"/>
                <w:color w:val="auto"/>
              </w:rPr>
            </w:pPr>
          </w:p>
        </w:tc>
      </w:t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0" w:type="dxa"/>
            <w:vAlign w:val="bottom"/>
          </w:tcPr>
          <w:p>
            <w:pPr>
              <w:spacing w:after="0"/>
              <w:rPr>
                <w:sz w:val="1"/>
                <w:szCs w:val="1"/>
                <w:color w:val="auto"/>
              </w:rPr>
            </w:pPr>
          </w:p>
        </w:tc>
      </w:t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50</w:t>
            </w:r>
          </w:p>
        </w:tc>
        <w:tc>
          <w:tcPr>
            <w:tcW w:w="0" w:type="dxa"/>
            <w:vAlign w:val="bottom"/>
          </w:tcPr>
          <w:p>
            <w:pPr>
              <w:spacing w:after="0"/>
              <w:rPr>
                <w:sz w:val="1"/>
                <w:szCs w:val="1"/>
                <w:color w:val="auto"/>
              </w:rPr>
            </w:pPr>
          </w:p>
        </w:tc>
      </w:t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51</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91</w:t>
            </w:r>
          </w:p>
        </w:tc>
        <w:tc>
          <w:tcPr>
            <w:tcW w:w="0" w:type="dxa"/>
            <w:vAlign w:val="bottom"/>
          </w:tcPr>
          <w:p>
            <w:pPr>
              <w:spacing w:after="0"/>
              <w:rPr>
                <w:sz w:val="1"/>
                <w:szCs w:val="1"/>
                <w:color w:val="auto"/>
              </w:rPr>
            </w:pPr>
          </w:p>
        </w:tc>
      </w:t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Controls and Procedures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91</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Information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91</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91</w:t>
            </w:r>
          </w:p>
        </w:tc>
        <w:tc>
          <w:tcPr>
            <w:tcW w:w="0" w:type="dxa"/>
            <w:vAlign w:val="bottom"/>
          </w:tcPr>
          <w:p>
            <w:pPr>
              <w:spacing w:after="0"/>
              <w:rPr>
                <w:sz w:val="1"/>
                <w:szCs w:val="1"/>
                <w:color w:val="auto"/>
              </w:rPr>
            </w:pPr>
          </w:p>
        </w:tc>
      </w:tr>
      <w:tr>
        <w:trPr>
          <w:trHeight w:val="495"/>
        </w:trPr>
        <w:tc>
          <w:tcPr>
            <w:tcW w:w="1200" w:type="dxa"/>
            <w:vAlign w:val="bottom"/>
          </w:tcPr>
          <w:p>
            <w:pPr>
              <w:spacing w:after="0"/>
              <w:rPr>
                <w:sz w:val="24"/>
                <w:szCs w:val="24"/>
                <w:color w:val="auto"/>
              </w:rPr>
            </w:pPr>
          </w:p>
        </w:tc>
        <w:tc>
          <w:tcPr>
            <w:tcW w:w="8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91</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Compensation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91</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91</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91</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91</w:t>
            </w:r>
          </w:p>
        </w:tc>
        <w:tc>
          <w:tcPr>
            <w:tcW w:w="0" w:type="dxa"/>
            <w:vAlign w:val="bottom"/>
          </w:tcPr>
          <w:p>
            <w:pPr>
              <w:spacing w:after="0"/>
              <w:rPr>
                <w:sz w:val="1"/>
                <w:szCs w:val="1"/>
                <w:color w:val="auto"/>
              </w:rPr>
            </w:pPr>
          </w:p>
        </w:tc>
      </w:tr>
      <w:tr>
        <w:trPr>
          <w:trHeight w:val="495"/>
        </w:trPr>
        <w:tc>
          <w:tcPr>
            <w:tcW w:w="1200" w:type="dxa"/>
            <w:vAlign w:val="bottom"/>
          </w:tcPr>
          <w:p>
            <w:pPr>
              <w:spacing w:after="0"/>
              <w:rPr>
                <w:sz w:val="24"/>
                <w:szCs w:val="24"/>
                <w:color w:val="auto"/>
              </w:rPr>
            </w:pPr>
          </w:p>
        </w:tc>
        <w:tc>
          <w:tcPr>
            <w:tcW w:w="8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92</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10-K Summary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96</w:t>
            </w:r>
          </w:p>
        </w:tc>
        <w:tc>
          <w:tcPr>
            <w:tcW w:w="0" w:type="dxa"/>
            <w:vAlign w:val="bottom"/>
          </w:tcPr>
          <w:p>
            <w:pPr>
              <w:spacing w:after="0"/>
              <w:rPr>
                <w:sz w:val="1"/>
                <w:szCs w:val="1"/>
                <w:color w:val="auto"/>
              </w:rPr>
            </w:pPr>
          </w:p>
        </w:tc>
      </w:tr>
      <w:tr>
        <w:trPr>
          <w:trHeight w:val="499"/>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87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can be identified by the fact that they do not relate strictly to historical or current facts. They often include words such as “believes,” “expects,” “anticipates,” “estimates,” “intends,” “plans,” “seeks” or words of similar meaning, or future or conditional verbs, such as “will,” “should,” “could,” “may,” “aims,” “intends,” or “projects.” These forward-looking statements, include, without limitation, those relating to ongoing challenging macro-economic conditions on our business, operations, financial performance and prospects, the future business prospects and financial performance of our Company following our acquisition of Acima Holdings, LLC (“Acima Holdings”), cost and revenue synergies and other benefits expected to result from the Acima Holdings acquisition, our expectations, plans and strategy relating to our capital structure and capital allocation, including any share repurchases under our share repurchase program, and other statements that are not historical facts.</w:t>
      </w:r>
    </w:p>
    <w:p>
      <w:pPr>
        <w:spacing w:after="0" w:line="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February 2023, we changed our corporate name from Rent-A-Center, Inc. to Upbound Group, Inc. We will not distinguish between our prior and current corporate name and will refer to our current corporate name throughout this Annual Report on Form 10-K. As such, unless expressly indicated or the context requires otherwise, the terms "Upbound Group, Inc.," "Company," "we," "us," and "our" in this document refer to Upbound Group, Inc. and, where appropriate, its subsidiaries.</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forward-looking statement is neither a prediction nor a guarantee of future events or circumstances, and those future events or circumstances may not occur. You should not place undue reliance on forward-looking statements, which speak only as of the date of this Annual Report on Form 10-K. These forward-looking statements are based on currently available operating, financial and competitive information and are subject to various risks and uncertainties. Our actual future results and trends may differ materially and adversely depending on a variety of factors, including, but not limited to, the risks and uncertainties discussed under “Risk Factors” and “Management’s Discussion and Analysis of Financial Condition and Results of Operations” below. Given these risks and uncertainties, you should not rely on forward-looking statements as a prediction of actual results. Any or all of the forward-looking statements contained in this Annual Report on Form 10-K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Except as required by law, we expressly disclaim any obligation to update or revise any forward-looking statements, whether as a result of new information, future events, changes in assumptions or otherwise. Factors that could cause or contribute to these differences include, but are not limited to:</w:t>
      </w:r>
    </w:p>
    <w:p>
      <w:pPr>
        <w:spacing w:after="0" w:line="84" w:lineRule="exact"/>
        <w:rPr>
          <w:sz w:val="20"/>
          <w:szCs w:val="20"/>
          <w:color w:val="auto"/>
        </w:rPr>
      </w:pPr>
    </w:p>
    <w:p>
      <w:pPr>
        <w:ind w:left="660" w:hanging="166"/>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anticipated benefits from the Acima Holdings acquisition may not be fully realized or may take longer to realize than expected;</w:t>
      </w:r>
    </w:p>
    <w:p>
      <w:pPr>
        <w:spacing w:after="0" w:line="1" w:lineRule="exact"/>
        <w:rPr>
          <w:rFonts w:ascii="Times New Roman" w:cs="Times New Roman" w:eastAsia="Times New Roman" w:hAnsi="Times New Roman"/>
          <w:sz w:val="18"/>
          <w:szCs w:val="18"/>
          <w:color w:val="auto"/>
        </w:rPr>
      </w:pPr>
    </w:p>
    <w:p>
      <w:pPr>
        <w:ind w:left="660" w:hanging="166"/>
        <w:spacing w:after="0" w:line="281" w:lineRule="auto"/>
        <w:tabs>
          <w:tab w:leader="none" w:pos="60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costs, difficulties or disruptions related to the integration of Acima Holdings operations into our other operations will be greater than expected;</w:t>
      </w:r>
    </w:p>
    <w:p>
      <w:pPr>
        <w:spacing w:after="0" w:line="1"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62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 effectively adjust to changes in the composition of our offerings and product mix as a result of acquiring Acima Holdings and continue to maintain the quality of existing offerings and (ii) successfully introduce other new product or service offerings on a timely and cost-effective basis;</w:t>
      </w:r>
    </w:p>
    <w:p>
      <w:pPr>
        <w:spacing w:after="0" w:line="13" w:lineRule="exact"/>
        <w:rPr>
          <w:rFonts w:ascii="Times New Roman" w:cs="Times New Roman" w:eastAsia="Times New Roman" w:hAnsi="Times New Roman"/>
          <w:sz w:val="18"/>
          <w:szCs w:val="18"/>
          <w:color w:val="auto"/>
        </w:rPr>
      </w:pPr>
    </w:p>
    <w:p>
      <w:pPr>
        <w:ind w:left="660" w:right="20" w:hanging="166"/>
        <w:spacing w:after="0" w:line="25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future cash requirements as a result of the Acima Holdings acquisition, whether caused by unanticipated increases in capital expenditures or working capital needs, unanticipated liabilities or otherwise;</w:t>
      </w:r>
    </w:p>
    <w:p>
      <w:pPr>
        <w:jc w:val="both"/>
        <w:ind w:left="660" w:hanging="166"/>
        <w:spacing w:after="0" w:line="23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and related government and regulatory restrictions issued to combat the pandemic, including adverse changes in such restrictions, and the expiration of governmental stimulus programs, and impacts on (i) demand for our lease-to-own products offered in our operating segments, (ii) our Acima retail partners, (iii) our customers and their willingness and ability to satisfy their lease obligations, (iv) our suppliers' ability to satisfy our merchandise needs and related supply chain disruptions, (v) our employees, including our ability to adequately staff our operating locations, (vi) our financial and operational performance, and (vii) our liquidity;</w:t>
      </w:r>
    </w:p>
    <w:p>
      <w:pPr>
        <w:spacing w:after="0" w:line="3" w:lineRule="exact"/>
        <w:rPr>
          <w:rFonts w:ascii="Times New Roman" w:cs="Times New Roman" w:eastAsia="Times New Roman" w:hAnsi="Times New Roman"/>
          <w:sz w:val="18"/>
          <w:szCs w:val="18"/>
          <w:color w:val="auto"/>
        </w:rPr>
      </w:pPr>
    </w:p>
    <w:p>
      <w:pPr>
        <w:jc w:val="both"/>
        <w:ind w:left="660" w:hanging="166"/>
        <w:spacing w:after="0" w:line="23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strength of the economy and other economic conditions affecting consumer preferences and spending, including the availability of credit to our target consumers and to other consumers, impacts from the high level of inflation, central bank monetary policy initiatives to address inflation concerns, and possible recession;</w:t>
      </w:r>
    </w:p>
    <w:p>
      <w:pPr>
        <w:spacing w:after="0" w:line="36"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the disposable income available to our current and potential customers;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unemployment rate;</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market conditions, including availability of funding sources for us;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encountered in improving the financial and operational performance of our business segments;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pricing changes and strategies being deployed in our businesses;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32" w:lineRule="exact"/>
        <w:rPr>
          <w:sz w:val="20"/>
          <w:szCs w:val="20"/>
          <w:color w:val="auto"/>
        </w:rPr>
      </w:pPr>
    </w:p>
    <w:p>
      <w:pPr>
        <w:ind w:left="166" w:right="20" w:hanging="166"/>
        <w:spacing w:after="0" w:line="281" w:lineRule="auto"/>
        <w:tabs>
          <w:tab w:leader="none" w:pos="1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realize benefits from our initiatives regarding cost-savings and other EBITDA enhancements, efficiencies and working capital improvements;</w:t>
      </w:r>
    </w:p>
    <w:p>
      <w:pPr>
        <w:spacing w:after="0" w:line="1" w:lineRule="exact"/>
        <w:rPr>
          <w:rFonts w:ascii="Times New Roman" w:cs="Times New Roman" w:eastAsia="Times New Roman" w:hAnsi="Times New Roman"/>
          <w:sz w:val="18"/>
          <w:szCs w:val="18"/>
          <w:color w:val="auto"/>
        </w:rPr>
      </w:pPr>
    </w:p>
    <w:p>
      <w:pPr>
        <w:ind w:left="166" w:hanging="166"/>
        <w:spacing w:after="0" w:line="281" w:lineRule="auto"/>
        <w:tabs>
          <w:tab w:leader="none" w:pos="1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effectively execute our strategic initiatives, including mitigating risks associated with any potential mergers and acquisitions, or refranchising opportunities;</w:t>
      </w:r>
    </w:p>
    <w:p>
      <w:pPr>
        <w:spacing w:after="0" w:line="1"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potential acquisition candidates, complete acquisitions and successfully integrate acquired companies;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manage our store labor and other store expenses, including merchandise losses;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the operation of our store information management systems or disruptions in the systems of our host retailers;</w:t>
      </w:r>
    </w:p>
    <w:p>
      <w:pPr>
        <w:spacing w:after="0" w:line="63" w:lineRule="exact"/>
        <w:rPr>
          <w:rFonts w:ascii="Times New Roman" w:cs="Times New Roman" w:eastAsia="Times New Roman" w:hAnsi="Times New Roman"/>
          <w:sz w:val="18"/>
          <w:szCs w:val="18"/>
          <w:color w:val="auto"/>
        </w:rPr>
      </w:pPr>
    </w:p>
    <w:p>
      <w:pPr>
        <w:ind w:left="166" w:hanging="166"/>
        <w:spacing w:after="0" w:line="281" w:lineRule="auto"/>
        <w:tabs>
          <w:tab w:leader="none" w:pos="1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virtual lease-to-own business, including our ability to continue to develop and successfully implement the necessary technologies;</w:t>
      </w:r>
    </w:p>
    <w:p>
      <w:pPr>
        <w:spacing w:after="0" w:line="1" w:lineRule="exact"/>
        <w:rPr>
          <w:rFonts w:ascii="Times New Roman" w:cs="Times New Roman" w:eastAsia="Times New Roman" w:hAnsi="Times New Roman"/>
          <w:sz w:val="18"/>
          <w:szCs w:val="18"/>
          <w:color w:val="auto"/>
        </w:rPr>
      </w:pPr>
    </w:p>
    <w:p>
      <w:pPr>
        <w:ind w:left="166" w:hanging="166"/>
        <w:spacing w:after="0" w:line="254" w:lineRule="auto"/>
        <w:tabs>
          <w:tab w:leader="none" w:pos="1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benefits expected from our integrated virtual and staffed retail partner offering and to successfully grow this business segment;</w:t>
      </w:r>
    </w:p>
    <w:p>
      <w:pPr>
        <w:ind w:left="166" w:hanging="166"/>
        <w:spacing w:after="0" w:line="243" w:lineRule="auto"/>
        <w:tabs>
          <w:tab w:leader="none" w:pos="1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potential operating margin degradation due to the higher cost of merchandise in our Acima offering and higher merchandise losses than compared to our Rent-A-Center Business segment;</w:t>
      </w:r>
    </w:p>
    <w:p>
      <w:pPr>
        <w:spacing w:after="0" w:line="3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transition to more-readily scalable “cloud-based” solutions;</w:t>
      </w:r>
    </w:p>
    <w:p>
      <w:pPr>
        <w:spacing w:after="0" w:line="63" w:lineRule="exact"/>
        <w:rPr>
          <w:rFonts w:ascii="Times New Roman" w:cs="Times New Roman" w:eastAsia="Times New Roman" w:hAnsi="Times New Roman"/>
          <w:sz w:val="18"/>
          <w:szCs w:val="18"/>
          <w:i w:val="1"/>
          <w:iCs w:val="1"/>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successfully implement digital or E-commerce capabilities, including mobile applications;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proprietary intellectual property;</w:t>
      </w:r>
    </w:p>
    <w:p>
      <w:pPr>
        <w:spacing w:after="0" w:line="63" w:lineRule="exact"/>
        <w:rPr>
          <w:rFonts w:ascii="Times New Roman" w:cs="Times New Roman" w:eastAsia="Times New Roman" w:hAnsi="Times New Roman"/>
          <w:sz w:val="18"/>
          <w:szCs w:val="18"/>
          <w:color w:val="auto"/>
        </w:rPr>
      </w:pPr>
    </w:p>
    <w:p>
      <w:pPr>
        <w:ind w:left="166" w:hanging="166"/>
        <w:spacing w:after="0" w:line="281" w:lineRule="auto"/>
        <w:tabs>
          <w:tab w:leader="none" w:pos="1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that of our host retailers to protect the integrity and security of customer, employee and host retailer information, which may be adversely affected by hacking, computer viruses, or similar disruptions;</w:t>
      </w:r>
    </w:p>
    <w:p>
      <w:pPr>
        <w:spacing w:after="0" w:line="1"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goodwill or other intangible assets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chain;</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of, or disruptions in, our distribution network;</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inflation or deflation in the prices of our products and other related costs;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product safety and quality control issues, including recalls</w:t>
      </w:r>
    </w:p>
    <w:p>
      <w:pPr>
        <w:spacing w:after="0" w:line="63" w:lineRule="exact"/>
        <w:rPr>
          <w:rFonts w:ascii="Times New Roman" w:cs="Times New Roman" w:eastAsia="Times New Roman" w:hAnsi="Times New Roman"/>
          <w:sz w:val="18"/>
          <w:szCs w:val="18"/>
          <w:color w:val="auto"/>
        </w:rPr>
      </w:pPr>
    </w:p>
    <w:p>
      <w:pPr>
        <w:ind w:left="166" w:hanging="166"/>
        <w:spacing w:after="0" w:line="281" w:lineRule="auto"/>
        <w:tabs>
          <w:tab w:leader="none" w:pos="1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as well as, the effectiveness of, store consolidations, including our ability to retain the revenue from customer accounts merged into another store location as a result of a store consolidation;</w:t>
      </w:r>
    </w:p>
    <w:p>
      <w:pPr>
        <w:spacing w:after="0" w:line="1"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cash flow and our ability to generate sufficient cash flow to continue paying dividends;</w:t>
      </w:r>
    </w:p>
    <w:p>
      <w:pPr>
        <w:spacing w:after="0" w:line="63" w:lineRule="exact"/>
        <w:rPr>
          <w:rFonts w:ascii="Times New Roman" w:cs="Times New Roman" w:eastAsia="Times New Roman" w:hAnsi="Times New Roman"/>
          <w:sz w:val="18"/>
          <w:szCs w:val="18"/>
          <w:color w:val="auto"/>
        </w:rPr>
      </w:pPr>
    </w:p>
    <w:p>
      <w:pPr>
        <w:ind w:left="166" w:hanging="166"/>
        <w:spacing w:after="0" w:line="281" w:lineRule="auto"/>
        <w:tabs>
          <w:tab w:leader="none" w:pos="1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traditional competitors, virtual lease-to-own competitors, online retailers, Buy-Now-Pay-Later and other Fintech companies and other competitors, including subprime lenders;</w:t>
      </w:r>
    </w:p>
    <w:p>
      <w:pPr>
        <w:spacing w:after="0" w:line="1" w:lineRule="exact"/>
        <w:rPr>
          <w:rFonts w:ascii="Times New Roman" w:cs="Times New Roman" w:eastAsia="Times New Roman" w:hAnsi="Times New Roman"/>
          <w:sz w:val="18"/>
          <w:szCs w:val="18"/>
          <w:color w:val="auto"/>
        </w:rPr>
      </w:pPr>
    </w:p>
    <w:p>
      <w:pPr>
        <w:ind w:left="166" w:right="20" w:hanging="166"/>
        <w:spacing w:after="0" w:line="281" w:lineRule="auto"/>
        <w:tabs>
          <w:tab w:leader="none" w:pos="1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successfully market products and services that appeal to our current and future targeted customer segments and to accurately estimate the size of the total addressable market;</w:t>
      </w:r>
    </w:p>
    <w:p>
      <w:pPr>
        <w:spacing w:after="0" w:line="1"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perceptions of our brands;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revenue associated with acquired customer accounts and enhance the performance of acquired stores;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new and collect on our rental or lease purchase agreements;</w:t>
      </w:r>
    </w:p>
    <w:p>
      <w:pPr>
        <w:spacing w:after="0" w:line="63" w:lineRule="exact"/>
        <w:rPr>
          <w:rFonts w:ascii="Times New Roman" w:cs="Times New Roman" w:eastAsia="Times New Roman" w:hAnsi="Times New Roman"/>
          <w:sz w:val="18"/>
          <w:szCs w:val="18"/>
          <w:color w:val="auto"/>
        </w:rPr>
      </w:pPr>
    </w:p>
    <w:p>
      <w:pPr>
        <w:jc w:val="both"/>
        <w:ind w:left="166" w:hanging="166"/>
        <w:spacing w:after="0" w:line="266" w:lineRule="auto"/>
        <w:tabs>
          <w:tab w:leader="none" w:pos="1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enforcement of existing laws and regulations and the enactment of new laws and regulations adversely affecting our business, including any legislative or regulatory enforcement efforts that seek to re-characterize store-based or virtual lease-to-own transactions as credit sales and to apply consumer credit laws and regulations to our business;</w:t>
      </w:r>
    </w:p>
    <w:p>
      <w:pPr>
        <w:spacing w:after="0" w:line="1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applicable statutes or regulations governing our businesses;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 policies;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economic conditions of the industries, countries or markets that we serve;</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and data security costs;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breaches in data security or other disturbances to our information technology and other networks;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relating to self-insurance liabilities, and income tax and litigation reserves;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w:t>
      </w:r>
    </w:p>
    <w:p>
      <w:pPr>
        <w:sectPr>
          <w:pgSz w:w="11900" w:h="16838" w:orient="portrait"/>
          <w:cols w:equalWidth="0" w:num="1">
            <w:col w:w="10746"/>
          </w:cols>
          <w:pgMar w:left="814"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94"/>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1440" w:right="339" w:bottom="1440" w:gutter="0" w:footer="0" w:header="0"/>
          <w:type w:val="continuous"/>
        </w:sectPr>
      </w:pPr>
    </w:p>
    <w:bookmarkStart w:id="4" w:name="page5"/>
    <w:bookmarkEnd w:id="4"/>
    <w:p>
      <w:pPr>
        <w:spacing w:after="0" w:line="32" w:lineRule="exact"/>
        <w:rPr>
          <w:sz w:val="20"/>
          <w:szCs w:val="20"/>
          <w:color w:val="auto"/>
        </w:rPr>
      </w:pPr>
    </w:p>
    <w:p>
      <w:pPr>
        <w:ind w:left="166" w:hanging="166"/>
        <w:spacing w:after="0"/>
        <w:tabs>
          <w:tab w:leader="none" w:pos="1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administrative proceedings to which we are or may be a party to from time to time; and</w:t>
      </w:r>
    </w:p>
    <w:p>
      <w:pPr>
        <w:spacing w:after="0" w:line="63" w:lineRule="exact"/>
        <w:rPr>
          <w:rFonts w:ascii="Times New Roman" w:cs="Times New Roman" w:eastAsia="Times New Roman" w:hAnsi="Times New Roman"/>
          <w:sz w:val="18"/>
          <w:szCs w:val="18"/>
          <w:color w:val="auto"/>
        </w:rPr>
      </w:pPr>
    </w:p>
    <w:p>
      <w:pPr>
        <w:ind w:left="166" w:hanging="166"/>
        <w:spacing w:after="0" w:line="282" w:lineRule="auto"/>
        <w:tabs>
          <w:tab w:leader="none" w:pos="16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detailed from time to time in our reports furnished or filed with the United States Securities and Exchange Commission (the “SEC”).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5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6"/>
          </w:cols>
          <w:pgMar w:left="814" w:top="1440" w:right="359" w:bottom="1440" w:gutter="0" w:footer="0" w:header="0"/>
        </w:sectPr>
      </w:pPr>
    </w:p>
    <w:bookmarkStart w:id="5" w:name="page6"/>
    <w:bookmarkEnd w:id="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of Upbound Group, Inc. (formerly Rent-A-Center, Inc.)</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to “we,” “us”, “our”, and the “Company” refer to the consolidated business operations of Upbound Group, Inc., the parent, and any or all of its direct and indirect subsidiaries. For any references in this document to Note A through Note U, refer to the Notes to Consolidated Financial Statements in Item 8.</w:t>
      </w:r>
    </w:p>
    <w:p>
      <w:pPr>
        <w:spacing w:after="0" w:line="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We are a leading lease-to-own provider with operations in the United States, Puerto Rico and Mexico. We provide a critical service for a large portion of underserved consumers by providing them with access to, and the opportunity to obtain ownership of, high-quality, durable products under a flexible lease-purchase agreement with no long-term debt obligation. Through our Rent-A-Center Business, we provide a fully integrated customer experience through our e-commerce platform and brick and mortar presence. Our Acima business offers lease-to-own solutions through retailers in stores and online enabling such retailers to grow sales by expanding their customer base utilizing our differentiated offering. On February 22, 2023, we changed our corporate name from Rent-A-Center, Inc. to Upbound Group, Inc. We were incorporated in the State of Delaware in 1986, and our common stock is currently traded on the Nasdaq Global Select Market under the ticker symbol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RCII.</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Beginning February 27, 2023, our new ticker symbol will be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UPBD.</w:t>
      </w:r>
      <w:r>
        <w:rPr>
          <w:rFonts w:ascii="Times New Roman" w:cs="Times New Roman" w:eastAsia="Times New Roman" w:hAnsi="Times New Roman"/>
          <w:sz w:val="18"/>
          <w:szCs w:val="18"/>
          <w:i w:val="1"/>
          <w:iCs w:val="1"/>
          <w:color w:val="auto"/>
        </w:rPr>
        <w:t>”</w:t>
      </w:r>
    </w:p>
    <w:p>
      <w:pPr>
        <w:spacing w:after="0" w:line="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5501 Headquarters Drive, Plano, Texas 75024. Our telephone number is (972) 801-1100 and our company website is www.upbound.com. Information contained on our website is not incorporated by reference into this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Lease Purchase Transaction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lease purchase transaction is a flexible alternative that provides freedom for consumers who wish to obtain use and enjoyment of brand name merchandise with no long-term obligation and without having to pay the full price up front. Generally, our customer has the right, but is not obligated, to acquire title to the merchandise either through an early purchase option or through payment of all lease renewals that would be required to obtain ownership.</w:t>
      </w:r>
    </w:p>
    <w:p>
      <w:pPr>
        <w:spacing w:after="0" w:line="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unit economics of the lease purchase transaction vary depending on the length of time customers take to obtain ownership of the product or whether the customer chooses to return the product without obtaining ownership. If a customer elects an early purchase option within a designated period of time following the initial lease, such as 90 or 120 days, a customer generally pays the retail price of the product plus a premium to the cost. Full term lease-to-own transactions involve the customer leasing our merchandise through a lease structured with multiple lease renewal terms and ultimately obtaining ownership of the merchandise at the conclusion of the final lease renewal term. A customer may also elect to obtain ownership anytime after the initial lease period, but prior to the full term of all lease renewals. Due to the longer lease period of full term lease renewals, along with the other benefits that are part of the lease-to-own transaction, obtaining ownership through payment of all lease renewals involves a higher total cost compared to the cost of the general retail price of the product if it was purchased upfront. Customers primarily take ownership of the merchandise through early purchase options, where the customer elects to make a lump-sum payment at a discounted purchase price prior to the final lease renewal. In the Rent-A-Center Business, the product is often rented more than one time before a customer ultimately obtains ownership.</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differences in the unit economics between our Rent-A-Center Business and Acima segments, as we generally purchase our merchandise at wholesale prices for our Rent-A-Center Business segment and at retail prices for our Acima segment. Historically, operating margin for our Acima segment has benefited from the lower overhead cost associated with the virtual options employed at many third party locations.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features of the lease purchase transaction include:</w:t>
      </w:r>
    </w:p>
    <w:p>
      <w:pPr>
        <w:spacing w:after="0" w:line="11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long term obligation. </w:t>
      </w:r>
      <w:r>
        <w:rPr>
          <w:rFonts w:ascii="Times New Roman" w:cs="Times New Roman" w:eastAsia="Times New Roman" w:hAnsi="Times New Roman"/>
          <w:sz w:val="18"/>
          <w:szCs w:val="18"/>
          <w:color w:val="auto"/>
        </w:rPr>
        <w:t>A customer may terminate a lease purchase agreement at any time without penalty. Once the product is returned to us,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has no obligation for remaining payments other than any outstanding balances to the date of return.</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Convenient payment options. </w:t>
      </w:r>
      <w:r>
        <w:rPr>
          <w:rFonts w:ascii="Times New Roman" w:cs="Times New Roman" w:eastAsia="Times New Roman" w:hAnsi="Times New Roman"/>
          <w:sz w:val="18"/>
          <w:szCs w:val="18"/>
          <w:color w:val="auto"/>
        </w:rPr>
        <w:t>Our customers make payments on a weekly, bi-weekly, semi-monthly or monthly basis in our stores, at our retail partner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locations, online or by telephone. We accept cash, credit or debit cards and payment via certain electronic platforms (such as PayPal and Venmo). Approximately 78% and 89% of our lease purchase agreements are on weekly terms in our Rent-A-Center Business and our Mexico segments, respectively. Payments are generally made on a weekly, biweekly or monthly basis in our Acima segment.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8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Flexible options to obtain ownership. </w:t>
      </w:r>
      <w:r>
        <w:rPr>
          <w:rFonts w:ascii="Times New Roman" w:cs="Times New Roman" w:eastAsia="Times New Roman" w:hAnsi="Times New Roman"/>
          <w:sz w:val="18"/>
          <w:szCs w:val="18"/>
          <w:color w:val="auto"/>
        </w:rPr>
        <w:t>Ownership of the merchandise generally transfers to the customer if the customer continuously renews the 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agreement for a required period of between seven and 30 months, depending upon the product type, or exercises a specified early purchase option.</w:t>
      </w:r>
    </w:p>
    <w:p>
      <w:pPr>
        <w:spacing w:after="0" w:line="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Reinstatement</w:t>
      </w:r>
      <w:r>
        <w:rPr>
          <w:rFonts w:ascii="Times New Roman" w:cs="Times New Roman" w:eastAsia="Times New Roman" w:hAnsi="Times New Roman"/>
          <w:sz w:val="18"/>
          <w:szCs w:val="18"/>
          <w:color w:val="auto"/>
        </w:rPr>
        <w:t>. If a customer is temporarily unable to make payments on a piece of rental merchandise and returns the merchandise, that customer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later re-rent the same piece of merchandise (or, if unavailable, a substitute of comparable quality, age and condition) on the terms that existed at the time the merchandise was returned, and pick up payments where they left off without losing credit for what they previously paid.</w:t>
      </w:r>
    </w:p>
    <w:p>
      <w:pPr>
        <w:spacing w:after="0" w:line="5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No formal credit needed. </w:t>
      </w:r>
      <w:r>
        <w:rPr>
          <w:rFonts w:ascii="Times New Roman" w:cs="Times New Roman" w:eastAsia="Times New Roman" w:hAnsi="Times New Roman"/>
          <w:sz w:val="18"/>
          <w:szCs w:val="18"/>
          <w:color w:val="auto"/>
        </w:rPr>
        <w:t>Generally, no established credit score or credit history is required. In the Rent-A-Center Business segment, we use a proprietary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decision engine to verify customer information as part of our approval process for entering into a lease purchase agreement. In our Acima segment, which provides on-site or virtual lease-to-own options through third-party retailers and through Acima direct to consumer offerings, customers complete the application process through a variety of resources, including online digital waterfall technology, retail partner electronic portals, online e-commerce websites, and the Acima mobile application. A robust proprietary automated decision engine process is used to confirm certain customer information for approval of the lease purchase agreement.</w:t>
      </w:r>
    </w:p>
    <w:p>
      <w:pPr>
        <w:spacing w:after="0" w:line="7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Brand name merchandise. </w:t>
      </w:r>
      <w:r>
        <w:rPr>
          <w:rFonts w:ascii="Times New Roman" w:cs="Times New Roman" w:eastAsia="Times New Roman" w:hAnsi="Times New Roman"/>
          <w:sz w:val="18"/>
          <w:szCs w:val="18"/>
          <w:color w:val="auto"/>
        </w:rPr>
        <w:t>In our store locations and through our retail partnerships, we offer merchandise from a large number of well-known brands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Ashley home furnishings; LG, Samsung, and Sony home electronics; Frigidaire, Whirlpool, Amana, and Maytag appliances; HP, Acer, Asus, and Samsung computers and/or tablets; and Samsung smartphones.</w:t>
      </w:r>
    </w:p>
    <w:p>
      <w:pPr>
        <w:spacing w:after="0" w:line="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Delivery and set-up. </w:t>
      </w:r>
      <w:r>
        <w:rPr>
          <w:rFonts w:ascii="Times New Roman" w:cs="Times New Roman" w:eastAsia="Times New Roman" w:hAnsi="Times New Roman"/>
          <w:sz w:val="18"/>
          <w:szCs w:val="18"/>
          <w:color w:val="auto"/>
        </w:rPr>
        <w:t>We generally offer same-day or next-day delivery and installation of our merchandise at no additional cost to the customer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Rent-A-Center lease-to-own stores. Our Acima locations rely on our third-party retail partners to deliver merchandise leased by the customer, or for the customer to carry-out leased merchandise. Our third-party retail partners typically charge us a fee for delivery, which we pass on to the customer.</w:t>
      </w:r>
    </w:p>
    <w:p>
      <w:pPr>
        <w:spacing w:after="0" w:line="6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Product maintenance and replacement. </w:t>
      </w:r>
      <w:r>
        <w:rPr>
          <w:rFonts w:ascii="Times New Roman" w:cs="Times New Roman" w:eastAsia="Times New Roman" w:hAnsi="Times New Roman"/>
          <w:sz w:val="18"/>
          <w:szCs w:val="18"/>
          <w:color w:val="auto"/>
        </w:rPr>
        <w:t>In our Rent-A-Center Business, and in the Acima business where required by law, we provide any required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repair without additional charge, except in the event of damage in excess of normal wear and tear and certain other limited circumstances. The cost to repair the merchandise may be reimbursed by the vendor if the item is still under factory warranty. If the product cannot be repaired at the customer’s residence, we provide a temporary replacement while the product is being repaired. If the product cannot be repaired, we will replace it with a product of comparable quality, age and condition.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strategy is focused on serving our mission to elevate financial opportunity for all and growing our business through emphasis on the following key initiatives:</w:t>
      </w:r>
    </w:p>
    <w:p>
      <w:pPr>
        <w:spacing w:after="0" w:line="1" w:lineRule="exact"/>
        <w:rPr>
          <w:sz w:val="20"/>
          <w:szCs w:val="20"/>
          <w:color w:val="auto"/>
        </w:rPr>
      </w:pPr>
    </w:p>
    <w:p>
      <w:pPr>
        <w:ind w:left="660" w:right="20" w:hanging="166"/>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centers of excellence that will be leveraged across the organization to support the various business segments, utilizing best practices and drive efficiency and growth;</w:t>
      </w:r>
    </w:p>
    <w:p>
      <w:pPr>
        <w:spacing w:after="0" w:line="1"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Maximize Rent-A-Center brand awareness and customer loyalty by accelerating the shift to e-commerce, expanding product categories, and improving the fully integrated, omni-channel customer experience;</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penetration with current Acima merchants and attract new merchants to our platform;</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upgrade and integrate technology platforms to allow for a seamless consumer experience, merchant and third-party waterfall integration, and simplify transaction process for the consumer;</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data analytics capabilities to attract new customers, approve more customers and mitigate risk across both business segments; and</w:t>
      </w:r>
    </w:p>
    <w:p>
      <w:pPr>
        <w:spacing w:after="0" w:line="63"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on market opportunities and enhancing our competitive position across both traditional and virtual lease-to-own solutions, and implement complimentary products and services that supplement our current offering and provides our customers more financial alternatives.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we pursue our strategy, we may take advantage of joint venture, partnership, or merger and acquisition opportunities from time to time that advance our key initiatives and elevate the financial mobility of underserved consumers.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Operating Segments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report financial operating performance under four operating segments. To better reflect our current strategic focus, our retail partner business operations are reported as the Acima segment, which includes our virtual and staffed business models; and our company-owned stores and e-commerce platform through rentacenter.com are reported as the Rent-A-Center Business segment. In addition, we report operating results for our Mexico and Franchising segments. Additional information regarding our operating segments is presented in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contained in Item 7 of this Annual Report on Form 10-K, and financial information regarding these segments and revenues by geographic area are provided in Note T to the consolidated financial statements contained in this Annual Report on Form 10-K. Substantially all of our revenues for the past three years originated in the United States.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Acima</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Acima segment, which operates in the United States and Puerto Rico, includes the operations of Acima Holdings (as defined in Note B below), which we acquired in February 2021 and our previous Preferred Lease virtual and staffed locations, generally offers lease-to-own transactions to consumers who do not qualify for financing from the traditional retailer through staffed or unstaffed kiosks located within such retailer's locations, or other virtual options. Virtual locations employ a virtual solution where customers, either directly or with the assistance of a representative of the third party retailer, initiate the lease-to-own transaction online in the retailers' locations using our virtual solutions.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neither require nor perform a formal credit investigation for the approval of the lease-to-own transaction through our Acima virtual offerings and on-site locations, although we do rely on certain information from consumer reporting agencies as part of our decisioning process that may constitute a "consumer report" under applicable law. We use a proprietary automated process to confirm certain customer information for approval of the lease purchase agreement. We believe our lease-to-own solutions within the Acima segment are beneficial for both the retailer and the consumer. The retailer captures more sales and reduces their payment risk because we buy the merchandise directly from them. We believe consumers also benefit from our Acima model because they are able to obtain the products they want and need without the necessity of relying on credit to finance a purchase. We generally pay the retail price for merchandise purchased from our retail partners and subsequently leased to the customer. Through certain retail partners, we offer our customers the option to obtain ownership of the product at or slightly above the full retail price if they pay within 90 days. In some cases, the retailer provides us a rebate on the cost of the merchandise if the customer exercises this 90-day option.</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Acima operating model is highly agile and dynamic given our virtual offerings and our ability to open and close staffed and unstaffed locations quickly and efficiently. Generally, our Acima staffed locations consist of an area with a computer, desk and chairs. We occupy the space without charge by agreement with each retailer. In our virtual locations, transactions are initiated through an electronic portal accessible by retail partners on their store computers, on our retail partners' e-commerce sites or through our Acima direct to consumer offerings including the Acima mobile application. Accordingly, capital expenditures with respect to new Acima locations are minimal.</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Acima relies on our third-party retail partners to deliver merchandise leased by the customer. Such third-party retail partners typically charge us a fee for delivery, which we pass on to the customer. In the event the customer returns rented merchandise, we pick it up at no additional charge or provide other return options. Most merchandise returned from an Acima lease-to-own transaction is subsequently donated or offered for rental at one of our Rent-A-Center Business stores. Our Acima segment comprised approximately 50% of our consolidated net revenues for the year ended December 31, 2022.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Rent-A-Center Business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Rent-A-Center Business segment consists of company-owned lease-to-own stores in the United States and Puerto Rico that lease durable goods to customers on a lease-to-own basis. Our Rent-A-Center Business segment operates through our company-owned stores and e-commerce platform through rentacenter.com. As of December 31, 2022, we operated 1,851 company-owned stores in the United States and Puerto Rico, including 48 retail installment sales stores under the names “Get It Now” and “Home Choice.” We routinely evaluate the locations in which we operate to optimize our store network. Our Rent-A-Center Business segment comprised approximately 46% of our consolidated net revenues for the year ended December 31, 2022.</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Mexico</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Mexico segment consists of our company-owned lease-to-own stores in Mexico that lease durable goods to customers on a lease-to-own basis. As of December 31, 2022, we operated 126 stores in Mexico.</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Franchising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Rent-A-Center Franchising International, Inc., an indirect wholly-owned subsidiary of the Company, is a franchisor of lease-to-own stores. The stores in our Franchising segment use our Rent-A-Center, ColorTyme or RimTyme trade names, service marks, trademarks and logos, and operate under distinctive operating procedures and standards. Our Franchising segment's primary source of revenue is the sale of rental merchandise to its franchisees, who in turn, offer the merchandise to the general public for rent or purchase under a lease-to-own transaction. The balance of our Franchising segment's revenue is generated primarily from royalties based on franchisees' monthly gross revenues.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we franchised 447 stores in 31 states operating under the Rent-A-Center (392 stores), ColorTyme (18 stores) and RimTyme (37 stores) trade names. These lease-to-own stores primarily offer high quality products such as furniture and accessories, consumer electronics, appliances, computers, wheels and tires.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franchisor, Franchising receives royalties of 2.0% to 6.0% of the franchisees’ monthly gross revenue and, generally, an initial fee of up to $10,000 per new location.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store locations allocated among these operating segments as of December 31 of each of the years indicated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gridSpan w:val="2"/>
          </w:tcPr>
          <w:p>
            <w:pPr>
              <w:ind w:left="7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Rent-A-Center Business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w:t>
            </w:r>
          </w:p>
        </w:tc>
      </w:tr>
      <w:tr>
        <w:trPr>
          <w:trHeight w:val="213"/>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Mexico</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Franchising</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r>
      <w:tr>
        <w:trPr>
          <w:trHeight w:val="212"/>
        </w:trPr>
        <w:tc>
          <w:tcPr>
            <w:tcW w:w="766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16"/>
                <w:szCs w:val="16"/>
                <w:color w:val="auto"/>
              </w:rPr>
              <w:t>Total locations</w:t>
            </w:r>
            <w:r>
              <w:rPr>
                <w:rFonts w:ascii="Times New Roman" w:cs="Times New Roman" w:eastAsia="Times New Roman" w:hAnsi="Times New Roman"/>
                <w:sz w:val="21"/>
                <w:szCs w:val="21"/>
                <w:color w:val="auto"/>
                <w:vertAlign w:val="superscript"/>
              </w:rPr>
              <w:t>(1)</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2,428</w:t>
            </w:r>
          </w:p>
        </w:tc>
      </w:tr>
      <w:tr>
        <w:trPr>
          <w:trHeight w:val="21"/>
        </w:trPr>
        <w:tc>
          <w:tcPr>
            <w:tcW w:w="6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140" w:hanging="132"/>
        <w:spacing w:after="0"/>
        <w:tabs>
          <w:tab w:leader="none" w:pos="140"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Does not include locations operating within our Acima segment.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applies generally to all of our operating segments, unless otherwise noted.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Store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expenses primarily relate to merchandise costs and the cost of operating our stores, including salaries and benefits for our employees, occupancy expense for our leased real estate, advertising expenses, lost, damaged, or stolen merchandise, fixed asset depreciation, and other expenses.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Selection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stores in our Rent-A-Center Business, Mexico, and Franchising segments generally offer merchandise from certain basic product categories: furniture, including mattresses, tires, consumer electronics, appliances, tools, handbags, computers, smartphones, and accessories. Although we seek to maintain sufficient inventory in our stores to offer customers a wide variety of models, styles and brands, we generally limit merchandise to prescribed levels to maintain strict inventory controls. We seek to provide a wide variety of high quality merchandise to our customers, and we emphasize products from name-brand manufacturers. Customers may request either new merchandise or previously leased merchandise. Previously leased merchandise is generally offered at a similar weekly, semi-monthly, or monthly lease rate as is offered for new merchandise, but with an opportunity to obtain ownership of the merchandise after fewer lease payments.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furniture products include dining room, living room and bedroom furniture featuring a number of styles, materials and colors. Accessories include lamps and tables and are typically rented as part of a package of items, such as a complete room of furniture. Showroom displays enable customers to visualize how the product will look in their homes and provide a showcase for accessories. Appliances include refrigerators, freezers, washing machines, dryers, and ranges. Consumer electronic products offered by our stores include high definition televisions, home theater systems, video game consoles and stereos. We offer desktop, laptop, tablet computers and smartphones.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merchandise assortment may vary in our non-U.S. stores according to market characteristics and consumer demand unique to the particular country in which we are operating. For example, in Mexico, the appliances we offer are sourced locally, providing our customers in Mexico the look and feel to which they are accustomed in that product category.</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Acima locations offer merchandise available for sale through third-party retailers, primarily including furniture and accessories, consumer electronics and appliances, wheels and tires, and jewelry.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Turnover</w:t>
      </w:r>
    </w:p>
    <w:p>
      <w:pPr>
        <w:spacing w:after="0" w:line="1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average, in the Rent-A-Center Business segment, a lease term of 16 months or exercising an early purchase option is generally required to obtain ownership of new merchandise. Product turnover is the number of times a product is rented to a different customer. On average, a product is leased (turned over) to multiple customers before a customer acquires ownership. Merchandise returned in the Acima segment is often moved to a Rent-A-Center Business store where it is offered for lease. Ownership is attained in approximately 35% of lease purchase agreements in the Rent-A-Center Business segment. The average total life for each product in our Rent-A-Center Business segment is approximately 15 months, which includes the initial lease period, all additional lease periods and idle time in our system. To cover the higher operating expenses generated by the key benefits of lease purchase transactions and product turnover, lease purchase agreements require higher aggregate payments to</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72" w:lineRule="exact"/>
        <w:rPr>
          <w:sz w:val="20"/>
          <w:szCs w:val="20"/>
          <w:color w:val="auto"/>
        </w:rPr>
      </w:pPr>
    </w:p>
    <w:p>
      <w:pPr>
        <w:ind w:right="460"/>
        <w:spacing w:after="0" w:line="375" w:lineRule="auto"/>
        <w:rPr>
          <w:sz w:val="20"/>
          <w:szCs w:val="20"/>
          <w:color w:val="auto"/>
        </w:rPr>
      </w:pPr>
      <w:r>
        <w:rPr>
          <w:rFonts w:ascii="Times New Roman" w:cs="Times New Roman" w:eastAsia="Times New Roman" w:hAnsi="Times New Roman"/>
          <w:sz w:val="18"/>
          <w:szCs w:val="18"/>
          <w:color w:val="auto"/>
        </w:rPr>
        <w:t xml:space="preserve">obtain ownership over time (if elected by the customer) than are generally charged under purchase plans, such as installment purchase or credit plans. </w:t>
      </w:r>
      <w:r>
        <w:rPr>
          <w:rFonts w:ascii="Times New Roman" w:cs="Times New Roman" w:eastAsia="Times New Roman" w:hAnsi="Times New Roman"/>
          <w:sz w:val="18"/>
          <w:szCs w:val="18"/>
          <w:i w:val="1"/>
          <w:iCs w:val="1"/>
          <w:color w:val="auto"/>
        </w:rPr>
        <w:t>Collections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Rent-A-Center Business stores, managers use our management information system to track collections on a daily basis. Similarly, collections are monitored on a daily basis by on-site employees in our Acima staffed locations and by our back-office collections team in respect of our Acima virtual locations. If a customer fails to make a rental payment when due, we will attempt to contact the customer to terminate the account and arrange to regain possession of our merchandise or, if elected by the customer, to obtain payment and reinstate the agreement.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attempt to recover the rental items as soon as possible following non-renewal or termination of a lease purchase agreement. Collection efforts are enhanced by the personal and job-related references required of customers, the personal nature of the relationships in our Rent-A-Center Business segment between our employees and customers, and the availability of lifetime reinstatement.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we track past due amounts using a guideline of seven days in our Rent-A-Center Business segment and 30 days in the Acima segment. These metrics align with the majority of the lease purchase agreements in each segment, since payments are generally made weekly in the Rent-A-Center Business segment and bi-weekly and monthly in the Acima segment.</w:t>
      </w:r>
    </w:p>
    <w:p>
      <w:pPr>
        <w:spacing w:after="0" w:line="68"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If a customer does not return the merchandise or make a payment sufficient to reinstate an agreement, the remaining book value of the rental merchandise associated with delinquent accounts is generally charged off on or before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time the account became past due in the Rent-A-Center Business and Mexico segments, and during the month following the 120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in our virtual business or 150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in our staffed locations in the Acima segment.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Acima segment, we purchase the merchandise selected by the customer from the applicable third-party retailer at the time such customer enters into a lease purchase agreement with us. As in the Rent-A-Center Business segment, Acima retains ownership of the leased property unless and until the customer elects to purchase the property pursuant to the lease terms.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Rent-A-Center Business and Mexico segments, we purchase our rental merchandise from a variety of suppliers. In 2022, approximately 32% and 18% of our merchandise purchases were attributable to Ashley Furniture Industries and Whirlpool, respectively. No other brand accounted for more than 10% of merchandise purchased during these periods. We do not generally enter into written contracts with our suppliers that obligate us to meet certain minimum purchasing levels. Although we expect to continue relationships with our existing suppliers, we believe there are numerous sources of products available, and we do not believe the success of our operations is dependent on any one or more of our present suppliers.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our Franchising segment, our franchise agreements with franchisees require the franchised stores to exclusively offer for rent or sale only those brands, types and models of products that Franchising has approved. The franchised stores are required to maintain an adequate mix of inventory that consists of approved products for rent as dictated by Franchising policy manuals. Franchisees can purchase product through us or directly from various approved suppliers.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executive management team has extensive experience in the lease-to-own industry, as well as financial services and technology and has demonstrated the ability to grow and manage our business through their operational leadership and strategic vision. Our regional and district managers generally have long tenures with us, and we have a history of promoting management personnel from within. To support our strategic efforts we have hired additional key management members in recent years.</w:t>
      </w:r>
    </w:p>
    <w:p>
      <w:pPr>
        <w:spacing w:after="0" w:line="72" w:lineRule="exact"/>
        <w:rPr>
          <w:sz w:val="20"/>
          <w:szCs w:val="20"/>
          <w:color w:val="auto"/>
        </w:rPr>
      </w:pPr>
    </w:p>
    <w:p>
      <w:pPr>
        <w:ind w:right="1140"/>
        <w:spacing w:after="0" w:line="406" w:lineRule="auto"/>
        <w:rPr>
          <w:sz w:val="20"/>
          <w:szCs w:val="20"/>
          <w:color w:val="auto"/>
        </w:rPr>
      </w:pPr>
      <w:r>
        <w:rPr>
          <w:rFonts w:ascii="Times New Roman" w:cs="Times New Roman" w:eastAsia="Times New Roman" w:hAnsi="Times New Roman"/>
          <w:sz w:val="18"/>
          <w:szCs w:val="18"/>
          <w:color w:val="auto"/>
        </w:rPr>
        <w:t xml:space="preserve">We believe our executive management team's extensive industry and company experience will allow us to effectively execute our strategies. </w:t>
      </w:r>
      <w:r>
        <w:rPr>
          <w:rFonts w:ascii="Times New Roman" w:cs="Times New Roman" w:eastAsia="Times New Roman" w:hAnsi="Times New Roman"/>
          <w:sz w:val="18"/>
          <w:szCs w:val="18"/>
          <w:b w:val="1"/>
          <w:bCs w:val="1"/>
          <w:color w:val="auto"/>
        </w:rPr>
        <w:t>Marketing</w:t>
      </w:r>
    </w:p>
    <w:p>
      <w:pPr>
        <w:spacing w:after="0" w:line="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promote our products and services through television and digital radio commercials, print advertisements, store telemarketing, digital display advertisements, direct email campaigns, social networks, paid and organic search engines, website and store signage. Our advertisements emphasize such features as product and name-brand selection, the opportunity to pay as you go without relying on credit to finance a purchase and without requiring long-term contracts or obligations, convenient delivery and set-up, product repair and loaner services, lifetime reinstatement and multiple options to acquire ownership if desired by the customer, including early purchase pricing options or through a fixed number of payments. In addition, in the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8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Rent-A-Center Business segment, we promote the “RAC Worry-Free Guarantee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to further highlight these aspects of the lease purchase transaction. We believe that by leveraging our advertising efforts to highlight the benefits of the lease purchase transaction, we will continue to educate our customers and potential customers about the lease-to-own alternative to credit as well as solidify our reputation as a leading provider of high-quality, branded merchandise and services.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Franchising has established national advertising funds for the franchised stores, whereby Franchising has the right to collect up to 4.5% of the monthly gross revenue from each franchisee as contributions to the fund. Franchising directs the advertising programs of the fund, generally consisting of television and radio commercials and print advertisements. Franchising also has the right to require franchisees to expend up to 3% of their monthly gross revenue on local advertising.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&amp; Competition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 to data released by the Fair Isaac Corporation on August 30, 2022, consumers in the “subprime” category (those with credit scores below 650) made up approximately 24% of the United States population. Approximately 36% of U.S. consumers have incomes below $50,000 and may lack access to traditional credit. The lease-to-own industry provides customers the opportunity to obtain merchandise they might otherwise be unable to obtain due to insufficient cash resources or a lack of access to credit.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stores, kiosks and other lease-to-own operations compete with other national, regional and local lease-to-own businesses, including on-line only competitors, as well as with rental stores that do not offer their customers a purchase option. With respect to customers desiring to purchase merchandise for cash or on credit, we also compete with retail stores, online competitors, and non-traditional lenders. Competition is based primarily on convenience, store location, product selection and availability, customer service, and lease rates and terms.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 mix is moderately seasonal, with the first quarter of each fiscal year generally providing higher merchandise sales than any other quarter during a fiscal year. Generally, our customers will more frequently exercise the early purchase option on their existing lease purchase agreements or purchase pre-leased merchandise off the showroom floor during the first quarter of each fiscal year, primarily due to the receipt of federal income tax refunds.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various trademarks and service marks that are used in connection with our operations and have been registered with the United States Patent and Trademark Office. The duration of our trademarks is unlimited, subject to periodic renewal and continued use. In addition, we have obtained trademarks and filed for trademark registrations in Mexico and certain other foreign jurisdictions. We believe we hold the necessary rights for protection of the trademarks and service marks essential to our business. The products held for rent in our stores or through our host retailer partners also bear trademarks and service marks held by their respective manufacturers.</w:t>
      </w:r>
    </w:p>
    <w:p>
      <w:pPr>
        <w:spacing w:after="0" w:line="7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Franchising segment licenses the use of the Rent-A-Center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ColorTyme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trademarks and service marks to its franchisees under its franchise agreements with such franchisees. The Franchising segment also owns various trademarks and service marks, including ColorTyme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RimTyme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that are used in connection with its operations and have been registered with the United States Patent and Trademark office. The duration of these marks is unlimited, subject to periodic renewal and continued use.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we employed a total of 12,690 coworkers, the vast majority of which are full time employees. Our employee base is made up of 11,090 coworkers in our U.S. Operations, including Puerto Rico, 1,230 coworkers in our Mexico operations and 370 coworkers at our field support center.</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continually monitor our demand for labor and provide training and competitive compensation packages in an effort to attract and retain skilled coworkers. We believe our coworkers are one of the primary keys to successfully operating our business and achieving our strategic initiatives. Our human capital measures and objectives focus on the successful training and development of our coworkers, in addition to their safety. All of our coworkers are employed at will and are free to end their employment with us at any time.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focus on supporting a diverse and inclusive workforce. Our Chief Diversity Officer regularly reports to our Board of Directors. We have also implemented a program to deliver unconscious bias training to our employees and have launched and are expanding our Employee Resource Groups to promote a dialogue with our employees regarding our diversity initiatives.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of Lease-to-Own Transactions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State Regulation.</w:t>
      </w:r>
      <w:r>
        <w:rPr>
          <w:rFonts w:ascii="Times New Roman" w:cs="Times New Roman" w:eastAsia="Times New Roman" w:hAnsi="Times New Roman"/>
          <w:sz w:val="18"/>
          <w:szCs w:val="18"/>
          <w:color w:val="auto"/>
        </w:rPr>
        <w:t xml:space="preserve"> Currently, 46 states, the District of Columbia and Puerto Rico have rental purchase statutes that recognize and regulate rental purchase transactions as separate and distinct from credit sales. We believe this existing legislation is generally favorable to us, as it defines and clarifies the various disclosures, procedures and transaction structures related to the lease-to-own business with which we must comply. With some variations in individual states, most related state legislation requires the lessor to make prescribed disclosures to customers about the rental purchase agreement and transaction, and provides time periods during which customers may reinstate agreements despite having failed to make a timely payment. Some state rental purchase laws prescribe grace periods for non-payment, prohibit or limit certain types of collection or other practices, and limit certain fees that may be charged. Eleven states limit the total rental payments that can be charged to amounts ranging from 2.0 times to 2.4 times the disclosed cash price or the retail value of the rental product. Six of those eleven states also limit the cash price of merchandise to amounts ranging from 1.56 to 2.5 times our cost for each item.</w:t>
      </w:r>
    </w:p>
    <w:p>
      <w:pPr>
        <w:spacing w:after="0" w:line="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Although Minnesota has a rental purchase statute, the rental purchase transaction is also treated as a credit sale subject to consumer lending restrictions pursuant to judicial decision. Therefore, we offer our customers in Minnesota an opportunity to purchase our merchandise through an installment sale transaction in our Home Choice stores. As of December 31, 2022, we operated 19 Home Choice stores in Minnesota.</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North Carolina has no rental purchase legislation. However, the retail installment sales statute in North Carolina expressly provides that lease transactions which provide for more than a nominal purchase price at the end of the agreed rental period are not credit sales under the statute. As of December 31, 2022, we operated 86 lease-to-own stores and 35 Acima staffed locations in North Carolina.</w:t>
      </w:r>
    </w:p>
    <w:p>
      <w:pPr>
        <w:spacing w:after="0" w:line="6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Courts in Wisconsin and New Jersey, which do not have rental purchase statutes, have rendered decisions which classify rental purchase transactions as credit sales subject to consumer lending restrictions. Accordingly, in Wisconsin, we offer our customers an opportunity to purchase our merchandise through an installment sale transaction in our Get It Now stores. In New Jersey, we have modified our typical rental purchase agreements to provide disclosures, grace periods, and pricing that we believe comply with the retail installment sales act. As of December 31, 2022, we operated 29 Get It Now stores in Wisconsin and 39 Rent-A-Center stores in New Jersey.</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state lease-to-own laws as described above, general consumer protection laws and regulations adopted by states may also impact our business. There can be no assurance as to whether changes in the enforcement of existing state laws or regulations or the enactment of new laws or regulations that may unfavorably impact the lease-to-own industry would have a material and adverse effect on us.</w:t>
      </w:r>
    </w:p>
    <w:p>
      <w:pPr>
        <w:spacing w:after="0" w:line="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u w:val="single" w:color="auto"/>
          <w:color w:val="auto"/>
        </w:rPr>
        <w:t>Federal Regulation</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color w:val="auto"/>
        </w:rPr>
        <w:t xml:space="preserve"> To date, no comprehensive federal legislation has been enacted regulating the rental purchase transaction. The Dodd-Frank Wall Street Reform and Consumer Protection Act (“Dodd-Frank Act”) does not regulate leases with terms of 90 days or less. Because the lease-to-own transaction is for a term of week to week, or at most, month to month, and established federal law deems the term of a lease to be its minimum term regardless of extensions or renewals, if any, we believe the lease-to-own transaction is not covered by the Dodd-Frank Act. General consumer protection laws and regulations adopted at the federal level, however, may impact our business.</w:t>
      </w:r>
    </w:p>
    <w:p>
      <w:pPr>
        <w:spacing w:after="0" w:line="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From time to time, we have supported legislation introduced in Congress that would regulate the rental purchase transaction. While both beneficial and adverse legislation regulating the rental purchase transaction may be introduced in Congress in the future, any adverse federal legislation, if enacted, could have a material and adverse effect on us. In addition, there can be no assurance as to whether changes in the enforcement of existing federal consumer protection laws or regulations or the enactment of new laws or regulations that may unfavorably impact the lease-to-own industry would have a material and adverse effect on us.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Mexico</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comprehensive legislation regulating the lease-to-own transaction has been enacted in Mexico. We use substantially the same rental purchase transaction in Mexico as in the U.S. stores, but with such additional provisions as we believe may be necessary to comply with Mexico’s specific laws and customs.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file annual reports on Form 10-K, quarterly reports on Form 10-Q, periodic reports on Form 8-K, proxy statements and other information with the SEC. The public may obtain copies of these reports and any amendments at the SEC's Internet site, www.sec.gov. Additionally, we make available free of charge on or through our website our Annual Report on Form 10-K, our quarterly reports on Form 10-Q, our current reports on Form 8-K and amendments to those reports filed or furnished pursuant to Section 13(a) or 15(d) of the Exchange Act as soon as reasonably practicable after we electronically file such material with, or furnish it to, the SEC. We also provide electronic or paper copies of our filings free of charge upon request. In addition, our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Board of Directors has adopted a Code of Business Conduct and Ethics applicable to all members of our Board of Directors, as well as all of our employees, including our Chief Executive Officer, Chief Financial Officer, principal accounting officer and controller. The Code of Business Conduct and Ethics forms the foundation of a compliance program we established as part of our commitment to responsible business practices that includes policies, training, monitoring and other components covering a wide variety of specific areas applicable to our business activities and employee conduct. A copy of the Code of Business Conduct and Ethics is published on our website at https://investor.rentacenter.com/corporate-governance/governance-documents. We intend to make all required disclosures concerning any amendments to, or waivers from, this Code of Business Conduct and Ethics on our website.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Upbound Group, Inc. involves a high degree of risk, and you should carefully consider the risks described in this section and the other information included in this Annual Report on Form 10-K, including our Consolidated Financial Statements and related notes, before making an investment decision. Please note that the headings reflected below are provided solely for convenience of the reader and do not indicate that a given risk applies only to the heading under which it is located. The risks described in this section include, but are not limited to, those highlighted in the following list: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Economic Conditions</w:t>
      </w:r>
    </w:p>
    <w:p>
      <w:pPr>
        <w:spacing w:after="0" w:line="52" w:lineRule="exact"/>
        <w:rPr>
          <w:sz w:val="20"/>
          <w:szCs w:val="20"/>
          <w:color w:val="auto"/>
        </w:rPr>
      </w:pPr>
    </w:p>
    <w:p>
      <w:pPr>
        <w:ind w:left="660" w:hanging="166"/>
        <w:spacing w:after="0" w:line="236" w:lineRule="auto"/>
        <w:tabs>
          <w:tab w:leader="none" w:pos="655"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We are subject to the risk of pandemics and other threats to public health, such as the novel coronavirus (COVID-19) global pandemic, which could have an adverse effect on our business, financial condition and results of operations and lead to lasting changes in consumer behavior.</w:t>
      </w:r>
    </w:p>
    <w:p>
      <w:pPr>
        <w:ind w:left="660" w:hanging="166"/>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success of our business is dependent on factors affecting consumer spending and payment behaviors that are not under our control.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Vendors, Suppliers and Products</w:t>
      </w:r>
    </w:p>
    <w:p>
      <w:pPr>
        <w:spacing w:after="0" w:line="65" w:lineRule="exact"/>
        <w:rPr>
          <w:sz w:val="20"/>
          <w:szCs w:val="20"/>
          <w:color w:val="auto"/>
        </w:rPr>
      </w:pPr>
    </w:p>
    <w:p>
      <w:pPr>
        <w:ind w:left="660" w:right="2200" w:hanging="166"/>
        <w:spacing w:after="0" w:line="281" w:lineRule="auto"/>
        <w:tabs>
          <w:tab w:leader="none" w:pos="655"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Disruptions in our supply chain and other factors affecting the distribution of our merchandise could materially and adversely affect our business.</w:t>
      </w:r>
    </w:p>
    <w:p>
      <w:pPr>
        <w:spacing w:after="0" w:line="1" w:lineRule="exact"/>
        <w:rPr>
          <w:rFonts w:ascii="Times New Roman" w:cs="Times New Roman" w:eastAsia="Times New Roman" w:hAnsi="Times New Roman"/>
          <w:sz w:val="18"/>
          <w:szCs w:val="18"/>
          <w:b w:val="1"/>
          <w:bCs w:val="1"/>
          <w:i w:val="1"/>
          <w:iCs w:val="1"/>
          <w:color w:val="auto"/>
        </w:rPr>
      </w:pPr>
    </w:p>
    <w:p>
      <w:pPr>
        <w:ind w:left="660" w:hanging="166"/>
        <w:spacing w:after="0" w:line="281"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rely on the receipt of information from third party data vendors, and inaccuracies in or delay in receiving such information, or the termination of our relationships with such vendors, could have a material adverse effect on our business, operating results and financial condition.</w:t>
      </w:r>
    </w:p>
    <w:p>
      <w:pPr>
        <w:spacing w:after="0" w:line="1" w:lineRule="exact"/>
        <w:rPr>
          <w:rFonts w:ascii="Times New Roman" w:cs="Times New Roman" w:eastAsia="Times New Roman" w:hAnsi="Times New Roman"/>
          <w:sz w:val="18"/>
          <w:szCs w:val="18"/>
          <w:i w:val="1"/>
          <w:iCs w:val="1"/>
          <w:color w:val="auto"/>
        </w:rPr>
      </w:pPr>
    </w:p>
    <w:p>
      <w:pPr>
        <w:ind w:left="660" w:right="20" w:hanging="166"/>
        <w:spacing w:after="0" w:line="281"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must successfully manage our inventory to reflect customer demand and anticipate changing consumer preferences and leasing trends or our revenue and profitability will be materially and adversely affected.</w:t>
      </w:r>
    </w:p>
    <w:p>
      <w:pPr>
        <w:spacing w:after="0" w:line="1" w:lineRule="exact"/>
        <w:rPr>
          <w:rFonts w:ascii="Times New Roman" w:cs="Times New Roman" w:eastAsia="Times New Roman" w:hAnsi="Times New Roman"/>
          <w:sz w:val="18"/>
          <w:szCs w:val="18"/>
          <w:i w:val="1"/>
          <w:iCs w:val="1"/>
          <w:color w:val="auto"/>
        </w:rPr>
      </w:pPr>
    </w:p>
    <w:p>
      <w:pPr>
        <w:ind w:left="660" w:hanging="166"/>
        <w:spacing w:after="0" w:line="284"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Allegations of or actual product safety and quality control issues, including product recalls, could harm our reputation, divert resources, reduce sales and increase costs.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Strategy and Operations</w:t>
      </w:r>
    </w:p>
    <w:p>
      <w:pPr>
        <w:spacing w:after="0" w:line="65" w:lineRule="exact"/>
        <w:rPr>
          <w:sz w:val="20"/>
          <w:szCs w:val="20"/>
          <w:color w:val="auto"/>
        </w:rPr>
      </w:pPr>
    </w:p>
    <w:p>
      <w:pPr>
        <w:ind w:left="660" w:hanging="166"/>
        <w:spacing w:after="0" w:line="281"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 we are unable to successfully appeal to and engage with our target consumers, our business and financial performance may be materially and adversely affected.</w:t>
      </w:r>
    </w:p>
    <w:p>
      <w:pPr>
        <w:spacing w:after="0" w:line="1" w:lineRule="exact"/>
        <w:rPr>
          <w:rFonts w:ascii="Times New Roman" w:cs="Times New Roman" w:eastAsia="Times New Roman" w:hAnsi="Times New Roman"/>
          <w:sz w:val="18"/>
          <w:szCs w:val="18"/>
          <w:i w:val="1"/>
          <w:iCs w:val="1"/>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must maintain brands that are recognized and trusted by consumers.</w:t>
      </w:r>
    </w:p>
    <w:p>
      <w:pPr>
        <w:spacing w:after="0" w:line="63" w:lineRule="exact"/>
        <w:rPr>
          <w:rFonts w:ascii="Times New Roman" w:cs="Times New Roman" w:eastAsia="Times New Roman" w:hAnsi="Times New Roman"/>
          <w:sz w:val="18"/>
          <w:szCs w:val="18"/>
          <w:i w:val="1"/>
          <w:iCs w:val="1"/>
          <w:color w:val="auto"/>
        </w:rPr>
      </w:pPr>
    </w:p>
    <w:p>
      <w:pPr>
        <w:jc w:val="both"/>
        <w:ind w:left="660" w:hanging="166"/>
        <w:spacing w:after="0" w:line="267"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proprietary algorithms and customer lease decisioning tools used to approve customers are subject to unexpected changes in behavior caused by macroeconomic conditions which could cause these tools to no longer be indicative of our customers’ ability to perform under their lease agreements with us.</w:t>
      </w:r>
    </w:p>
    <w:p>
      <w:pPr>
        <w:spacing w:after="0" w:line="11" w:lineRule="exact"/>
        <w:rPr>
          <w:rFonts w:ascii="Times New Roman" w:cs="Times New Roman" w:eastAsia="Times New Roman" w:hAnsi="Times New Roman"/>
          <w:sz w:val="18"/>
          <w:szCs w:val="18"/>
          <w:i w:val="1"/>
          <w:iCs w:val="1"/>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Failure to effectively manage our costs could have a material adverse effect on our profitability.</w:t>
      </w:r>
    </w:p>
    <w:p>
      <w:pPr>
        <w:spacing w:after="0" w:line="63" w:lineRule="exact"/>
        <w:rPr>
          <w:rFonts w:ascii="Times New Roman" w:cs="Times New Roman" w:eastAsia="Times New Roman" w:hAnsi="Times New Roman"/>
          <w:sz w:val="18"/>
          <w:szCs w:val="18"/>
          <w:i w:val="1"/>
          <w:iCs w:val="1"/>
          <w:color w:val="auto"/>
        </w:rPr>
      </w:pPr>
    </w:p>
    <w:p>
      <w:pPr>
        <w:jc w:val="both"/>
        <w:ind w:left="660" w:hanging="166"/>
        <w:spacing w:after="0" w:line="267"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face risks in our Acima retail partner business and virtual locations that differ in some potentially significant respects from the risks of the traditional lease-to-own business conducted in Rent-A-Center Business store locations. These risks could have a material adverse effect on Acima, which could negatively impact our ability to grow the Acima segment and result in a material adverse effect on our results of operations.</w:t>
      </w:r>
    </w:p>
    <w:p>
      <w:pPr>
        <w:spacing w:after="0" w:line="11" w:lineRule="exact"/>
        <w:rPr>
          <w:rFonts w:ascii="Times New Roman" w:cs="Times New Roman" w:eastAsia="Times New Roman" w:hAnsi="Times New Roman"/>
          <w:sz w:val="18"/>
          <w:szCs w:val="18"/>
          <w:i w:val="1"/>
          <w:iCs w:val="1"/>
          <w:color w:val="auto"/>
        </w:rPr>
      </w:pPr>
    </w:p>
    <w:p>
      <w:pPr>
        <w:ind w:left="660" w:hanging="166"/>
        <w:spacing w:after="0" w:line="281"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strategy to grow the retail partner business depends on our ability to develop and offer robust virtual lease-to-own technology, including algorithmic decisioning programs and waterfall integrations.</w:t>
      </w:r>
    </w:p>
    <w:p>
      <w:pPr>
        <w:spacing w:after="0" w:line="1" w:lineRule="exact"/>
        <w:rPr>
          <w:rFonts w:ascii="Times New Roman" w:cs="Times New Roman" w:eastAsia="Times New Roman" w:hAnsi="Times New Roman"/>
          <w:sz w:val="18"/>
          <w:szCs w:val="18"/>
          <w:i w:val="1"/>
          <w:iCs w:val="1"/>
          <w:color w:val="auto"/>
        </w:rPr>
      </w:pPr>
    </w:p>
    <w:p>
      <w:pPr>
        <w:ind w:left="660" w:hanging="166"/>
        <w:spacing w:after="0" w:line="281"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operations are dependent on effective information management systems. Failure of our systems or those of our host retailers could negatively impact our business, financial condition and results of operations.</w:t>
      </w:r>
    </w:p>
    <w:p>
      <w:pPr>
        <w:spacing w:after="0" w:line="1" w:lineRule="exact"/>
        <w:rPr>
          <w:rFonts w:ascii="Times New Roman" w:cs="Times New Roman" w:eastAsia="Times New Roman" w:hAnsi="Times New Roman"/>
          <w:sz w:val="18"/>
          <w:szCs w:val="18"/>
          <w:i w:val="1"/>
          <w:iCs w:val="1"/>
          <w:color w:val="auto"/>
        </w:rPr>
      </w:pPr>
    </w:p>
    <w:p>
      <w:pPr>
        <w:jc w:val="both"/>
        <w:ind w:left="660" w:hanging="166"/>
        <w:spacing w:after="0" w:line="267"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 we fail to protect the integrity and security of customer, employee and host retailer information, or if our host retailers fail to protect the integrity and security of customer information, we could incur significant liability and damage our reputation, and our business could be materially and adversely affected.</w:t>
      </w:r>
    </w:p>
    <w:p>
      <w:pPr>
        <w:spacing w:after="0" w:line="11" w:lineRule="exact"/>
        <w:rPr>
          <w:rFonts w:ascii="Times New Roman" w:cs="Times New Roman" w:eastAsia="Times New Roman" w:hAnsi="Times New Roman"/>
          <w:sz w:val="18"/>
          <w:szCs w:val="18"/>
          <w:i w:val="1"/>
          <w:iCs w:val="1"/>
          <w:color w:val="auto"/>
        </w:rPr>
      </w:pPr>
    </w:p>
    <w:p>
      <w:pPr>
        <w:ind w:left="660" w:hanging="166"/>
        <w:spacing w:after="0" w:line="281"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industries in which we operate are highly competitive, which could impede our ability to maintain sales volumes and pricing and have a material adverse effect on our operating results.</w:t>
      </w:r>
    </w:p>
    <w:p>
      <w:pPr>
        <w:spacing w:after="0" w:line="1" w:lineRule="exact"/>
        <w:rPr>
          <w:rFonts w:ascii="Times New Roman" w:cs="Times New Roman" w:eastAsia="Times New Roman" w:hAnsi="Times New Roman"/>
          <w:sz w:val="18"/>
          <w:szCs w:val="18"/>
          <w:i w:val="1"/>
          <w:iCs w:val="1"/>
          <w:color w:val="auto"/>
        </w:rPr>
      </w:pPr>
    </w:p>
    <w:p>
      <w:pPr>
        <w:ind w:left="660" w:hanging="166"/>
        <w:spacing w:after="0" w:line="281"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 we are unable to attract, train and retain managerial personnel and hourly associates in our stores and staffed Acima locations, our reputation, sales and operating results may be materially and adversely affected.</w:t>
      </w:r>
    </w:p>
    <w:p>
      <w:pPr>
        <w:spacing w:after="0" w:line="1" w:lineRule="exact"/>
        <w:rPr>
          <w:rFonts w:ascii="Times New Roman" w:cs="Times New Roman" w:eastAsia="Times New Roman" w:hAnsi="Times New Roman"/>
          <w:sz w:val="18"/>
          <w:szCs w:val="18"/>
          <w:i w:val="1"/>
          <w:iCs w:val="1"/>
          <w:color w:val="auto"/>
        </w:rPr>
      </w:pPr>
    </w:p>
    <w:p>
      <w:pPr>
        <w:ind w:left="660" w:hanging="166"/>
        <w:spacing w:after="0" w:line="284"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risks associated with climate change and other environmental impacts and increased focus by stakeholders on environmental issues, including those associated with climate change, could adversely affect our business, financial condition and operating results.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Legal and Compliance Matters</w:t>
      </w:r>
    </w:p>
    <w:p>
      <w:pPr>
        <w:spacing w:after="0" w:line="65" w:lineRule="exact"/>
        <w:rPr>
          <w:sz w:val="20"/>
          <w:szCs w:val="20"/>
          <w:color w:val="auto"/>
        </w:rPr>
      </w:pPr>
    </w:p>
    <w:p>
      <w:pPr>
        <w:ind w:left="660" w:hanging="166"/>
        <w:spacing w:after="0" w:line="281"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may be subject to legal or regulatory proceedings from time to time that result in damages, penalties or other material monetary obligations or material restrictions on our business operations, and our use of arbitration agreements may not allow us to avoid costly litigation.</w:t>
      </w:r>
    </w:p>
    <w:p>
      <w:pPr>
        <w:spacing w:after="0" w:line="1" w:lineRule="exact"/>
        <w:rPr>
          <w:rFonts w:ascii="Times New Roman" w:cs="Times New Roman" w:eastAsia="Times New Roman" w:hAnsi="Times New Roman"/>
          <w:sz w:val="18"/>
          <w:szCs w:val="18"/>
          <w:i w:val="1"/>
          <w:iCs w:val="1"/>
          <w:color w:val="auto"/>
        </w:rPr>
      </w:pPr>
    </w:p>
    <w:p>
      <w:pPr>
        <w:ind w:left="660" w:right="20" w:hanging="166"/>
        <w:spacing w:after="0" w:line="266"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outcome of the Consumer Financial Protection Bureau’s (“CFPB”) investigation into certain of Acima’s business practices is uncertain and may materially and adversely affect our business.</w:t>
      </w:r>
    </w:p>
    <w:p>
      <w:pPr>
        <w:jc w:val="both"/>
        <w:ind w:left="660" w:hanging="166"/>
        <w:spacing w:after="0" w:line="228" w:lineRule="exact"/>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Federal and state regulatory authorities are increasingly focused on the lease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to</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own industry, and any negative change in these laws or regulations or the passage of unfavorable new laws or regulations or the manner in which any of these are enforced or interpreted could expose us to significant additional costs or compliance-related burdens and could require us to alter our business practices in a manner that may be materially adverse to us.</w:t>
      </w:r>
    </w:p>
    <w:p>
      <w:pPr>
        <w:spacing w:after="0" w:line="7" w:lineRule="exact"/>
        <w:rPr>
          <w:rFonts w:ascii="Times New Roman" w:cs="Times New Roman" w:eastAsia="Times New Roman" w:hAnsi="Times New Roman"/>
          <w:sz w:val="18"/>
          <w:szCs w:val="18"/>
          <w:i w:val="1"/>
          <w:iCs w:val="1"/>
          <w:color w:val="auto"/>
        </w:rPr>
      </w:pPr>
    </w:p>
    <w:p>
      <w:pPr>
        <w:ind w:left="660" w:hanging="166"/>
        <w:spacing w:after="0" w:line="239" w:lineRule="exact"/>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lease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to</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own transactions are regulated by and subject to the requirements of federal and state laws and regulations that vary by jurisdiction, which require significant compliance costs and expose us to regulatory action or other litigation.</w:t>
      </w:r>
    </w:p>
    <w:p>
      <w:pPr>
        <w:spacing w:after="0" w:line="34" w:lineRule="exact"/>
        <w:rPr>
          <w:rFonts w:ascii="Times New Roman" w:cs="Times New Roman" w:eastAsia="Times New Roman" w:hAnsi="Times New Roman"/>
          <w:sz w:val="18"/>
          <w:szCs w:val="18"/>
          <w:i w:val="1"/>
          <w:iCs w:val="1"/>
          <w:color w:val="auto"/>
        </w:rPr>
      </w:pPr>
    </w:p>
    <w:p>
      <w:pPr>
        <w:ind w:left="660" w:hanging="166"/>
        <w:spacing w:after="0" w:line="281"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Laws and regulations regarding information security and data collection, use and privacy are increasingly rigorous and subject to change, which may cause us to incur significant compliance costs.</w:t>
      </w:r>
    </w:p>
    <w:p>
      <w:pPr>
        <w:spacing w:after="0" w:line="1" w:lineRule="exact"/>
        <w:rPr>
          <w:rFonts w:ascii="Times New Roman" w:cs="Times New Roman" w:eastAsia="Times New Roman" w:hAnsi="Times New Roman"/>
          <w:sz w:val="18"/>
          <w:szCs w:val="18"/>
          <w:i w:val="1"/>
          <w:iCs w:val="1"/>
          <w:color w:val="auto"/>
        </w:rPr>
      </w:pPr>
    </w:p>
    <w:p>
      <w:pPr>
        <w:ind w:left="660" w:hanging="166"/>
        <w:spacing w:after="0" w:line="281"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reputation, ability to do business and operating results may be impaired by improper conduct by any of our employees, agents or business partners, including retail partners.</w:t>
      </w:r>
    </w:p>
    <w:p>
      <w:pPr>
        <w:spacing w:after="0" w:line="1" w:lineRule="exact"/>
        <w:rPr>
          <w:rFonts w:ascii="Times New Roman" w:cs="Times New Roman" w:eastAsia="Times New Roman" w:hAnsi="Times New Roman"/>
          <w:sz w:val="18"/>
          <w:szCs w:val="18"/>
          <w:i w:val="1"/>
          <w:iCs w:val="1"/>
          <w:color w:val="auto"/>
        </w:rPr>
      </w:pPr>
    </w:p>
    <w:p>
      <w:pPr>
        <w:jc w:val="both"/>
        <w:ind w:left="660" w:hanging="166"/>
        <w:spacing w:after="0" w:line="267"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products and services may be negatively characterized by consumer advocacy groups, the media and certain federal, state and local government officials, and if those negative characterizations become increasingly accepted by consumers and/or our retail partners, demand for our goods and the transactions we offer could decrease and our business could be materially and adversely affected.</w:t>
      </w:r>
    </w:p>
    <w:p>
      <w:pPr>
        <w:spacing w:after="0" w:line="11" w:lineRule="exact"/>
        <w:rPr>
          <w:rFonts w:ascii="Times New Roman" w:cs="Times New Roman" w:eastAsia="Times New Roman" w:hAnsi="Times New Roman"/>
          <w:sz w:val="18"/>
          <w:szCs w:val="18"/>
          <w:i w:val="1"/>
          <w:iCs w:val="1"/>
          <w:color w:val="auto"/>
        </w:rPr>
      </w:pPr>
    </w:p>
    <w:p>
      <w:pPr>
        <w:jc w:val="both"/>
        <w:ind w:left="660" w:hanging="166"/>
        <w:spacing w:after="0" w:line="267"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may be unable to protect our intellectual property, or may be alleged to have infringed upon the intellectual property rights of others, which could result in a loss of our competitive advantage, a diversion of resources and a material adverse effect on our business and results of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Indebtedness and Other Financial Matters</w:t>
      </w:r>
    </w:p>
    <w:p>
      <w:pPr>
        <w:spacing w:after="0" w:line="65" w:lineRule="exact"/>
        <w:rPr>
          <w:sz w:val="20"/>
          <w:szCs w:val="20"/>
          <w:color w:val="auto"/>
        </w:rPr>
      </w:pPr>
    </w:p>
    <w:p>
      <w:pPr>
        <w:ind w:left="660" w:hanging="166"/>
        <w:spacing w:after="0"/>
        <w:tabs>
          <w:tab w:leader="none" w:pos="6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have significant indebtedness, and the level of our indebtedness could materially and adversely affect us.</w:t>
      </w:r>
    </w:p>
    <w:p>
      <w:pPr>
        <w:spacing w:after="0" w:line="63" w:lineRule="exact"/>
        <w:rPr>
          <w:rFonts w:ascii="Times New Roman" w:cs="Times New Roman" w:eastAsia="Times New Roman" w:hAnsi="Times New Roman"/>
          <w:sz w:val="18"/>
          <w:szCs w:val="18"/>
          <w:i w:val="1"/>
          <w:iCs w:val="1"/>
          <w:color w:val="auto"/>
        </w:rPr>
      </w:pPr>
    </w:p>
    <w:p>
      <w:pPr>
        <w:jc w:val="both"/>
        <w:ind w:left="660" w:hanging="166"/>
        <w:spacing w:after="0" w:line="267"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amount of borrowings permitted under the ABL Credit Facility is limited to the value of certain of our assets, and Upbound Group, Inc. relies in part on available borrowings under the ABL Credit Facility for cash to operate its business, which subjects it to market and counterparty risk, some of which is beyond Upbound Group, Inc.’s control.</w:t>
      </w:r>
    </w:p>
    <w:p>
      <w:pPr>
        <w:spacing w:after="0" w:line="11" w:lineRule="exact"/>
        <w:rPr>
          <w:rFonts w:ascii="Times New Roman" w:cs="Times New Roman" w:eastAsia="Times New Roman" w:hAnsi="Times New Roman"/>
          <w:sz w:val="18"/>
          <w:szCs w:val="18"/>
          <w:i w:val="1"/>
          <w:iCs w:val="1"/>
          <w:color w:val="auto"/>
        </w:rPr>
      </w:pPr>
    </w:p>
    <w:p>
      <w:pPr>
        <w:ind w:left="660" w:right="2440" w:hanging="166"/>
        <w:spacing w:after="0" w:line="281"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variable rate indebtedness subjects us to interest rate risk, which could cause our debt service obligations to increase significantly.</w:t>
      </w:r>
    </w:p>
    <w:p>
      <w:pPr>
        <w:spacing w:after="0" w:line="1" w:lineRule="exact"/>
        <w:rPr>
          <w:rFonts w:ascii="Times New Roman" w:cs="Times New Roman" w:eastAsia="Times New Roman" w:hAnsi="Times New Roman"/>
          <w:sz w:val="18"/>
          <w:szCs w:val="18"/>
          <w:i w:val="1"/>
          <w:iCs w:val="1"/>
          <w:color w:val="auto"/>
        </w:rPr>
      </w:pPr>
    </w:p>
    <w:p>
      <w:pPr>
        <w:ind w:left="660" w:hanging="166"/>
        <w:spacing w:after="0" w:line="281"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organizational documents and our current or future debt instruments contain or may contain provisions that may prevent or deter another group from paying a premium over the market price to Upbound Group, Inc.’s stockholders to acquire its stock.</w:t>
      </w:r>
    </w:p>
    <w:p>
      <w:pPr>
        <w:spacing w:after="0" w:line="1" w:lineRule="exact"/>
        <w:rPr>
          <w:rFonts w:ascii="Times New Roman" w:cs="Times New Roman" w:eastAsia="Times New Roman" w:hAnsi="Times New Roman"/>
          <w:sz w:val="18"/>
          <w:szCs w:val="18"/>
          <w:i w:val="1"/>
          <w:iCs w:val="1"/>
          <w:color w:val="auto"/>
        </w:rPr>
      </w:pPr>
    </w:p>
    <w:p>
      <w:pPr>
        <w:ind w:left="660" w:hanging="166"/>
        <w:spacing w:after="0"/>
        <w:tabs>
          <w:tab w:leader="none" w:pos="6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 our goodwill or intangible assets became impaired, we may be required to record a significant charge to earnings.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the Merger</w:t>
      </w:r>
    </w:p>
    <w:p>
      <w:pPr>
        <w:spacing w:after="0" w:line="65" w:lineRule="exact"/>
        <w:rPr>
          <w:sz w:val="20"/>
          <w:szCs w:val="20"/>
          <w:color w:val="auto"/>
        </w:rPr>
      </w:pPr>
    </w:p>
    <w:p>
      <w:pPr>
        <w:ind w:left="660" w:hanging="166"/>
        <w:spacing w:after="0" w:line="284" w:lineRule="auto"/>
        <w:tabs>
          <w:tab w:leader="none" w:pos="65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may be unable to realize the anticipated benefits of the Merger, including synergies, which could have a material adverse effect on our business, financial condition and results of operations.</w:t>
      </w:r>
    </w:p>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risks described in this section are not the only risks that could materially and adversely affect our business; other risks currently believed to be immaterial or additional risks not currently known to us could also materially and adversely affect our business, financial condition or results of operations. Furthermore, the COVID-19 pandemic (including federal, state and local governmental responses, broad economic impacts and market disruptions) has heightened certain risks discussed below. If any of the events or circumstances described in this section actually occur, our business, operating results, financial condition, cash flows, and prospects could be materially and adversely affected. In that event, the market price of our securities could decline, and you could lose part or all of your investment.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Economic Conditions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risk of pandemics and other threats to public health, which could have an adverse effect on our business, financial condition and results of operations and lead to lasting changes in consumer behavior.</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the risk of pandemics and other threats to public health, and the reactions of governmental authorities to those emergencies. The lease-to-own industry can benefit during recessionary economic cycles or credit-constrained environments because it provides credit constrained customers with a viable option to obtain merchandise they may not otherwise be able to obtain through other retailers offering traditional financing options. However, there are no assurances that the continuing or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future pandemics will not lead to future government actions negatively impacting our business. In addition, pandemics could lead to lasting changes in consumer behavior detrimental to our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is dependent on factors affecting consumer spending and payment behaviors that are not under our control.</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Consumer spending and payment behaviors are affected by general economic conditions and other factors including levels of employment, disposable consumer income, prevailing interest rates, consumer debt and availability of credit, cost of fuel, food and housing, inflation, recession and fears of recession, war (including the current conflict in Ukraine) and fears of war, terrorist activities, pandemics, inclement weather, tariff policies, tax rates and rate increases, timing of receipt of tax refunds, consumer confidence in future economic conditions and political conditions and consumer perceptions of personal well-being and security. Unfavorable general economic changes, due to any one or more of these or other factors, including those experienced in 2022 following the COVID-19 pandemic, could reduce demand for our products and services resulting in lower revenue or negatively impact consumer payment behavior resulting in higher than expected losses and negatively impacting the business and its financial results. For example, since the latter part of 2021, we have experienced negative trends in customer behavior following the expiration of the government’s fiscal and monetary stimulus and relief programs, and significant rise in the US consumer price index, resulting in lower payment and higher loss activity; as well as certain other negative trends in our business that we believe to be associated with macro-economic conditions resulting from COVID-19, including a condensed labor market, wage inflation, and global supply chain issues resulting in reduced product availability and rising product costs. At this time, we are unable to predict the full extent to which consumer spending behavior, or other macro-economic trends associated with the pandemic, may adversely impact our business in future periods.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Vendors, Suppliers and Products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in our supply chain and other factors affecting the distribution of our merchandise could materially and adversely affect our business.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Disruptions in our supply chain can and have resulted in our inability to meet our customers’ expectations, higher costs, an inability to stock our stores, or longer lead time associated with distributing merchandise. Disruptions within our supply chain network also result in decreased net sales, increased costs and reduced profits. For example, as a result of the impacts of COVID-19 on U.S. and global supply chains and manufacturing operations, we experienced some delays on our timing or ability to obtain desired merchandise for our business. The impacts of COVID-19 also affected supply chains of some of Acima’s host retailers, which led to certain products desired by customers not being available at all or in a timely manner and thereby adversely impacted Acima’s results.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arrangements with our suppliers and vendors may be materially and adversely affected by changes in our financial results or financial position or changes in consumer demand, which could materially and adversely affect our business.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Substantially all of our merchandise suppliers and vendors sell to us on open account purchase terms. There is a risk that our key suppliers and vendors could respond to any actual or apparent decrease in, or any concern with, our financial results or liquidity by requiring or conditioning their sale of merchandise to us on more stringent or more costly payment terms, such as by requiring standby letters of credit, earlier or advance payment of invoices, payment upon delivery or other assurances or credit support or by choosing not to sell merchandise to us on a timely basis or at all. In addition, if demand for our products and services declines, the volume of merchandise we purchase from third-party suppliers may decrease, which could result in smaller discounts from our vendors or the elimination of such discounts by our vendors. Our arrangements with our suppliers and vendors may also be impacted by media reports regarding our financial position or other factors relating to our business. Our need for additional liquidity could materially increase and our supply of inventory could be materially disrupted if any of our key suppliers or vendors, or a significant portion of our other suppliers or vendors, takes one or more of the actions described above, which could result in increased costs of operation and decreased net sales, customer satisfaction and profits.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the receipt of information from third-party data vendors, and inaccuracies in or delay in receiving such information, or the termination of our relationships with such vendors, could have a material adverse effect on our business, operating results and financial condition.</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heavily dependent on data provided by third-party providers. Our lease-to-own business employs a proprietary decisioning algorithm that determines whether or not an application for a lease submitted by a customer will be approved for a lease and the potential amount of the lease. This algorithm depends extensively upon continued access to, and timely receipt of, reliable data from external sources, such as third-party data vendors. Our data providers could stop providing data, provide untimely, incorrect or incomplete data, or increase the costs for their data for a variety of reasons, including a perception that our systems are insecure as a result of a data-security breach, regulatory concerns or for competitive reasons. We could also become subject to increased legislative, regulatory or judicial restrictions or mandates on the collection, disclosure or use of such data, in particular if such data is not collected by our providers in a way that allows us to legally use the data. If we were to lose access to this external data or if our access or use were restricted or were to become less economical or desirable, our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business would be negatively impacted, which would materially and adversely affect our operating results and financial condition. We cannot provide assurance that we will be successful in maintaining our relationships with these external data-source providers or that we will be able to continue to obtain data from them on acceptable terms or at all. Furthermore, we cannot provide assurance that we will be able to obtain data from alternative sources if our current sources become unavailable.</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successfully manage our inventory to reflect customer demand and anticipate changing consumer preferences and leasing trends or our revenue and profitability will be materially and adversely affected.</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success of our Rent-A-Center Business depends upon our ability to successfully manage our inventory and to anticipate and respond to merchandise trends and customer demands in a timely manner. We cannot always accurately predict consumer preferences, and they may change over time. We must order certain types of merchandise, such as consumer electronics, well in advance of seasonal increases in customer demand for those products. The extended lead times for many of our purchases may make it difficult for us to respond rapidly to new or changing consumer trends and price shifting and to maintain an optimal selection of merchandise available for lease at all times. If we misjudge either the market for our merchandise, our customers’ product preferences or our customers’ leasing habits, our revenue may decline significantly, and we may not have sufficient quantities of merchandise to satisfy customer demand, or we may be required to mark down excess inventory, either of which would result in lower profit margins. In addition, our level of profitability and success in our Rent-A-Center Business depends on our ability to successfully re-lease our inventory of merchandise that is returned by customers of our Rent-A-Center Business or Acima, due to their lease agreements expiring, or otherwise.</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Allegations of or actual product safety and quality control issues, including product recalls, could harm our reputation, divert resources, reduce sales and increase costs.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products we lease and sell in our Rent-A-Center Business and Acima business are subject to regulation by the U.S. Consumer Product Safety Commission and similar state regulatory authorities and expose us to potential product liability claims, recalls or other regulatory or enforcement actions initiated by regulatory authorities or through private causes of action. Such claims, recalls or actions could be based on allegations that, among other things, the products sold by us contain contaminants or impermissible materials, provide inadequate instructions regarding their use or misuse or include inadequate warnings, such as those concerning the materials or their flammability. We do not control the production process of the products we sell and lease and may be unable to identify a defect or deficiency in a product purchased from a manufacturer before offering it for sale or lease to our customers. Product safety or quality concerns may require us to voluntarily remove selected products from our physical locations or from our customers’ homes or cease offering those products online. Such recalls and voluntary removal of products can result in, among other things, lost sales, diverted resources, potential harm to our reputation and increased customer service costs, each of which could have a material adverse effect on our financial condition. In addition, in the event of such a product quality or safety issue, our customers who have leased the defective merchandise from us could terminate their lease agreements for that merchandise and/or not renew those lease arrangements, which could have a material adverse effect on our financial condition if we are unable to recover those losses from the vendor who supplied us with the relevant merchandise. In addition, new federal or state legislation, including new product safety and hazardous material laws and regulations, may negatively impact our operations, increase our cost of doing business and adversely affect our operating performance.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Strategy and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the effective implementation and continued execution of our strategies.</w:t>
      </w:r>
    </w:p>
    <w:p>
      <w:pPr>
        <w:spacing w:after="0" w:line="121" w:lineRule="exact"/>
        <w:rPr>
          <w:sz w:val="20"/>
          <w:szCs w:val="20"/>
          <w:color w:val="auto"/>
        </w:rPr>
      </w:pPr>
    </w:p>
    <w:p>
      <w:pPr>
        <w:ind w:right="120"/>
        <w:spacing w:after="0" w:line="219" w:lineRule="exact"/>
        <w:rPr>
          <w:sz w:val="20"/>
          <w:szCs w:val="20"/>
          <w:color w:val="auto"/>
        </w:rPr>
      </w:pPr>
      <w:r>
        <w:rPr>
          <w:rFonts w:ascii="Times New Roman" w:cs="Times New Roman" w:eastAsia="Times New Roman" w:hAnsi="Times New Roman"/>
          <w:sz w:val="18"/>
          <w:szCs w:val="18"/>
          <w:color w:val="auto"/>
        </w:rPr>
        <w:t>We are focused on our mission to provide cash- and credit-constrained consumers with affordable and flexible access to durable goods that promote a higher quality of living. In recent years, we accelerated our virtual growth strategy through the acquisition of Merchants Preferred, launch of our Preferred Lease offering, and acquisition of Acima Holdings, with a focus towards executing on large market opportunities through national and regional retail partners. We intend to capitalize on key differentiators in our virtual offerings, as well as grow our business through expansion in our product verticals,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commerce platform and other digital enhancements, improving the customer and retail partner experience and providing consumers with greater opportunities to shop how, when and where they want with the flexibility of our lease-to-own solutions. Our Rent-A-Center Business employs its own growth strategies and seeks to adapt to changing consumer preferences and shopping behaviors while managing its cost structure.</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Growth of our business, including through the launch of new product offerings and our intended significant expansion into virtual lease-to-own offerings, requires us to invest in or expand our information and technology capabilities, engage and retain experienced management, invest in our stores and otherwise incur additional costs. Our inability to address these concerns or otherwise to achieve targeted results associated with our initiatives could materially and adversely affect our results of operations, or negatively impact our ability to successfully execute future strategies, which may result in a material adverse effect on our business and financial results.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appeal to and engage with our target consumers, our business and financial performance may be materially and adversely affected.</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in the consumer retail industry through brick-and-mortar stores and digitally. As such, our success depends, among other things, on our ability to identify and successfully market products and services through various channels that appeal to our current and future target customer segments, to align our offerings with consumer preferences and to maintain favorable perceptions of our brands by our target consumers. If we are unable to successfully appeal to and engage with our target consumers, our business and financial performance may be materially and adversely affected.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maintain brands that are recognized and trusted by consumers.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brands could be adversely affected by situations that reflect negatively on us, whether due to our business practices, adverse financial developments, a data breach, perceptions of our corporate governance or how we address environmental or social responsibility initiatives, the conduct of our officers, directors, or employees, the actions of a significant partner or other businesses with which we do business, or other causes. The negative impacts of these or other events may be aggravated as consumers and other stakeholders increase or change their expectations regarding the conduct of public companies, sustainability efforts, and corporate responsibility. These impacts may be further complicated such that perceptions are formed through rapid and broad interactions using modern communication and social media tools over which we have no control. Any such event could decrease demand for our products, reduce our ability to recruit and retain employees, and lead to greater regulatory scrutiny of our businesses.</w:t>
      </w:r>
    </w:p>
    <w:p>
      <w:pPr>
        <w:spacing w:after="0" w:line="7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proprietary algorithms and customer lease decisioning tools used to approve customers are subject to unexpected changes in behavior caused by macroeconomic conditions which could cause these tools to no longer be indicative of our customers’ ability to perform under their lease agreements with us.</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believe our proprietary customer lease decisioning process to be a key to the success of our business for both Acima and our Rent-A-Center Business. As a result of the shift in operations driven by the COVID-19 pandemic, we accelerated the rollout of centralized lease decisioning processes in our company-operated Rent-A-Center Business stores. We assume behavior and attributes observed for prior customers, among other factors, are indicative of performance by future customers. Unexpected changes in behavior caused by macroeconomic conditions, including, for example, impacts to the U.S. economy related to the COVID-19 pandemic and changes in consumer behavior relating thereto as well as the current challenging macroeconomic conditions, could lead to increased incidence and costs related to lease merchandise write-offs. For example, we experienced higher losses in the fourth quarter of 2021 and during 2022 due to the impacts of changing consumer payment behaviors following the expiration of governmental stimulus programs. Due to the nature and novelty of the crisis and the governmental and other reactions to the crisis, our decisioning process will likely require frequent adjustments and the application of greater management judgment in the interpretation and adjustment of the results produced by our decisioning tools and we may be unable to accurately predict and respond to the impact of a prolonged economic downturn or changes to consumer behaviors, which in turn may limit our ability to manage risk, avoid lease merchandise write-offs and could result in our accounts receivable allowance being insufficient. Even after the effect of the current macroeconomic conditions subside, unexpected changes in behavior caused by macroeconomic conditions such as the U.S. economy experiencing a recession and job losses related thereto, increases in interest rates, inflationary pressures, reduced availability or elimination of government stimulus, resumption of eviction proceedings, resumption of student loan payments, changes in consumer preferences, availability of alternative products or other factors, could lead to increased incidence and costs related to lease merchandise write-offs.</w:t>
      </w:r>
    </w:p>
    <w:p>
      <w:pPr>
        <w:spacing w:after="0" w:line="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take advantage of merger and acquisition opportunities from time to time with the intent of advancing our key initiatives, but such activities may not prove successful and may subject us to additional risks.</w:t>
      </w:r>
    </w:p>
    <w:p>
      <w:pPr>
        <w:spacing w:after="0" w:line="5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From time to time, we may take advantage of merger and acquisition opportunities intended to advance our key strategic initiatives. Such merger and acquisition opportunities may involve numerous risks, including the following:</w:t>
      </w:r>
    </w:p>
    <w:p>
      <w:pPr>
        <w:spacing w:after="0" w:line="1" w:lineRule="exact"/>
        <w:rPr>
          <w:sz w:val="20"/>
          <w:szCs w:val="20"/>
          <w:color w:val="auto"/>
        </w:rPr>
      </w:pPr>
    </w:p>
    <w:p>
      <w:pPr>
        <w:ind w:left="660" w:hanging="16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operations, systems, technologies, products and personnel of the acquired businesses;</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entering markets in which we have no or limited direct prior experience and where competitors in such markets may have stronger market positions;</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regulatory regimes that have not previously applied to, and may significantly impact, our business;</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normal daily operations of the business and the challenges of managing larger and more widespread operations;</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vendors and other business partners of the businesses we acquire;</w:t>
      </w:r>
    </w:p>
    <w:p>
      <w:pPr>
        <w:spacing w:after="0" w:line="34" w:lineRule="exact"/>
        <w:rPr>
          <w:rFonts w:ascii="Times New Roman" w:cs="Times New Roman" w:eastAsia="Times New Roman" w:hAnsi="Times New Roman"/>
          <w:sz w:val="18"/>
          <w:szCs w:val="18"/>
          <w:color w:val="auto"/>
        </w:rPr>
      </w:pPr>
    </w:p>
    <w:p>
      <w:pPr>
        <w:ind w:left="660" w:hanging="166"/>
        <w:spacing w:after="0" w:line="239" w:lineRule="exact"/>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debt, contingent liabilities and amortization expenses and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offs of goodwill in connection with such activities that could harm our financial condition; and</w:t>
      </w:r>
    </w:p>
    <w:p>
      <w:pPr>
        <w:spacing w:after="0" w:line="36"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dilutive issuances of common stock or other equity securities.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Mergers and acquisitions are inherently risky and subject to many factors outside of our control. We cannot assure you that our previous or future acquisitions will be successful and will not materially and adversely affect our business, operating results or financial condition. Failure to manage and successfully integrate acquisitions could materially harm our business and operating results.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believe our Acima segment will be a higher growth business over the long term, we remain highly dependent on the financial performance of our Rent-A-Center Business segment.</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financial performance has historically been highly dependent on our Rent-A-Center Business segment. Although the Rent-A-Center Business revenues now comprise less than 50% of our consolidated net revenues following the acquisition of Acima Holdings, the Rent-A-Center Business segment remains important to our consolidated results. Any significant decrease in the financial performance of the Rent-A-Center Business segment may have a material adverse effect on our ability to implement our growth strategies. Rent-A-Center Business revenues for the year-ended December 31, 2022 were approximately 46% of our consolidated revenues.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effectively manage our costs could have a material adverse effect on our profitability.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Consumer spending remains uncertain and our continued profitability is largely dependent on our ability to effectively manage our cost structure, certain elements of which are largely fixed in nature. We have experienced, and may experience in the future, increases in the costs of purchasing certain merchandise from suppliers or retail partners as a result of various factors, including supply/demand trends, tariffs and other government regulations, increases in the prices of certain commodities, increases in shipping costs and general economic conditions. We have experienced and may experience in the future increases in labor costs as a result of wage inflation for employees in many regions or increased competition for employees as unemployment rates decline. We have limited or no control over many of these inflationary forces. In addition, due to the competitive environment in our industry and increasing price transparency, we may not be able to recover all or even a portion of such cost increases by increasing our merchandise prices, fees, or otherwise. Even if we are able to increase merchandise prices or fees, those cost increases to our customers could result in reduced demand for our products and services. As a result, the failure to manage our overall cost of operations, labor and benefit rates, advertising and marketing expenses, operating leases, charge-offs due to customer-stolen merchandise, other store expenses or indirect spending could materially and adversely affect our profitability.</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risks in our Acima retail partner business and virtual locations that differ in some potentially significant respects from the risks of the traditional lease-to-own business conducted in Rent-A-Center Business store locations. These risks could have a material adverse effect on Acima, which could negatively impact our ability to grow the Acima segment and result in a material adverse effect on our results of operations.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Acima segment offers the lease-to-own transaction through the stores or websites of third-party retailers and, therefore, faces risks different from those that have historically been associated with our traditional lease-to-own business conducted in our Rent-A-Center Business store locations. These potential risks include, among others:</w:t>
      </w:r>
    </w:p>
    <w:p>
      <w:pPr>
        <w:spacing w:after="0" w:line="14" w:lineRule="exact"/>
        <w:rPr>
          <w:sz w:val="20"/>
          <w:szCs w:val="20"/>
          <w:color w:val="auto"/>
        </w:rPr>
      </w:pPr>
    </w:p>
    <w:p>
      <w:pPr>
        <w:ind w:left="660" w:right="20" w:hanging="166"/>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ability of unaffiliated third-party retailers to attract customers and to maintain quality and consistency in their operations and their ability to continue to provide eligible durable goods desired by customers;</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unaffiliated third-party retailers;</w:t>
      </w:r>
    </w:p>
    <w:p>
      <w:pPr>
        <w:spacing w:after="0" w:line="63" w:lineRule="exact"/>
        <w:rPr>
          <w:rFonts w:ascii="Times New Roman" w:cs="Times New Roman" w:eastAsia="Times New Roman" w:hAnsi="Times New Roman"/>
          <w:sz w:val="18"/>
          <w:szCs w:val="18"/>
          <w:color w:val="auto"/>
        </w:rPr>
      </w:pPr>
    </w:p>
    <w:p>
      <w:pPr>
        <w:jc w:val="both"/>
        <w:ind w:left="660" w:hanging="166"/>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unaffiliated third-party retailers for many important business functions, from advertising through assistance with lease transaction applications, including, for example, adhering to Acima’s merchant policies and procedures, properly explaining the nature of the lease-to-own transaction to potential customers, properly handling customer inquiries made directly to the retail partner and properly explaining that the transaction is with Acima and not with the third-party retailer;</w:t>
      </w:r>
    </w:p>
    <w:p>
      <w:pPr>
        <w:spacing w:after="0" w:line="17" w:lineRule="exact"/>
        <w:rPr>
          <w:rFonts w:ascii="Times New Roman" w:cs="Times New Roman" w:eastAsia="Times New Roman" w:hAnsi="Times New Roman"/>
          <w:sz w:val="18"/>
          <w:szCs w:val="18"/>
          <w:color w:val="auto"/>
        </w:rPr>
      </w:pPr>
    </w:p>
    <w:p>
      <w:pPr>
        <w:jc w:val="both"/>
        <w:ind w:left="660" w:hanging="166"/>
        <w:spacing w:after="0" w:line="25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regulatory focus on the virtual lease-to-own transaction and/or the potential that regulators adopt new regulations or legislation (or existing laws and regulations may be interpreted in a manner) that negatively impact Acima’s ability to offer virtual lease-to-own programs or certain products or services through third-party retail partners, and/or that regulators may attempt to force the application of laws and regulations on Acima’s virtual lease-to-own business or certain products or services in inconsistent and unpredictable ways that could increase the compliance-related costs incurred by us, restrict certain business activities and negatively impact our financial and operational performance;</w:t>
      </w:r>
    </w:p>
    <w:p>
      <w:pPr>
        <w:spacing w:after="0" w:line="21"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automatic bank account drafts for lease payments, which may become disfavored as a payment method for these transactions by regulators and/or providers, or may otherwise become unavailable;</w:t>
      </w:r>
    </w:p>
    <w:p>
      <w:pPr>
        <w:spacing w:after="0" w:line="1" w:lineRule="exact"/>
        <w:rPr>
          <w:rFonts w:ascii="Times New Roman" w:cs="Times New Roman" w:eastAsia="Times New Roman" w:hAnsi="Times New Roman"/>
          <w:sz w:val="18"/>
          <w:szCs w:val="18"/>
          <w:color w:val="auto"/>
        </w:rPr>
      </w:pPr>
    </w:p>
    <w:p>
      <w:pPr>
        <w:jc w:val="both"/>
        <w:ind w:left="660" w:right="20" w:hanging="166"/>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product diversity within Acima’s merchandise inventory relative to our traditional store-based lease-to-own business, which can complicate matters such as merchandise repair and disposition of merchandise that is returned and which exposes us to risks associated with products with which we have limited experience;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9" w:name="page20"/>
    <w:bookmarkEnd w:id="19"/>
    <w:p>
      <w:pPr>
        <w:jc w:val="both"/>
        <w:ind w:left="660" w:hanging="166"/>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barriers to entry and start-up capital costs to launch a competitor due to the reliance of Acima and its competitors on the store locations and inventories of third-party retailers, and online connections with retailers, rather than incurring the cost to obtain and maintain brick and mortar locations and in-store or in-warehouse inventories;</w:t>
      </w:r>
    </w:p>
    <w:p>
      <w:pPr>
        <w:spacing w:after="0" w:line="13" w:lineRule="exact"/>
        <w:rPr>
          <w:rFonts w:ascii="Times New Roman" w:cs="Times New Roman" w:eastAsia="Times New Roman" w:hAnsi="Times New Roman"/>
          <w:sz w:val="18"/>
          <w:szCs w:val="18"/>
          <w:color w:val="auto"/>
        </w:rPr>
      </w:pPr>
    </w:p>
    <w:p>
      <w:pPr>
        <w:jc w:val="both"/>
        <w:ind w:left="660" w:right="20" w:hanging="166"/>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obligations to Acima’s retail partners and their service providers for losses stemming from Acima’s failure to perform with respect to its products and services, to comply with applicable laws or regulations or to take steps to protect its retail partner’s and their customers’ data and information from being accessed or stolen by unauthorized third parties, including through cyber-attacks;</w:t>
      </w:r>
    </w:p>
    <w:p>
      <w:pPr>
        <w:spacing w:after="0" w:line="13" w:lineRule="exact"/>
        <w:rPr>
          <w:rFonts w:ascii="Times New Roman" w:cs="Times New Roman" w:eastAsia="Times New Roman" w:hAnsi="Times New Roman"/>
          <w:sz w:val="18"/>
          <w:szCs w:val="18"/>
          <w:color w:val="auto"/>
        </w:rPr>
      </w:pPr>
    </w:p>
    <w:p>
      <w:pPr>
        <w:ind w:left="660" w:hanging="166"/>
        <w:spacing w:after="0" w:line="235" w:lineRule="exact"/>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consumer fraud with respect to Acima’s virtual lease-to-own business and e-commerce business as compared to the traditional store-based Rent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Center Business;</w:t>
      </w:r>
    </w:p>
    <w:p>
      <w:pPr>
        <w:spacing w:after="0" w:line="16"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merchant fraud due to the planned growth in retail partners and other merchants from which customers can select products to lease from Acima;</w:t>
      </w:r>
    </w:p>
    <w:p>
      <w:pPr>
        <w:spacing w:after="0" w:line="1"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gross margins compared to the Rent-A-Center Business because Acima purchases merchandise it leases to customers at retail, rather than wholesale, prices;</w:t>
      </w:r>
    </w:p>
    <w:p>
      <w:pPr>
        <w:spacing w:after="0" w:line="1"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financial, regulatory or other risks associated with the development and implementation of new digital technologies that are intended to enhance the customer and retail partner experience and to differentiate Acima from competing consumer offerings, including Acima direct to consumer offerings; and</w:t>
      </w:r>
    </w:p>
    <w:p>
      <w:pPr>
        <w:spacing w:after="0" w:line="1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Acima to adequately protect its proprietary technologies or to address any claims of infringement by third parties.</w:t>
      </w:r>
    </w:p>
    <w:p>
      <w:pPr>
        <w:spacing w:after="0" w:line="6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These risks could have a material adverse effect on Acima, which could negatively impact our ability to grow the Acima segment and result in a material adverse effect on our results of operations. In addition, these risks have become more significant as a result of the Merger due to the size of the Acima segment as a percentage of our overall company.</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strategy to grow the retail partner business depends on our ability to develop and offer robust virtual lease-to-own technology, including algorithmic decisioning programs and waterfall integrations.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our retail partner business began as a staffed model, our strategy to grow the retail partner business depends on significantly expanding our unstaffed or virtual lease-to-own solution. The acquisitions of Merchants Preferred and Acima Holdings in recent years, including scalable technology offering, robust decision engine, enhanced infrastructure and experienced management team members accelerated the development of our virtual lease-to-own offering. In 2021 and 2022, we have further executed on our virtual growth strategy through, among other things, continued investments in Acima’s proprietary offerings, technologies and organizational enhancements. We may not realize the intended benefits from these investments and initiatives. If we are unable to maintain and continuously improve our technologies and decisioning methodologies, our business and financial results may be materially and adversely affected.</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compete effectively with the growing e-commerce sector, our business and results of operations may be materially and adversely affected.</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Competition from the e-commerce sector continues to grow and has been accelerated by trends that developed as a result of social restrictions implemented due to COVID-19. To compete in this e-commerce sector, we must be able to innovate and develop technologies and digital solutions that appeal to our customer. We have launched virtual capabilities within our Acima and Rent-A-Center Business segments. There can be no assurance we will be successful in developing the technologies and digital solutions necessary to grow our e-commerce business in a profitable manner. Certain of our competitors, and a number of e-commerce retailers, have established e-commerce operations against which we compete for customers. It is possible that the increasing competition from the e-commerce sector may reduce or prevent us from growing our market share, gross and operating margins, and may materially and adversely affect our business and results of operations in other ways.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dependent on effective information management systems. Failure of our systems or those of our host retailers could negatively impact our business, financial condition and results of operations.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utilize integrated information management systems. The efficient operation of our business is dependent on these systems to effectively manage our financial and operational data. The failure of our information management systems to perform as designed due to “bugs,” crashes, computer viruses, security breaches, cyberattacks, phishing attacks, internet failures and outages, operator error, or catastrophic events, and any associated loss of data or interruption of such information management systems for a significant period of time could disrupt our business. If the information management systems sustain repeated failures, we may not be able to manage our store operations, which could have a material adverse effect on our business, financial condition and results of operations. We continuously need to improve and upgrade our systems and technology while maintaining their reliability and integrity. We invest in new information management technology and systems and implement modifications and upgrades to existing systems. These investments include replacing legacy systems, making changes to existing systems, building redundancies, and acquiring new systems and hardware with updated functionality. We take actions and implement procedures designed to ensure the successful implementation of these investments, including the testing of new</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0" w:name="page21"/>
    <w:bookmarkEnd w:id="20"/>
    <w:p>
      <w:pPr>
        <w:jc w:val="both"/>
        <w:spacing w:after="0" w:line="256" w:lineRule="auto"/>
        <w:rPr>
          <w:sz w:val="20"/>
          <w:szCs w:val="20"/>
          <w:color w:val="auto"/>
        </w:rPr>
      </w:pPr>
      <w:r>
        <w:rPr>
          <w:rFonts w:ascii="Times New Roman" w:cs="Times New Roman" w:eastAsia="Times New Roman" w:hAnsi="Times New Roman"/>
          <w:sz w:val="18"/>
          <w:szCs w:val="18"/>
          <w:color w:val="auto"/>
        </w:rPr>
        <w:t>systems and the transfer of existing data. These efforts may take longer and may require greater financial and other resources than anticipated, may cause distraction of key personnel, may cause disruptions to our existing systems and our business, and may not provide the anticipated benefits. A disruption in our information management systems, or our inability to improve, upgrade, integrate or expand our systems to meet our evolving business requirements, could impair our ability to achieve critical strategic initiatives and could materially and adversely affect our business, financial condition and results of operations. Similar risks associated with Acima host retailer information management systems, which we do not control, may also materially and adversely affect our business, financial condition and results of operations.</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protect the integrity and security of customer, employee and host retailer information, or if our host retailers fail to protect the integrity and security of customer information, we could incur significant liability and damage our reputation, and our business could be materially and adversely affected.</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collect, store and process certain personal information provided to us by our customers, including social security numbers, dates of birth, banking information, credit and debit card information and data we receive from consumer reporting companies, including credit report information, as well as certain confidential information about our retail partners and employees, among others. Much of this data constitutes confidential personally identifiable information (“PII”) which, if unlawfully accessed, either through a “hacking” attack or otherwise, could subject us to significant liability as further discussed below.</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our knowledge, we have not suffered a significant security breach during 2022 through February 24, 2023, the date of our annual report filed on Form 10-K. However, despite instituted safeguards for the protection of such information, our systems are subject to significant risk of compromise from increasingly aggressive and sophisticated cyberattacks, including hacking, computer viruses, malicious or destructive code, ransomware, social engineering attacks (including phishing and impersonation), denial-of-service attacks and other attacks and similar disruptions from the unauthorized use of or access to information technology systems. Our IT systems are subject to constant attempts to gain unauthorized access in order to disrupt our business operations and capture, misappropriate, destroy or manipulate various types of information that we rely on, including confidential PII or other confidential information. In addition, one of our employees, contractors or other third parties with whom we do business may attempt to circumvent our security measures in order to obtain such information, or if a third party we are engaged with suffers a breach, we could potentially also suffer from the loss of such information. Loss or misuse of customer, employee or retail partner information could disrupt our operations, damage our reputation, and expose us to claims from customers, employees, retail partners, regulators and other persons, any of which could have a material adverse effect on our business, financial condition and results of operations. Successful data breaches or other cybersecurity incidents at other companies, whether or not we are involved, could lead to a general loss of customer confidence that could similarly negatively affect us, including harming the market perception of the effectiveness of our security measures or financial technology in general. Further, if any such compromise, breach or misuse is not detected quickly, the effect could be compounded. In addition, the costs associated with information security, such as increased investment in technology, the costs of compliance with privacy laws and industry standards, fines, penalties, or liability, and costs incurred to prevent or remediate information security breaches, could materially and adversely affect our business. In addition, we rely on the secure operation of our website and other third-party systems generally to assist us in the collection and transmission of the sensitive data we collect. Similar risks associated with Acima host retailers’ failure to protect the integrity and security of customer information, which we do not control, may also materially and adversely affect our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achieve and maintain effective internal controls could have a material adverse effect on our business.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reports. If we cannot provide reliable financial reports, our brand and operating results could be harmed. Additionally, as a public company, we are required to document and test our internal control over financial reporting pursuant to Section 404 of the Sarbanes-Oxley Act of 2002 so that our management can certify, on an annual basis, that our internal control over financial reporting is effective. We are also required to, among other things, establish and periodically evaluate procedures with respect to our disclosure controls and procedures.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While we continue to evaluate and improve our internal controls, we cannot be certain that these measures will ensure that we implement and maintain adequate controls over our financial processes and reporting in the future. Any failure to implement required new or improved controls, or difficulties encountered in their implementation, could harm our operating results or cause us to fail to meet our reporting obligations. If we fail to maintain the adequacy of our internal controls, as such standards are modified, supplemented or amended from time to time, we may not be able to ensure that we can conclude on an ongoing basis that we have effective internal control over financial reporting in accordance with Section 404 of the Sarbanes-Oxley Act. Failure to achieve and maintain an effective internal control environment could cause investors to lose confidence in our reported financial information, which could have a material adverse effect on our ability to raise capital, and may also expose us to potential claims and losses. Additionally, any such failure could subject us to increased regulatory scrutiny, which could also have a material adverse effect on our business and our stock price.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1" w:name="page22"/>
    <w:bookmarkEnd w:id="2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industries in which we operate are highly competitive, which could impede our ability to maintain sales volumes and pricing and have a material adverse effect on our operating results.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categories of products we lease and sell from time to time, including furniture, appliances and electronics such as televisions, computers and smartphones, are the subject of intense competition from a number of types of competitors, including national, regional and local operators of lease-to-own stores, virtual lease-to-own companies, traditional and online providers of used goods and merchandise, traditional, “big-box” and e-commerce retailers, Fintech firms and others. These competitors may have significantly greater financial and operating resources, greater name recognition in certain markets, and offer a larger selection of products at more competitive prices than our Rent-A-Center Business and Acima segment. Competitors with greater financial resources may be able to grow faster than us, including through acquisitions. Our competitors may also employ aggressive marketing strategies involving frequent sales and discounts, including the use of certain products as “loss leaders” to increase customer traffic. Engaging in these pricing strategies could cause a material reduction in our sales revenue and gross margins. Alternatively, we may be unable to or elect not to engage in these pricing strategies, which could decrease our sales volumes. The expansion of digital retail has increased the number and variety of retailers with which we compete, and certain online retailers may have greater brand recognition, social media following and engagement and sophisticated websites than does Upbound Group, Inc. The increasing competition from all of these sources may also reduce the market share held by our Rent-A-Center Business and Acima segments.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lease-to-own industry faces competition from the retailers and lease-to-own companies mentioned above, including many retailers who offer layaway programs, various types of consumer finance companies, including Buy Now Pay Later, installment, payday and title loan companies, that may enable our customers to shop at traditional or online retailers, as well as rental stores that do not offer their customers a purchase option. Some of these competitors may be willing to offer products and services on an unprofitable basis in an effort to gain market share or be willing to lease certain types of products that we are not willing to or are unable to lease. Additionally, these competitors may be willing to enter into customer leases where services, rather than goods, comprise the significant portion of the lease value, or be willing to engage in other practices related to pricing, compliance, and other areas in which we are not willing to or cannot engage.</w:t>
      </w:r>
    </w:p>
    <w:p>
      <w:pPr>
        <w:spacing w:after="0" w:line="8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Acima business relies heavily on relationships with retail partners. An increase in competition, which we continue to face, could cause our retail partners to no longer offer the Acima product in favor of those of our competitors, or to offer the Acima product and the products of our competitors simultaneously at the same store locations, which could slow growth in the Acima business and limit or reduce profitability. Furthermore, Acima’s virtual lease to own competitors may deploy different business models, such as direct-to-consumer strategies, that forego reliance on retail partner relationships that may prove to be more successful.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retain key employees.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success of Upbound Group, Inc. depends in part upon its ability to retain its executive leadership, management team and other key employees. Key personnel may depart because of a variety of reasons. The loss of these individuals without adequate replacement could materially and adversely affect our ability to sustain and grow our business. The inability to attract and retain qualified individuals, or a significant increase in the costs to do so, would materially and adversely affect our operations.</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train and retain managerial personnel and hourly associates in our stores and staffed Acima locations, our reputation, sales and operating results may be materially and adversely affected.</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workforce is comprised primarily of employees who work on an hourly basis. We rely on our sales associates in our store locations and staffed Acima locations to provide customers with an enjoyable and informative shopping experience and to help ensure the efficient processing and delivery of products. To grow our operations and meet the needs and expectations of our customers, we must attract, train, and retain a large number of hourly associates, while at the same time controlling labor costs. We compete with other retail businesses as well as restaurants for many candidates for employment at our store locations and staffed Acima locations. These positions have historically had high turnover rates, which can lead to increased training, retention and other costs. Our ability to control labor costs is also subject to numerous external factors and compliance with regulatory structures, including competition for and availability of qualified personnel in a given market, unemployment levels within those markets, governmental regulatory bodies such as the Equal Employment Opportunity Commission and the National Labor Relations Board, prevailing wage rates and wage and hour laws, minimum wage laws, the impact of legislation governing labor and employee relations or benefits, such as the Affordable Care Act, health insurance costs and our ability to maintain good relations with our employees. If we are unable to attract and retain quality employees at reasonable cost, or fail to comply with the regulations and laws impacting personnel, it could have a material adverse effect on our business, financial condition and results of operations.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Acts of nature and pandemic, whether due to climate change or otherwise, can disrupt our operations and those of our retail partners.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store operations, as well as those of our retail partners at Acima, are subject to the effects of adverse acts of nature, such as winter storms, hurricanes, hail storms, strong winds, earthquakes and tornadoes, which have in the past caused damage such as flooding and other damage to our stores and those of our retail partners in specific geographic locations, including in Mexico, Puerto Rico, Florida, Louisiana and Texas, and may, depending upon the location and severity of such events, materially and unfavorably impact our business continuity. We cannot guarantee that the amount of any hurricane, windstorm, earthquake, flood, business interruption or other casualty insurance we may maintain from time to time would cover any or all damages caused by any such event.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COVID-19 pandemic and the measures taken in response to it prevented us from continuing our operations in the ordinary course, which had an immediate adverse effect on our business as we experienced operational restrictions, delays on our timing or ability to obtain desired merchandise and increased costs. To the extent that similar measures are implemented in the future in response to the COVID-19 pandemic or other public heath or safety crises, our business and results of operations may be adversely affected.</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risks associated with climate change and other environmental impacts and increased focus by stakeholders on environmental issues, including those associated with climate change, could adversely affect our business, financial condition and operating results.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Climatologists predict the long-term effects of climate change and global warming will result in the increased frequency, intensity, unpredictability and duration of weather events, which could significantly disrupt supply chains, potentially impacting our vendors’ costs and the production of products leased at our stores. These weather events could also lead to an increased rate of temporary store closures and reduced customer traffic at our stores and impact the availability and costs of products, commodities and energy, which in turn may impact our ability to procure goods or services required for the operation of our business at the quantities and levels we require.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concern over climate change may result in new or increased regional, federal or global legal and regulatory requirements to reduce or mitigate the effects of greenhouse gases. These requirements may lead to an increase in tax, transportation, and utility expenses.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Lastly, there is increased focus, including by governmental and non-governmental organizations, investors, customers and consumers on these and other environmental sustainability matters, including deforestation, land use, climate impact and recyclability or recoverability of packaging, including plastic. Our reputation could be damaged if we or others in our industry do not act, or are perceived not to act, responsibly with respect to our impact on the environment. In addition, our host retailers in our Acima segment may face similar risks, which could adversely impact the performance of our Acima results.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Franchising segment is dependent on the ability and success of our third party franchisees, over which we have limited control.</w:t>
      </w:r>
    </w:p>
    <w:p>
      <w:pPr>
        <w:spacing w:after="0" w:line="121"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The franchisees of our Franchising segment are independent third party businesses that are contractually obligated to operate in accordance with the operational and other standards set forth in their respective franchise agreements. Although we evaluate potential franchisee candidates before entering into a franchisor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franchisee relationship with them, we cannot be certain that management of a given candidate will have the business acumen or financial resources necessary to operate successful franchises in their approved territories. Because franchisees are independent businesses and not employees, we are not able to control them to the same extent as our Rent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Center Business stores, and the ultimate success and quality of a franchise ultimately rests with the franchisee. Certain state franchise laws may also limit our ability to terminate, not renew or modify our franchise agreements. Our franchisees may fail in key areas, or experience significant business or financial difficulties, which could slow our growth, reduce our franchise fees, royalties and revenue, damage our reputation, expose us to regulatory enforcement actions or private litigation and/or cause us to incur additional costs. If we fail to adequately mitigate any such future losses, our business and financial condition could be materially and adversely affected.</w:t>
      </w:r>
    </w:p>
    <w:p>
      <w:pPr>
        <w:spacing w:after="0" w:line="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businesses are typically subject to seasonality, which causes our revenues and operating cash flows to fluctuate and may adversely affect our ability to borrow on our credit facilities, service our debt obligations and fund our operations.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typically experiences moderate seasonality with the first quarter of each fiscal year generally providing higher merchandise sales than any other quarter, due to customers’ receipt of federal tax refunds, followed by reduced demand in the second and third quarters of each fiscal year. This seasonality requires us to manage our cash flows over the course of the year. If our revenues were to fall substantially below what we would normally expect during certain periods, our annual financial results, our ability to borrow on our credit facilities, and our ability to service our debt obligations or fund our operations could be adversely affected.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insurance program may expose us to unexpected costs and negatively affect our financial performance.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insurance coverage is subject to deductibles, self-insured retentions, limits of liability and similar provisions that we believe are prudent based on our operations. We may elect to accept higher deductibles or reduce the amount of coverage to reduce exposure. Because we self-insure a significant portion of expected losses under our workers’ compensation, general liability, vehicle and group health insurance programs, unanticipated changes in any applicable actuarial assumptions and management estimates underlying our recorded liabilities for these losses, including potential increases in medical and indemnity costs, could result in materially different amounts of expense than expected under these programs. This could have a material adverse effect on our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were not able to send or accept electronic payments, our business and financial results could be adversely affected.</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access to various financial networks to process payments received from our customers. These include credit card and debit card networks and the Automated Clearing House (ACH) network. Our ability to participate in these networks depends on our compliance with applicable laws and regulations and with the complex rules of each network and any related industry supervisory groups. If we fail to comply with legal requirements or rules and best practices established by a network or industry group, including those related to data security, we could be assessed significant monetary fines and other penalties, including, in certain cases, the termination of our right to use the applicable network or system. Such fines and penalties, and any disruption in or termination of our ability to process customer payments electronically, could materially adversely affect our business and our brand.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and Compliance Matters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legal or regulatory proceedings from time to time that result in damages, penalties or other material monetary obligations or material restrictions on our business operations, and our use of arbitration agreements may not allow us to avoid costly litigation.</w:t>
      </w:r>
    </w:p>
    <w:p>
      <w:pPr>
        <w:spacing w:after="0" w:line="22"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In addition to laws and regulations regarding our lease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 transactions, we are subject to consumer protection and data privacy laws and other laws and regulations. As we execute on our strategic plans, we may continue to expand into complementary businesses that engage in financial, banking or lending services, or lease-to-own or rent-to-rent transactions involving products that we do not currently offer our customers, all of which may be subject to a variety of additional statutory and regulatory requirements not presently applicable to our operations. We have defended against, continue to defend against, and may in the future defend against, legal and regulatory proceedings from time to time, including class action lawsuits and regulatory enforcement proceedings alleging various regulatory violations. We have incurred and may in the future incur significant damages, fines, penalties, obligations to post bonds pending appeal or legal fees or expenses in connection with such legal and regulatory proceedings or may pay significant amounts to settle legal or regulatory proceedings, which could materially and adversely affect our liquidity and capital resources. The failure to pay any material judgment would constitute a default under the ABL Credit Facility, the Term Loan Facility and the Notes (as defined in “Item 7. Management’s Discussion and Analysis of Financial Condition and Results of Operation”). In addition, we may become subject to significant restrictions on or changes to our business practices, operations or methods, including pricing or similar terms, as a result of existing or future governmental or other proceedings or settlements, any of which could significantly harm our reputation, both with consumers as well as with retail partners and materially and adversely affect our business, prospects and financial condition.</w:t>
      </w:r>
    </w:p>
    <w:p>
      <w:pPr>
        <w:spacing w:after="0" w:line="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an attempt to limit costly and lengthy consumer, employee and other litigation, including class actions, we require our customers and employees to sign arbitration agreements, including class action waivers. However, in addition to opt-out provisions contained in such agreements, judicial, regulatory or legislative actions may restrict or eliminate the enforceability of such agreements and waivers. In the past, various courts and administrative authorities have concluded that arbitration agreements with class action waivers are unenforceable, particularly where a small dollar amount is in controversy on an individual basis. If we are not permitted to use arbitration agreements and/or class action waivers, or if the enforceability of such agreements and waivers is restricted or eliminated, we could incur increased costs to resolve legal actions brought by customers, employees and others, as we would be forced to participate in more expensive and lengthy dispute resolution processes, any of which could have a material adverse effect on our business. See Note M in this Annual Report on Form 10-K for additional information regarding certain legal and regulatory proceedings impacting our company.</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outcome of the Consumer Financial Protection Bureau’s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CFPB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investigation into certain of Acima’s business practices is uncertain and may materially and adversely affect our business.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execution of the Merger Agreement, Acima received a Civil Investigative Demand dated October 1, 2020 (the “CID”) from the CFPB requesting certain information, documents and data relating to Acima’s products, services and practices for the period from January 1, 2015 to the date on which responses to the CID are provided in full. The purpose of the CID is to determine whether Acima extends credit, offers leases, or otherwise offers or provides a consumer financial product or service and whether Acima complies with certain consumer financial protection laws. We are fully cooperating with the CFPB</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investigation. The CFPB has not made any allegations in the investigation, and we are currently unable to predict the eventual scope, ultimate timing or outcome of the CFPB investigation.</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terms and subject to the conditions set forth in the Merger Agreement, the former owners of Acima agreed to indemnify Upbound Group, Inc. for certain losses arising after the consummation of the Merger with respect to the CID and certain pre-closing taxes. The indemnification obligations of the former owners of Acima are limited to an indemnity holdback in the aggregate amount of $50 million, which was escrowed at the closing of the Merger, and is Upbound Group, Inc.’s sole recourse against the former owners of Acima with respect to all of the indemnifiable claims under the Merger Agreement. In respect of certain pre-closing taxes, a portion of the escrowed funds were released to Acima's former owners on the first business day following the date that was 18 months after the closing date of the transaction, in accordance with the Merger Agreement. In respect of the CID, other than with respect to any then-pending or unresolved claims for indemnification submitted by Upbound Group, Inc., remaining escrowed funds of $45 million will be released on the earlier of the third anniversary of the closing date of the Merger and the date on which a final determination is entered providing for a resolution of the matters regarding the CID.</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CID will be finally resolved prior to the release to the former owners of Acima of the escrowed funds reserved therefor, or that such escrowed amount will be sufficient to address all covered losses or that the CFPB’s ongoing investigation or future exercise of its enforcement, regulatory, discretionary or other powers will not result in findings or alleged violations of consumer financial protection laws that could lead to enforcement actions, proceedings or litigation, whether by the CFPB, other state or federal agencies, or other parties, and the imposition of damages, fines, penalties, restitution, other monetary liabilities, sanctions, or changes to Acima’s business practices or operations that could materially and adversely affect our business, financial condition, results of operations or reputation.</w:t>
      </w:r>
    </w:p>
    <w:p>
      <w:pPr>
        <w:spacing w:after="0" w:line="51"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Federal and state regulatory authorities are increasingly focused on the lease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to</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own industry, and any negative change in these laws or regulations or the passage of unfavorable new laws or regulations or the manner in which any of these are enforced or interpreted could expose us to significant additional costs or compliance-related burdens and could require us to alter our business practices in a manner that may be materially adverse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3653155</wp:posOffset>
            </wp:positionH>
            <wp:positionV relativeFrom="paragraph">
              <wp:posOffset>-360045</wp:posOffset>
            </wp:positionV>
            <wp:extent cx="6413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-360045</wp:posOffset>
            </wp:positionV>
            <wp:extent cx="6413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there is currently no comprehensive federal legislation regulating rental purchase transactions, federal regulatory authorities such as the United States Federal Trade Commission and the CFPB are increasingly focused on the subprime financial marketplace in which the lease-to-own industry operates and adverse federal legislation may be enacted in the future. Any federal agency, or any state regulatory authority, may propose and adopt new regulations or interpret existing regulations in a manner that could materially increase both our costs of complying with laws and the risk that we could be sued or be subject to government sanctions if we are not in compliance or to alter our business practices in a manner that reduces the economic potential of our operations. Any such new laws, regulations or interpretations could include, by way of example only, those that seek to re-characterize store-based or virtual lease-to-own transactions as credit sales and to apply consumer credit laws and regulations to our business. In addition, federal and state regulators are increasingly holding businesses operating in the lease-to-own industry to higher standards of monitoring, disclosure and reporting, notwithstanding the adoption of any new laws or regulations applicable to our industry. Furthermore, regulators and courts may apply laws or regulations to our businesses in incorrect, inconsistent or unpredictable ways that may make our compliance more difficult, expensive and uncertain. This increased attention at the federal and state levels, as well as the potential for scrutiny by certain municipal governments, could increase our compliance costs significantly and materially, and adversely affect the manner in which we operate. In addition, legislative or regulatory proposals regarding our industry, or interpretations of them, may subject Upbound Group, Inc. to “headline risks” whereby media attention to these matters could negatively impact our business in a particular region or in general or investor sentiment and may materially and adversely affect our share price. Moreover, an adverse outcome from a lawsuit, even one against one of our competitors, could result in changes in the way we and others in the industry do business, possibly leading to significant costs or decreased revenues or profitability. See Note M in this Annual Report on Form 10-K for additional information regarding certain legal and regulatory proceedings impacting our company.</w:t>
      </w:r>
    </w:p>
    <w:p>
      <w:pPr>
        <w:spacing w:after="0" w:line="5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Our lease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to</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own transactions are regulated by and subject to the requirements of federal and state laws and regulations that vary by jurisdiction, which require significant compliance costs and expose us to regulatory action or other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-223520</wp:posOffset>
            </wp:positionV>
            <wp:extent cx="6413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603250</wp:posOffset>
            </wp:positionH>
            <wp:positionV relativeFrom="paragraph">
              <wp:posOffset>-223520</wp:posOffset>
            </wp:positionV>
            <wp:extent cx="6413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Currently, 46 states, the District of Columbia and Puerto Rico have passed laws that regulate rental purchase transactions as separate and distinct from credit sales. One additional state has a retail installment sales statute that excludes leases, including lease-to-own transactions, from its coverage if the lease provides for more than a nominal purchase price at the end of the rental period. The specific rental purchase laws generally require certain contractual and advertising disclosures. They also provide varying levels of substantive consumer protection, such as requiring a grace period for late fees and contract reinstatement rights in the event the rental purchase agreement is terminated. The rental purchase laws of 11 states limit the total amount that may be charged over the life of a rental purchase agreement and the laws of six states limit the cash prices for which we may offer merchandise. Furthermore, there is currently no comprehensive federal legislation regulating lease-to-own transactions. We have incurred and will continue to incur substantial costs to comply with federal and state laws and regulations, many of which are evolving, unclear and inconsistent across various jurisdictions as described above. In addition to compliance costs, we may incur substantial expenses to respond to federal and state government investigations and enforcement actions, proposed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fines and penalties, criminal or civil sanctions, and private litigation, including those arising out of our or our franchisees’ alleged violations of existing laws and/or regulations.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Similar to other consumer transactions, our lease-to-own purchase transactions are also governed by various federal and state consumer protection statutes, in addition to the lease-to-own purchase statutes under which we operate, that provide various consumer remedies, including monetary penalties, for violations. We have been and continue to be subject to disputes alleging that we have violated some of these statutory provisions, including matters initiated by regulatory authorities. See “—The outcome of the Consumer Financial Protection Bureau’s investigation into certain of Acima’s business practices is uncertain and may materially and adversely affect our business” above and Note M in this Annual Report on Form 10-K for additional information regarding certain legal and regulatory proceedings impacting our company.</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regarding information security and data collection, use and privacy are increasingly rigorous and subject to change, which may cause us to incur significant compliance costs.</w:t>
      </w:r>
    </w:p>
    <w:p>
      <w:pPr>
        <w:spacing w:after="0" w:line="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regulatory environment related to information security and data collection, use and privacy is increasingly rigorous, with new and constantly-changing requirements applicable to certain aspects of our business, including our collection practices (as well as those of third parties), the manner in which we contact our customers, our decisioning process regarding whether to lease merchandise to customers, any payment information we may decide to furnish to consumer reporting agencies, our credit reporting practices, and the manner in which we process and store certain customer, employee and other information. All states have adopted laws requiring the timely notification to individuals and, at times, regulators, the media or credit reporting agencies, if a company experiences the unauthorized access or acquisition of PII. Many states have enacted additional data privacy and security laws and regulations that govern the collection, use, disclosure, transfer, storage, disposal, and protection of PII and other information. For instance, the California Consumer Privacy Act of 2018 (the “CCPA”), which became effective on January 1, 2020, contains, among other things, new disclosure obligations for businesses that collect PII from California residents and affords those individuals numerous rights relating to their PII. The CCPA has changed the manner in which we collect, store and use consumer data and has resulted in increased regulatory oversight, litigation risks and costs of compliance. Furthermore, a California ballot initiative from privacy rights advocates intended to augment and expand the CCPA called the California Privacy Rights Act (the “CPRA”) was passed in November 2020 and many of the CPRA's provisions became effective on January 1, 2023 (with respect to information collected from and after January 2022). The CPRA significantly modifies the CCPA, including by expanding consumers' rights with respect to certain personal information and creating a new state agency that is vested with authority to implement and enforce the CCPA and the CPRA. Moreover, other states have adopted and may continue to adopt privacy-related laws whose restrictions and requirements differ from those of California, which could require us to design, implement and maintain different types of state-based, privacy-related compliance controls and programs simultaneously in multiple states, thereby further increasing the complexity and cost of compliance. These costs, including others relating to increased regulatory oversight and compliance, could materially and adversely affect our business. In addition, given that privacy and customer data protection laws may be interpreted and applied inconsistently and are in a state of flux that varies by jurisdiction, our data protection policies and practices may not be consistent with the most recent interpretations and applications of such laws at all times. Complying with these varying requirements could cause us to incur substantial costs or require us to change our business practices in a manner materially adverse to our business. Any failure, or perceived failure, by us to comply with our own privacy policies or with any legal or regulatory requirements or orders or other privacy or consumer protection related laws and regulations could result in proceedings or actions against us by governmental entities or others, subject us to significant penalties and negative publicity and materially and adversely affect our operating results.</w:t>
      </w:r>
    </w:p>
    <w:p>
      <w:pPr>
        <w:spacing w:after="0" w:line="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reputation, ability to do business and operating results may be impaired by improper conduct by any of our employees, agents or business partners, including retail partners.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our policies and compliance programs are intended to promote legal and ethical business practices, there is a risk that our employees, agents or business partners, including retail partners and franchisees, could engage in misconduct that materially and adversely affects our reputation, ability to do business or our operating results or financial condition. For instance, our operations in the U.S. and abroad are subject to certain laws generally prohibiting companies and their intermediaries from making improper payments to government officials for the purpose of obtaining or retaining business, such as the U.S. Foreign Corrupt Practices Act, and similar anti-bribery laws in other jurisdictions. Violations by our employees, contractors or agents of policies and procedures we have implemented to ensure compliance with these laws could subject us to civil or criminal investigations in the U.S. and in other jurisdictions, could lead to substantial civil and criminal, monetary and non-monetary penalties, and related shareholder lawsuits, could cause us to incur significant legal fees and could damage our reputation. Other misconduct, including discrimination or harassment in the workplace, illegal or suspicious activity and breaches in the protection of consumer information, could similarly subject us to regulatory sanctions and negatively impact our reputation, business, operating results or financial condition. In addition, misconduct by our employees or agents could prompt regulators to allege or to determine based upon such misconduct that we have not established adequate supervisory systems and procedures to inform employees of applicable rules or to detect violations of such rules. Furthermore, alleged or perceived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misconduct by our employees, agents or business partners, including retail partners, even if not substantiated, may attract negative publicity that could damage our reputation and impair our ability to maintain and develop relationships with our vendors, customers and other third parties with whom we do business and to attract and retain employees.</w:t>
      </w:r>
    </w:p>
    <w:p>
      <w:pPr>
        <w:spacing w:after="0" w:line="6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products and services may be negatively characterized by consumer advocacy groups, the media and certain federal, state and local government officials, and if those negative characterizations become increasingly accepted by consumers and/or our retail partners, demand for our goods and the transactions we offer could decrease and our business could be materially and adversely affected.</w:t>
      </w:r>
    </w:p>
    <w:p>
      <w:pPr>
        <w:spacing w:after="0" w:line="67"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Certain consumer advocacy groups, media reports, federal and state regulators and legislators, and certain candidates for political offices have asserted that laws and regulations regarding lease-to-own transactions should be broader and more restrictive. The consumer advocacy groups and media reports generally focus on the total cost to a consumer to acquire an item, which is often alleged to be higher than the interest typically charged by banks or similar lending institutions to consumers with better credit histories seeking to borrow money to finance purchases. This “cost-of-rental” amount, which is generally defined as total lease fees paid in excess of the “retail” price of the goods, is from time to time characterized by consumer advocacy groups and media reports as predatory or abusive without discussing the fundamental difference between a credit transaction and a lease transaction, the fact that consumers can return their leased merchandise at any time without penalty or further payment obligations or the numerous other benefits to consumers of lease-to-own programs compared to traditional financing, or the lack of viable alternatives available to many of these consumers to obtain critical household items. If the negative characterization of lease-to-own transactions becomes increasingly accepted by consumers or our retail and merchant partners, demand for our products and services could significantly decrease, which could have a material adverse effect on our business, results of operations and financial condition. Additionally, if the negative characterization of lease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 transactions is accepted by regulators and legislators, our business may become subject to more restrictive laws and regulations and more stringent enforcement of existing laws and regulations, any of which could have a material adverse effect on our business, results of operations and financial condition. The vast expansion and reach of technology, including social media platforms, has increased the risk that our reputation could be significantly impacted by these negative characterizations in a relatively short amount of time. If we are unable to quickly and effectively respond to such characterizations, we may experience declines in customer loyalty and traffic and our relationships with our retail partners may suffer, which could have a material adverse effect on our business, results of operations and financial condition. Additionally, any failure by our competitors, including smaller, regional competitors, to comply with the laws and regulations applicable to the traditional and/or virtual lease-to-own models, or any actions by our competitors that are challenged by consumers, advocacy groups, the media or governmental agencies or entities as being abusive or predatory, could result in Upbound Group, Inc. being perceived as engaging in similar unlawful or inappropriate activities or business practices, merely because we operate in the same general industries as such competitors. Such perception, whether or not accurate, could have a material adverse effect on our business, results of operations and financial condition.</w:t>
      </w:r>
    </w:p>
    <w:p>
      <w:pPr>
        <w:spacing w:after="0" w:line="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Disputes with or involving our franchisees may lead to litigation with our franchisees, which may materially and adversely affect our relationships with franchisees or our reputation, or cause us to incur significant expenses that materially and adversely affect our results of operations.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a franchisor, we are subject to regulation by various federal and state laws and regulations that govern the relationship between us and our franchisees and the offer and sale of franchises. If we fail to comply with these laws, we could be liable for damages to franchisees and fines or other penalties, as well as the loss of franchise fees and ongoing royalty revenues. Although we believe we generally enjoy a positive working relationship with our franchisees, the nature of the franchisor-franchisee relationship may give rise to litigation with our franchisees in the ordinary course of business for a variety of reasons, including disputes related to alleged breaches of contract or wrongful termination under the franchise arrangements. We may also have disputes with franchisees in connection with transactions whereby we have re-franchised previously company-owned locations and sold them to the franchisee, including disputes regarding our indemnification obligations pursuant to those transaction agreements. Further, we may engage in litigation with franchisees to enforce the terms of our franchise agreements and compliance with our brand standards as determined necessary to protect our brand, the consistency of our products and the customer experience, or to enforce any applicable contractual indemnification rights if we are brought into a matter involving a third party due to an alleged act or omission by the franchisee. In addition, we may be subject to claims by our franchisees relating to our franchise disclosure documents, including claims based on financial information contained in those documents. Engaging in such litigation may be costly, time-consuming and may distract management and materially and adversely affect our relationships with or ability to attract new franchisees. Any negative outcome of these or any other claims could materially and adversely affect our results of operations as well as our ability to expand our franchise system and may damage our reputation and brand. Moreover, federal and state laws that regulate substantive aspects of our relationships with franchisees may limit our ability to terminate our franchise arrangements or otherwise resolve conflicts with our franchisees or enforce contractual duties or rights we believe we have with respect to our franchisees, which could materially and adversely affect our operations.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7" w:name="page28"/>
    <w:bookmarkEnd w:id="27"/>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liability or reputational harm for the actions, omissions and liabilities of our franchisees, which could materially and adversely affect our results of operation.</w:t>
      </w:r>
    </w:p>
    <w:p>
      <w:pPr>
        <w:spacing w:after="0" w:line="51"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One of the legal foundations fundamental to the franchise business model has been that, absent special circumstances, a franchisor is generally not responsible for the acts, omissions or liabilities of its franchisees. However, under the franchise business model, we may face claims, liabilities and reputational harm based on vicarious liability, joint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employer liability, or other theories or liabilities. Expansion of these bases for liability not only could result in expensive litigation with our franchisees or government agencies, but also could make it more difficult to appropriately support our franchisees while managing our risk of liability and reputational harm, all of which could impact our results of operations. For instance, in 2015, the National Labor Relations Board adopted a broad standard for determining when two or more otherwise unrelated employers may be found to be a joint employer of the same employees under the National Labor Relations Act. The National Labor Relations Board then issued a rule in 2020 requiring “substantial direct and immediate control” over one or more “essential terms or conditions of employment” in order to establish joint liability. On September 6, 2022, the National Labor Relations Board issued a notice of proposed rulemaking on the joint-employer standard, and the comment period for the proposed rule ended on December 7, 2022. The proposed rule would overturn the 2020 rule and reestablish the rule adopted in 2015, under which two or more employers would be considered joint employers if they “share or codetermine those matters governing employees’ essential terms and conditions of employment.” In making this determination, the National Labor Relations Board proposes to consider both direct evidence of control and evidence of reserved and indirect control over the essential terms and conditions. If the proposal is adopted, it could cause us or our franchisees to be liable or held responsible for unfair labor practices, violations of wage and hour laws, or other violations or require our franchises to conduct collective bargaining negotiations regarding employees of our franchisees. If such changes occur, our operating expenses may increase as a result of required modifications to our business practices, increased litigation, governmental investigations or proceedings, administrative enforcement actions, fines and civil liability, which could materially and adversely affect our results of operations.</w:t>
      </w:r>
    </w:p>
    <w:p>
      <w:pPr>
        <w:spacing w:after="0" w:line="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protect our intellectual property, or may be alleged to have infringed upon the intellectual property rights of others, which could result in a loss of our competitive advantage, a diversion of resources and a material adverse effect on our business and results of operations.</w:t>
      </w:r>
    </w:p>
    <w:p>
      <w:pPr>
        <w:spacing w:after="0" w:line="51"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The success of our business depends in part on identification of the names "Upbound", "Rent-A-Center" and "Acima", and the success of our lease-to-own model depends in large part on our proprietary decisioning algorithm, our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commerce platform and other proprietary technologies that we currently have or may develop in the future. To protect our intellectual property rights, we rely, or may from time to time rely, on a combination of trademark, trade dress, domain name, copyright, trade secret and patent laws, as well as confidentiality and license agreements with our employees, contractors and other third parties with whom we have relationships. However, our efforts to protect our intellectual property rights may not be sufficient or effective to prevent misappropriation or infringement of our intellectual property or proprietary information, which could result in a loss of our competitive advantage. In addition, any of our intellectual property rights may be challenged, which could result in their being narrowed in scope or declared invalid or unenforceable. Any litigation or claims relating to our intellectual property and proprietary information brought by or against us, whether with or without merit, or whether successful or not, could result in substantial costs and diversion of our resources, which could have a material adverse effect on us.</w:t>
      </w:r>
    </w:p>
    <w:p>
      <w:pPr>
        <w:spacing w:after="0" w:line="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competitors or other third parties may allege that we, or agents, consultants or other third parties retained or indemnified by us, have infringed on their intellectual property rights. Given the complex, rapidly changing and competitive technological and business environment in which we operate, and the potential risks and uncertainties of intellectual property-related litigation, an assertion of an infringement claim against us may cause us to spend significant amounts of money to defend the claim (even if we ultimately prevail). We may also be required to pay significant money damages. In the event of a settlement or adverse judgment, our results of operation may materially decline if we are prohibited from using the relevant systems, processes, technologies or other intellectual property, especially if we are forced to cease offering certain products or services, or are required to pay to the alleged owner of the relevant intellectual property licensing fees, royalties or technology development expenses. Even in instances where we believe that claims and allegations of intellectual property infringement against us are without merit, defending against such claims may be time consuming and expensive and may result in the diversion of time and attention of our management and employees.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taxes applicable to our operations can be difficult to determine and are subject to change, and our failure to correctly calculate and pay such taxes could result in substantial tax liabilities and a material adverse effect on our results of operations.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application of indirect taxes, such as sales tax, is a complex and evolving issue, particularly with respect to the lease-to-own industry generally and our virtual lease-to-own Acima and e-commerce businesses more specifically. Many of the fundamental statutes and regulations that impose these taxes were established before the growth of the lease-to-own industry and e-commerce and, therefore, in many cases it is not clear how existing statutes apply to our various business activities. Failure to comply with such statutes, or a successful assertion by applicable tax authorities requiring us to collect taxes in a</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8" w:name="page29"/>
    <w:bookmarkEnd w:id="28"/>
    <w:p>
      <w:pPr>
        <w:jc w:val="both"/>
        <w:spacing w:after="0" w:line="253" w:lineRule="auto"/>
        <w:rPr>
          <w:sz w:val="20"/>
          <w:szCs w:val="20"/>
          <w:color w:val="auto"/>
        </w:rPr>
      </w:pPr>
      <w:r>
        <w:rPr>
          <w:rFonts w:ascii="Times New Roman" w:cs="Times New Roman" w:eastAsia="Times New Roman" w:hAnsi="Times New Roman"/>
          <w:sz w:val="18"/>
          <w:szCs w:val="18"/>
          <w:color w:val="auto"/>
        </w:rPr>
        <w:t>location or for transactions where we presently do not, could result in substantial tax liabilities, including for past sales and leases, as well as penalties and interest. In addition, if the tax authorities in jurisdictions where we are already subject to sales tax or other indirect tax obligations were to successfully challenge our positions, our tax liability could increase substantially. For instance, following a United States Supreme Court decision in June 2018, states may require a remote seller with no physical presence in the state to collect and remit sales tax on goods and services provided to purchasers in the state. Our Acima business may become subject to additional taxes if state or municipal legislatures adopt tax reform that subjects our lease-to-own transactions originated at the locations of Acima’s retail partners to taxation in that jurisdiction, despite Upbound Group, Inc. having no physical presence in that jurisdiction. As governments increasingly search for ways to increase revenues, states may adopt tax reform or take other legislative action designed to raise tax revenues, including by expanding the scope of transactions subject to taxation or by increasing applicable tax rates, or interpreting existing sales, income and other tax regulations in a manner adverse to our business. Such changes could subject our business to new or increased tax obligations, which could have a material adverse effect on our 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Indebtedness and Other Financial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significant indebtedness, and the level of our indebtedness could materially and adversely affect us.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2022, our total indebtedness was approximately $1.4 billion. We also had undrawn commitments available for borrowings of an additional $395.6 million under the ABL Credit Facility (after giving effect to approximately $64.4 million of outstanding letters of credit).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increase in our total indebtedness following our acquisition of Acima Holdings, we expect to continue to evaluate the possibility of acquiring additional businesses and making strategic investments, and we may elect to finance these endeavors by incurring additional indebtedness. Moreover, to respond to competitive challenges, we may be required to raise substantial additional capital to finance new product or service offerings. As a result, our indebtedness could further increase, and the related risks that we face could intensify.</w:t>
      </w:r>
    </w:p>
    <w:p>
      <w:pPr>
        <w:spacing w:after="0" w:line="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level of indebtedness, together with any additional indebtedness we may incur in the future, could materially and adversely affect us in a number of ways. For example, the anticipated level of indebtedness or any additional financing could:</w:t>
      </w:r>
    </w:p>
    <w:p>
      <w:pPr>
        <w:spacing w:after="0" w:line="1" w:lineRule="exact"/>
        <w:rPr>
          <w:sz w:val="20"/>
          <w:szCs w:val="20"/>
          <w:color w:val="auto"/>
        </w:rPr>
      </w:pPr>
    </w:p>
    <w:p>
      <w:pPr>
        <w:ind w:left="660" w:hanging="166"/>
        <w:spacing w:after="0" w:line="28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pay or refinance our debts as they become due during adverse economic, financial market and industry conditions, resulting in possible defaults on such indebtedness;</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use a larger portion of our cash flow for debt service, reducing funds available for other purposes;</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our ability to take advantage of business opportunities, such as acquisition opportunities, and to react to changes in market or industry conditions;</w:t>
      </w:r>
    </w:p>
    <w:p>
      <w:pPr>
        <w:spacing w:after="0" w:line="1"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economic, industry or competitive developments, including interest rate fluctuations, and decrease our ability to respond to such changes as compared to our competitors with less leverage;</w:t>
      </w:r>
    </w:p>
    <w:p>
      <w:pPr>
        <w:spacing w:after="0" w:line="1"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and adversely affect our ability to refinance our existing indebtedness or obtain additional financing in the future to fund working capital, capital expenditures and other general corporate purposes, particularly as substantially all of our assets will be subject to liens securing certain of our existing indebtedness;</w:t>
      </w:r>
    </w:p>
    <w:p>
      <w:pPr>
        <w:spacing w:after="0" w:line="1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our profitability and/or cash flow or require us to dispose of significant assets in order to satisfy our debt service and other obligations if cash from operations or other sources is insufficient to satisfy such obligations;</w:t>
      </w:r>
    </w:p>
    <w:p>
      <w:pPr>
        <w:spacing w:after="0" w:line="1"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with proportionally less debt or comparable debt at more favorable interest rates which, as a result, may be better positioned to withstand economic downturns;</w:t>
      </w:r>
    </w:p>
    <w:p>
      <w:pPr>
        <w:spacing w:after="0" w:line="1"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risk of a downgrade in the credit rating of us or any indebtedness of us or our subsidiaries which could increase the cost of further borrowings; and</w:t>
      </w:r>
    </w:p>
    <w:p>
      <w:pPr>
        <w:spacing w:after="0" w:line="1"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financial resources available to continue paying dividends on our common stock or to repurchase our common stock, as determined in the discretion of our Board of Directors and subject to the restrictive covenants in our debt agreements and applicable law.</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terms of the indenture that governs the Notes and the terms of the ABL Credit Facility and the Term Loan Facility contain restrictions on the incurrence of additional debt, including secured debt, these restrictions are subject to a number of important exceptions, and debt incurred in compliance with these restrictions could be substantial. If we incur significant additional debt, the related risks could intensify.</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amount of borrowings permitted under the ABL Credit Facility is limited to the value of certain of our assets, and Upbound Group, Inc. relies in part on available borrowings under the ABL Credit Facility for cash to operate its business, which subjects it to market and counterparty risk, some of which is beyond Upbound Group, Inc.’s control.</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cash we generate from our business, our principal existing sources of cash are borrowings available under the ABL Credit Facility. Our borrowing capacity under the ABL Credit Facility varies according to our eligible rental contracts,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9" w:name="page30"/>
    <w:bookmarkEnd w:id="29"/>
    <w:p>
      <w:pPr>
        <w:jc w:val="both"/>
        <w:spacing w:after="0" w:line="252" w:lineRule="auto"/>
        <w:rPr>
          <w:sz w:val="20"/>
          <w:szCs w:val="20"/>
          <w:color w:val="auto"/>
        </w:rPr>
      </w:pPr>
      <w:r>
        <w:rPr>
          <w:rFonts w:ascii="Times New Roman" w:cs="Times New Roman" w:eastAsia="Times New Roman" w:hAnsi="Times New Roman"/>
          <w:sz w:val="18"/>
          <w:szCs w:val="18"/>
          <w:color w:val="auto"/>
        </w:rPr>
        <w:t>eligible installment sales accounts and inventory, net of certain reserves. In the event of any material decrease in the amount or appraised value of these assets, our borrowing capacity would similarly decrease, which could materially and adversely affect our business and liquidity. The documentation governing the ABL Credit Facility contains customary affirmative and negative covenants, and certain restrictions on operations become applicable if our available credit falls below certain thresholds. These covenants could impose significant operating and financial limitations and restrictions on us, including restrictions on our ability to enter into particular transactions and to engage in other actions that we may believe are advisable or necessary for our business. Subject to certain exceptions, our obligations under the ABL Credit Facility are secured by liens on substantially all of our assets. In the event of a default that is not cured or waived within any applicable cure periods, the lenders’ commitment to extend further credit under the ABL Credit Facility could be terminated, our outstanding obligations could become immediately due and payable, outstanding letters of credit may be required to be cash collateralized and remedies may be exercised against the collateral. Our access to such financing may be unavailable or reduced, or such financing may become significantly more expensive for any reason, including, but not limited to, adverse economic conditions. In addition, if certain of our lenders experience difficulties that render them unable to fund future draws on the facility, we may not be able to access all or a portion of these funds. If our access to borrowings under the ABL Credit Facility is unavailable or reduced, we may not have the necessary cash resources for our operations, and, if any event of default occurs, there is no assurance that we would have the cash resources available to repay such accelerated obligations, refinance such indebtedness on commercially reasonable terms, or at all, or cash collateralize our letters of credit, which would have a material adverse effect on our business, financial condition, results of operations and liquidity.</w:t>
      </w:r>
    </w:p>
    <w:p>
      <w:pPr>
        <w:spacing w:after="0" w:line="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service all of our indebtedness and may be forced to take other actions to satisfy our obligations under our indebtedness, which may not be successful. Our failure to meet our debt service obligations could have a material adverse effect on our business, financial condition and results of operations.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2022, the annual cash interest payments on our indebtedness are approximately $71 million, which could fluctuate depending on changes in interest rates. We depend on cash on hand and cash flows from operations to make scheduled debt payments. We expect to be able to meet the estimated cash interest payments on our indebtedness through our cash flows from operations. However, our ability to generate sufficient cash flow from operations and to utilize other methods to make scheduled payments will depend on a range of economic, competitive and business factors, many of which are outside of our control, and there can be no assurance that these sources will be adequate. If we are unable to service our indebtedness and fund our operations, we will be forced to adopt an alternative strategy that may include:</w:t>
      </w:r>
    </w:p>
    <w:p>
      <w:pPr>
        <w:spacing w:after="0" w:line="25" w:lineRule="exact"/>
        <w:rPr>
          <w:sz w:val="20"/>
          <w:szCs w:val="20"/>
          <w:color w:val="auto"/>
        </w:rPr>
      </w:pPr>
    </w:p>
    <w:p>
      <w:pPr>
        <w:ind w:left="660" w:hanging="16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or delaying capital expenditures;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growth;</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assets;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or eliminating the dividend on our common stock; or</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or refinancing our indebtedness.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if we adopt an alternative strategy, the strategy may not be successful and we may be unable to service our indebtedness and fund our operations, which could have a material adverse effect on our business, financial condition or results of operations. In addition, the ABL Credit Facility and the Term Loan Facility are secured by liens on substantially all of our and our restricted subsidiaries’ assets, and any successor credit facilities are likely to be secured on a similar basis. As such, our ability to refinance our indebtedness or seek additional financing, or our restricted subsidiaries’ ability to make cash available to us, by dividend, debt repayment or otherwise, to enable us to repay the amounts due under our indebtedness, could be impaired as a result of such security interests and the agreements governing such security interests.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inability to generate sufficient cash flows to satisfy our debt obligations, or to refinance our indebtedness on commercially reasonable terms or at all, would materially and adversely affect our financial position and results of operations. In addition, if we cannot make scheduled payments on our debt, we will be in default and lenders under the ABL Credit Facility could terminate their commitments to loan money, holders of the Notes and lenders under the ABL Credit Facility and the Term Loan Facility could declare all outstanding principal and interest to be due and payable, and lenders under the ABL Credit Facility and the Term Loan Facility could foreclose against the assets securing such indebtedness and Upbound Group, Inc. could be forced into bankruptcy or liquidation.</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Restrictive covenants in certain of the agreements and instruments governing our indebtedness may materially and adversely affect our financial and operational flexibility.</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terms of our indebtedness include restrictive covenants that impose significant operating and financial restrictions on us and may limit our ability to engage in acts that may be in our long-term best interest, including restrictions on our ability to, among other things, (i) create liens; (ii) transfer or sell assets; (iii) incur indebtedness or issue certain preferred stock; (iv) pay dividends, redeem stock or make other distributions; (v) make other restricted payments or investments; (vi) create restrictions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0" w:name="page31"/>
    <w:bookmarkEnd w:id="30"/>
    <w:p>
      <w:pPr>
        <w:jc w:val="both"/>
        <w:spacing w:after="0" w:line="256" w:lineRule="auto"/>
        <w:rPr>
          <w:sz w:val="20"/>
          <w:szCs w:val="20"/>
          <w:color w:val="auto"/>
        </w:rPr>
      </w:pPr>
      <w:r>
        <w:rPr>
          <w:rFonts w:ascii="Times New Roman" w:cs="Times New Roman" w:eastAsia="Times New Roman" w:hAnsi="Times New Roman"/>
          <w:sz w:val="18"/>
          <w:szCs w:val="18"/>
          <w:color w:val="auto"/>
        </w:rPr>
        <w:t>on payment of dividends or other amounts by us to our restricted subsidiaries; (vii) merge or consolidate with other entities; (viii) engage in certain transactions with affiliates; and (ix) designate our subsidiaries as unrestricted subsidiaries. In addition, our ability to access the full amount available under the ABL Credit Facility is subject to compliance with a financial maintenance covenant requiring that we maintain at least a specified fixed charge coverage ratio (as such ratio is defined in the ABL Credit Facility). Our failure to comply with any of these covenants could result in reduced borrowing capacity and/or an event of default that, if not cured or waived, could result in the acceleration of certain of our debt, which could have a material adverse effect on our business, financial condition and results of operations.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comply with these covenants may be affected by events beyond our control, and any material deviations from our forecasts could require us to seek waivers or amendments of covenants or alternative sources of financing or to reduce expenditures. We cannot assure you that such waivers, amendments or alternative financing could be obtained or, if obtained, would be on terms acceptable to us.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breach of any of the covenants or restrictions could result in an event of default. Such a default, if not cured or waived, could allow our debt holders to accelerate the related debt, as well as any other debt to which a cross-acceleration or cross-default provision applies, or to declare all borrowings outstanding thereunder to be due and payable. In the event our debt is accelerated, our assets may not be sufficient to repay such debt in full.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could cause our debt service obligations to increase significantly.</w:t>
      </w:r>
    </w:p>
    <w:p>
      <w:pPr>
        <w:spacing w:after="0" w:line="121"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A portion of our indebtedness bears interest at variable rates that are linked to changing market interest rates. As a result, an increase in market interest rates will increase our interest expense and our debt service obligations on the variable rate indebtedness, and our net income and cash flows, including cash available for servicing our indebtedness, will correspondingly decrease. As of December 31, 2022, approximately $950 million of our indebtedness was variable rate indebtedness, and, assuming all loans were fully drawn, each quarter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point (0.25%) change in interest rates would result in an additional $2.4 million annualized pretax charge or credit to our Consolidated Statement of Operations. As of the date of this Annual Report on Form 10-K, we have not entered into any interest rate swap agreements. In the future, we may enter into interest rate swaps that involve the exchange of floating for fixed rate interest payments in order to reduce interest rate volatility. However, we may not maintain interest rate swaps with respect to all of our variable rate indebtedness, and any swaps we enter into may not fully mitigate interest rate risk.</w:t>
      </w:r>
    </w:p>
    <w:p>
      <w:pPr>
        <w:spacing w:after="0" w:line="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change in control could accelerate our obligation to pay our outstanding indebtedness, and we may not have sufficient liquid assets at that time to repay these amounts.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agreements governing our ABL Credit Facility and our Term Loan Facility, an event of default will result if a third party becomes the beneficial owner of 40% or more of our voting stock, in which case our obligations under such facilities may become immediately due and payable. In addition, under the indenture governing the Notes, we are obligated to offer to purchase the Notes at a purchase price equal to 101% of the principal amount of the Notes, plus accrued and unpaid interest to the date of the purchase, upon the occurrence of certain changes in control, including, subject to certain exceptions, the consummation of any transaction that results in any person becoming the beneficial owner of at least 50% of our voting stock or a sale of substantially all of our assets. Upbound Group, Inc. may enter into additional financing arrangements in the future that require the repayment of outstanding amounts in similar circumstances. If a specified change in control occurs and the lenders or debt holders under our debt instruments accelerate our obligations, we may not have sufficient liquid assets to repay amounts outstanding under such agreements or be able to arrange for additional financing to fund such obligations, which could result in an event of default under the relevant instrument and could cause any other debt that we may have at that time to become automatically due, further exacerbating the adverse impacts on our financial condition.</w:t>
      </w:r>
    </w:p>
    <w:p>
      <w:pPr>
        <w:spacing w:after="0" w:line="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organizational documents and our current or future debt instruments contain or may contain provisions that may prevent or deter another group from paying a premium over the market price to Upbound Group, Inc.’s stockholders to acquire its stock.</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Upbound Group, Inc.’s organizational documents contain provisions that authorize its Board of Directors to issue blank check preferred stock and establish advance notice requirements on its stockholders for director nominations and actions to be taken at meetings of the stockholders. In addition, as a Delaware corporation, Upbound Group, Inc. is subject to Section 203 of the Delaware General Corporation Law, which prohibits persons that acquire, or are affiliated with any person that acquires, more than 15% of our outstanding common stock from engaging in any business combination with Upbound Group, Inc. for a three-year period following the date of such acquisition, subject to limited exceptions. Furthermore, the terms of our indebtedness include various change in control provisions which, in the event of a change in control, would cause a default under such indebtedness. These provisions and arrangements could delay, deter or prevent a merger, consolidation, tender offer or other business combination or change in control involving us, whether favored or opposed by our management or our stockholders. For instance, the consummation of any such transaction in certain circumstances may require the redemption or repurchase of</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the Notes, and there can be no assurance that we or the potential acquiror will have sufficient financial resources to affect such a redemption or repurchase.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other intangible assets become impaired, we may be required to record a significant charge to earnings.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assess our goodwill and intangible assets for impairment annually or when events or changes in circumstances indicate the carrying value may not be recoverable. We test goodwill for impairment at the reporting unit level. If goodwill or intangible assets are deemed to be impaired, an impairment loss equal to the amount by which the carrying amount exceeds the fair value of the assets would be recognized. We would be required to record a charge in our financial statements during the period in which any impairment of our goodwill or intangible assets is determined, which may be significant and would negatively affect our results of operations reported under U.S. GAAP.</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Merger</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realize the anticipated benefits of the Merger, including synergies, which could have a material adverse effect on our business, financial condition and results of operations.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to realize potential revenue and cost synergies as a result of the Merger. While we believe these synergies are achievable, our ability to achieve such estimated synergies and the timing of achieving any such synergies is subject to various assumptions by our management, which may or may not be realized, as well as the incurrence of other costs in our operations that offset all or a portion of such synergies. As a consequence, we may not be able to realize all of these synergies within the timeframe expected or at all. In addition, we may incur additional and/or unexpected costs in order to realize these synergies. Failure to achieve the expected synergies could significantly reduce the expected benefits associated with the Merger and materially and adversely affect our business,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integrate Acima’s business and realize the anticipated benefits of the Merger.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Upbound Group, Inc. and Acima operated as independent companies prior to the consummation of the Merger in February 2021. We have devoted, and expect to continue to devote, significant management attention and resources to integrating the business practices and operations of Acima with the other business of Upbound Group, Inc. Potential difficulties we may encounter in the integration process include the following:</w:t>
      </w:r>
    </w:p>
    <w:p>
      <w:pPr>
        <w:spacing w:after="0" w:line="54" w:lineRule="exact"/>
        <w:rPr>
          <w:sz w:val="20"/>
          <w:szCs w:val="20"/>
          <w:color w:val="auto"/>
        </w:rPr>
      </w:pPr>
    </w:p>
    <w:p>
      <w:pPr>
        <w:jc w:val="both"/>
        <w:ind w:left="660" w:hanging="166"/>
        <w:spacing w:after="0" w:line="239" w:lineRule="auto"/>
        <w:tabs>
          <w:tab w:leader="none" w:pos="655" w:val="left"/>
        </w:tabs>
        <w:numPr>
          <w:ilvl w:val="0"/>
          <w:numId w:val="1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color w:val="auto"/>
        </w:rPr>
        <w:t>the inability to successfully combine the businesses of Upbound Group, Inc. and Acima in a manner that permits Upbound Group, Inc. to achieve the cost savings or revenue enhancements anticipated to result from the Merger, which would result in the anticipated benefits of the Merger not being realized in the time frame currently anticipated or at all;</w:t>
      </w:r>
    </w:p>
    <w:p>
      <w:pPr>
        <w:spacing w:after="0" w:line="78" w:lineRule="exact"/>
        <w:rPr>
          <w:rFonts w:ascii="Times New Roman" w:cs="Times New Roman" w:eastAsia="Times New Roman" w:hAnsi="Times New Roman"/>
          <w:sz w:val="22"/>
          <w:szCs w:val="22"/>
          <w:i w:val="1"/>
          <w:iCs w:val="1"/>
          <w:color w:val="auto"/>
        </w:rPr>
      </w:pPr>
    </w:p>
    <w:p>
      <w:pPr>
        <w:ind w:left="660" w:right="20" w:hanging="166"/>
        <w:spacing w:after="0" w:line="234" w:lineRule="auto"/>
        <w:tabs>
          <w:tab w:leader="none" w:pos="655" w:val="left"/>
        </w:tabs>
        <w:numPr>
          <w:ilvl w:val="0"/>
          <w:numId w:val="1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color w:val="auto"/>
        </w:rPr>
        <w:t>the complexities associated with managing Upbound Group, Inc. out of several different locations and integrating personnel from Acima, resulting in a significantly larger combined company, while at the same time attempting to provide consistent, high quality products and services;</w:t>
      </w:r>
    </w:p>
    <w:p>
      <w:pPr>
        <w:spacing w:after="0" w:line="37" w:lineRule="exact"/>
        <w:rPr>
          <w:rFonts w:ascii="Times New Roman" w:cs="Times New Roman" w:eastAsia="Times New Roman" w:hAnsi="Times New Roman"/>
          <w:sz w:val="22"/>
          <w:szCs w:val="22"/>
          <w:i w:val="1"/>
          <w:iCs w:val="1"/>
          <w:color w:val="auto"/>
        </w:rPr>
      </w:pPr>
    </w:p>
    <w:p>
      <w:pPr>
        <w:ind w:left="660" w:hanging="16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of consolidating retail partner locations;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complexities of integrating a company with different products, services, markets, suppliers, vendors and customers;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corporate and administrative infrastructures;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accounting, information technology, communications, administration and other systems;</w:t>
      </w:r>
    </w:p>
    <w:p>
      <w:pPr>
        <w:spacing w:after="0" w:line="103" w:lineRule="exact"/>
        <w:rPr>
          <w:rFonts w:ascii="Times New Roman" w:cs="Times New Roman" w:eastAsia="Times New Roman" w:hAnsi="Times New Roman"/>
          <w:sz w:val="18"/>
          <w:szCs w:val="18"/>
          <w:color w:val="auto"/>
        </w:rPr>
      </w:pPr>
    </w:p>
    <w:p>
      <w:pPr>
        <w:ind w:left="660" w:hanging="166"/>
        <w:spacing w:after="0" w:line="244" w:lineRule="auto"/>
        <w:tabs>
          <w:tab w:leader="none" w:pos="655" w:val="left"/>
        </w:tabs>
        <w:numPr>
          <w:ilvl w:val="0"/>
          <w:numId w:val="1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color w:val="auto"/>
        </w:rPr>
        <w:t>complexities associated with implementing necessary controls for Acima’s business activities to address Upbound Group, Inc.’s requirements as a public company;</w:t>
      </w:r>
    </w:p>
    <w:p>
      <w:pPr>
        <w:spacing w:after="0" w:line="31" w:lineRule="exact"/>
        <w:rPr>
          <w:rFonts w:ascii="Times New Roman" w:cs="Times New Roman" w:eastAsia="Times New Roman" w:hAnsi="Times New Roman"/>
          <w:sz w:val="22"/>
          <w:szCs w:val="22"/>
          <w:i w:val="1"/>
          <w:iCs w:val="1"/>
          <w:color w:val="auto"/>
        </w:rPr>
      </w:pPr>
    </w:p>
    <w:p>
      <w:pPr>
        <w:ind w:left="660" w:hanging="16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eliminating redundant and underperforming functions and assets;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addressing possible differences in corporate culture and management philosophies;</w:t>
      </w:r>
    </w:p>
    <w:p>
      <w:pPr>
        <w:spacing w:after="0" w:line="84"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color w:val="auto"/>
        </w:rPr>
        <w:t>the failure to retain key employees of either Acima or Upbound Group, Inc.;</w:t>
      </w:r>
    </w:p>
    <w:p>
      <w:pPr>
        <w:spacing w:after="0" w:line="35" w:lineRule="exact"/>
        <w:rPr>
          <w:rFonts w:ascii="Times New Roman" w:cs="Times New Roman" w:eastAsia="Times New Roman" w:hAnsi="Times New Roman"/>
          <w:sz w:val="22"/>
          <w:szCs w:val="22"/>
          <w:i w:val="1"/>
          <w:iCs w:val="1"/>
          <w:color w:val="auto"/>
        </w:rPr>
      </w:pPr>
    </w:p>
    <w:p>
      <w:pPr>
        <w:ind w:left="660" w:hanging="166"/>
        <w:spacing w:after="0" w:line="28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and unforeseen increased expenses, delays or regulatory conditions associated with the Merger, including litigation relating to the Merger or the ultimate outcome of the previously disclosed CFPB investigation or multi-state attorney general matter;</w:t>
      </w:r>
    </w:p>
    <w:p>
      <w:pPr>
        <w:spacing w:after="0" w:line="1"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shortfalls at one or both of the two companies as a result of the diversion of management’s attention to efforts to integrate Acima’s operations; and</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deterioration of credit ratings.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all these reasons, the integration process could result in the distraction of Upbound Group, Inc.’s management, the disruption of Upbound Group, Inc.’s ongoing business or inconsistencies in its products, services, standards, controls,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2" w:name="page33"/>
    <w:bookmarkEnd w:id="32"/>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procedures and policies, any of which could materially and adversely affect our ability to maintain relationships with our customers, retail partners, vendors and employees or to achieve the anticipated benefits of the Merger, or could otherwise materially and adversely affect our business and financial results.</w:t>
      </w:r>
    </w:p>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inability to realize the full extent of the anticipated benefits and cost synergies of the Merger, as well as any delays encountered in the integration process, could have a material adverse effect on the revenues, level of expenses and operating results of the combined company, which may materially and adversely affect the value of Upbound Group, Inc.’s securities.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actual integration may result in additional and unforeseen expenses, and the anticipated benefit of our plan for integration may not be realized. Actual synergies, if achieved at all, may be lower than what we expect and may take longer to achieve than anticipated. For example, the elimination of duplicative costs may not be possible or may take longer than anticipated, or the benefits from the Merger may be offset by costs incurred or delays in integrating the companies. If we are not able to adequately address these challenges, we may be unable to successfully integrate Acima’s operations into our other businesses or, even if we are able to combine such business operations successfully, to realize the anticipated benefits of the integration of the two companies.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Structure or an Investment in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are dependent on the operations and funds of our subsidiaries.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holding company, with no revenue generating operations and no assets other than our ownership interests in our direct and indirect subsidiaries. Accordingly, we are dependent on the cash flow generated by our direct and indirect operating subsidiaries and must rely on dividends or other intercompany transfers from our operating subsidiaries to generate the funds necessary to meet our obligations, including the obligations under the ABL Credit Facility, Term Loan Facility and the Notes. The ability of our subsidiaries to pay dividends or make other payments to us is subject to applicable state laws. Should one or more of our subsidiaries be unable to pay dividends or make distributions, our ability to meet our ongoing obligations could be materially and adversely affected. If we are unable to satisfy the financial and other covenants in our debt agreements, our lenders could elect to terminate the agreements and require us to repay the outstanding borrowings, or we could face other substantial costs.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 and you may not be able to recover your investment if our stock price declines.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of our common stock has been volatile and can be expected to be significantly affected by factors such as:</w:t>
      </w:r>
    </w:p>
    <w:p>
      <w:pPr>
        <w:spacing w:after="0" w:line="63" w:lineRule="exact"/>
        <w:rPr>
          <w:sz w:val="20"/>
          <w:szCs w:val="20"/>
          <w:color w:val="auto"/>
        </w:rPr>
      </w:pPr>
    </w:p>
    <w:p>
      <w:pPr>
        <w:ind w:left="660" w:right="20" w:hanging="166"/>
        <w:spacing w:after="0" w:line="28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perceived ability to meet market expectations with respect to the growth and profitability of each of our operating segments and to timely achieve the expected benefits of the Merger;</w:t>
      </w:r>
    </w:p>
    <w:p>
      <w:pPr>
        <w:spacing w:after="0" w:line="1"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results of operations, which may be impacted by, among other things, changes in same store sales, invoice volume or when and how many locations we acquire, franchise, open, sell or close;</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competitors’ results of operations;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buy/sell recommendations by financial analysts;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our actual financial performance compares to the financial performance guidance we provide;</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or federal legislative or regulatory proposals, initiatives, actions or changes that are, or are perceived to be, adverse to our business;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price performance of comparable companies;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unpredictability of global and regional economic and political conditions;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in the consumer financial service industry, the domestic or global economy or the domestic or global credit or capital markets;</w:t>
      </w:r>
    </w:p>
    <w:p>
      <w:pPr>
        <w:spacing w:after="0" w:line="63" w:lineRule="exact"/>
        <w:rPr>
          <w:rFonts w:ascii="Times New Roman" w:cs="Times New Roman" w:eastAsia="Times New Roman" w:hAnsi="Times New Roman"/>
          <w:sz w:val="18"/>
          <w:szCs w:val="18"/>
          <w:color w:val="auto"/>
        </w:rPr>
      </w:pPr>
    </w:p>
    <w:p>
      <w:pPr>
        <w:ind w:left="600" w:hanging="106"/>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commentary regarding us and corresponding short-selling market behavior;</w:t>
      </w:r>
    </w:p>
    <w:p>
      <w:pPr>
        <w:spacing w:after="0" w:line="63" w:lineRule="exact"/>
        <w:rPr>
          <w:rFonts w:ascii="Times New Roman" w:cs="Times New Roman" w:eastAsia="Times New Roman" w:hAnsi="Times New Roman"/>
          <w:sz w:val="18"/>
          <w:szCs w:val="18"/>
          <w:color w:val="auto"/>
        </w:rPr>
      </w:pPr>
    </w:p>
    <w:p>
      <w:pPr>
        <w:ind w:left="600" w:hanging="106"/>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in our relationships with our customers or vendors;</w:t>
      </w:r>
    </w:p>
    <w:p>
      <w:pPr>
        <w:spacing w:after="0" w:line="63" w:lineRule="exact"/>
        <w:rPr>
          <w:rFonts w:ascii="Times New Roman" w:cs="Times New Roman" w:eastAsia="Times New Roman" w:hAnsi="Times New Roman"/>
          <w:sz w:val="18"/>
          <w:szCs w:val="18"/>
          <w:color w:val="auto"/>
        </w:rPr>
      </w:pPr>
    </w:p>
    <w:p>
      <w:pPr>
        <w:ind w:left="600" w:hanging="106"/>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brought against us or our officers and directors;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senior management team; and</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of the other risk factors discussed or incorporated by reference herein.</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stock market as a whole historically has experienced price and volume fluctuations that have affected the market price of many specialty retailers in ways that may have been unrelated to such companies’ operating performance.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as to the dividends that we may pay on our common stock or as to future stock repurchases.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our common stock are only entitled to receive such dividends as our Board of Directors may declare out of funds legally available for such payments. Although we have paid quarterly cash dividends on our common stock since 2019, we are not required to declare or pay any dividends and there may be circumstances under which we may be unable to declare and pay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3" w:name="page34"/>
    <w:bookmarkEnd w:id="33"/>
    <w:p>
      <w:pPr>
        <w:jc w:val="both"/>
        <w:spacing w:after="0" w:line="261" w:lineRule="auto"/>
        <w:rPr>
          <w:sz w:val="20"/>
          <w:szCs w:val="20"/>
          <w:color w:val="auto"/>
        </w:rPr>
      </w:pPr>
      <w:r>
        <w:rPr>
          <w:rFonts w:ascii="Times New Roman" w:cs="Times New Roman" w:eastAsia="Times New Roman" w:hAnsi="Times New Roman"/>
          <w:sz w:val="18"/>
          <w:szCs w:val="18"/>
          <w:color w:val="auto"/>
        </w:rPr>
        <w:t>dividends or repurchase our shares under applicable Delaware law or due to the impact of restrictive covenants in our debt agreements. In addition, we may elect to eliminate or reduce our common stock dividend or not to implement additional stock repurchases in the future for any reason. Any elimination of or reduction in the amount of our common stock dividend or the failure to implement future stock repurchases could materially and adversely affect the market price of our common stock.</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lowering or withdrawal of the ratings assigned to Upbound Group, Inc.’s debt by rating agencies may increase our future borrowing costs and reduce our access to capital.</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indebtedness currently has a non-investment grade rating, and any rating assigned to our debt could be lowered or withdrawn entirely by a rating agency if, in that rating agency’s judgment, future circumstances relating to the basis of the rating, such as adverse changes, so warrant. Credit ratings are not recommendations to purchase, hold or sell any securities of our company. Additionally, credit ratings may not reflect the potential effect of risks relating to any securities of our company. Any downgrade by either S&amp;P or Moody’s may result in higher borrowing costs. Any future lowering of our ratings likely would make it more difficult or more expensive for us to obtain additional debt financing.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4" w:name="page35"/>
    <w:bookmarkEnd w:id="3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lease space for all of our Rent-A-Center Business and Mexico stores under operating leases expiring at various times through 2032. In addition, we lease space for certain support facilities under operating leases expiring at various times through 2032. Most of our store leases are five-year leases and contain renewal options for additional periods ranging from three to five years at rental rates adjusted according to agreed formulas. Store sizes average approximately 4,800 square feet. Approximately 75% of each store’s space is generally used for showroom space and 25% for offices and storage space. Our Acima kiosks occupy space without charge in the retailer's location with no lease commitment.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suitable store space generally is available for lease and we would be able to relocate any of our stores or support facilities without significant difficulty should we be unable to renew a particular lease. We also expect additional space is readily available at competitive rates to open new stores or support facilities, as necessary.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along with our subsidiaries, are party to various legal proceedings and governmental inquiries arising in the ordinary course of business. We reserve for loss contingencies that are both probable and reasonably estimable. We regularly monitor developments related to these legal proceedings, and review the adequacy of our legal reserves on a quarterly basis. We do not currently expect these losses to have a material impact on our consolidated financial statements if and when such losses are incurred. Nevertheless, we cannot predict the impact of future developments affecting our claims and lawsuits, and any resolution of a claim or lawsuit or reserve within a particular fiscal period may materially and adversely impact our results of operations for that period. In addition, claims and lawsuits against us may seek injunctive or other relief that requires changes to our business practices or operations and it is possible that any required changes may materially and adversely impact our business, financial condition, results of operations or reputation. Please see Note M of our Notes to Consolidated Financial Statements for additional discussion of certain of our legal proceedings.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3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118"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its predecessors under the symbol “RCII” since January 25, 1995, the date we commenced our initial public offering. Our symbol will be updated to “UPBD” on February 27, 2023.</w:t>
      </w:r>
    </w:p>
    <w:p>
      <w:pPr>
        <w:spacing w:after="0" w:line="92" w:lineRule="exact"/>
        <w:rPr>
          <w:sz w:val="20"/>
          <w:szCs w:val="20"/>
          <w:color w:val="auto"/>
        </w:rPr>
      </w:pPr>
    </w:p>
    <w:p>
      <w:pPr>
        <w:jc w:val="both"/>
        <w:ind w:right="2160"/>
        <w:spacing w:after="0" w:line="266" w:lineRule="auto"/>
        <w:rPr>
          <w:sz w:val="20"/>
          <w:szCs w:val="20"/>
          <w:color w:val="auto"/>
        </w:rPr>
      </w:pPr>
      <w:r>
        <w:rPr>
          <w:rFonts w:ascii="Times New Roman" w:cs="Times New Roman" w:eastAsia="Times New Roman" w:hAnsi="Times New Roman"/>
          <w:sz w:val="18"/>
          <w:szCs w:val="18"/>
          <w:color w:val="auto"/>
        </w:rPr>
        <w:t>As of February 20, 2023, there were approximately 40 record holders of our common stock. This figure does not represent the actual number of beneficial owners of common stock because shares are frequently held in “street name” by securities dealers and others for the benefit of individual owners who may vote the shares.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decisions to pay cash dividends on our common stock continue to be at the discretion of our Board of Directors and will depend on a number of factors, including future earnings, capital requirements, contractual restrictions, financial condition, future prospects and any other factors our Board of Directors may deem relevant. Cash dividend payments are subject to certain restrictions in our debt agreements. Please see Note K to the consolidated financial statements for further discussion of such restrictions.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2021, our Board of Directors authorized a new stock repurchase program for up to $500.0 million (the “December 2021 Program”), which superseded our previous stock repurchase program. Under the December 2021 program, we may purchase shares of our common stock from time to time in the open market or privately negotiated transactions. We are not obligated to acquire any shares under the program, and the program may be suspended or discontinued at any time. During 2022, 3,536,799 shares of our common stock were repurchased for an aggregate purchase price of approximately $75.1 million under the December 2021 Program, which has approximately $285.0 million remaining under the current authorization available for repurchases. During 2021, 2,829,700 shares of our common stock were repurchased for an aggregate purchase price of approximately $140.0 million under the December 2021 Program. Under previous repurchase programs, 5,069,108 shares of our common stock were repurchased for an aggregate purchase price of $250.0 million during 2021.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purchases of our common stock made during the twelve months ended December 31, 2022:</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dollar value of shares</w:t>
            </w:r>
          </w:p>
        </w:tc>
        <w:tc>
          <w:tcPr>
            <w:tcW w:w="0" w:type="dxa"/>
            <w:vAlign w:val="bottom"/>
          </w:tcPr>
          <w:p>
            <w:pPr>
              <w:spacing w:after="0"/>
              <w:rPr>
                <w:sz w:val="1"/>
                <w:szCs w:val="1"/>
                <w:color w:val="auto"/>
              </w:rPr>
            </w:pPr>
          </w:p>
        </w:tc>
      </w:tr>
      <w:tr>
        <w:trPr>
          <w:trHeight w:val="146"/>
        </w:trPr>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 shares purchased</w:t>
            </w:r>
          </w:p>
        </w:tc>
        <w:tc>
          <w:tcPr>
            <w:tcW w:w="21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that may yet be purchased under</w:t>
            </w:r>
          </w:p>
        </w:tc>
        <w:tc>
          <w:tcPr>
            <w:tcW w:w="0" w:type="dxa"/>
            <w:vAlign w:val="bottom"/>
          </w:tcPr>
          <w:p>
            <w:pPr>
              <w:spacing w:after="0"/>
              <w:rPr>
                <w:sz w:val="1"/>
                <w:szCs w:val="1"/>
                <w:color w:val="auto"/>
              </w:rPr>
            </w:pPr>
          </w:p>
        </w:tc>
      </w:tr>
      <w:tr>
        <w:trPr>
          <w:trHeight w:val="137"/>
        </w:trPr>
        <w:tc>
          <w:tcPr>
            <w:tcW w:w="3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2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920" w:type="dxa"/>
            <w:vAlign w:val="bottom"/>
          </w:tcPr>
          <w:p>
            <w:pPr>
              <w:jc w:val="center"/>
              <w:ind w:right="184"/>
              <w:spacing w:after="0" w:line="137"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0" w:type="dxa"/>
            <w:vAlign w:val="bottom"/>
          </w:tcPr>
          <w:p>
            <w:pPr>
              <w:spacing w:after="0"/>
              <w:rPr>
                <w:sz w:val="1"/>
                <w:szCs w:val="1"/>
                <w:color w:val="auto"/>
              </w:rPr>
            </w:pPr>
          </w:p>
        </w:tc>
      </w:tr>
      <w:tr>
        <w:trPr>
          <w:trHeight w:val="146"/>
        </w:trPr>
        <w:tc>
          <w:tcPr>
            <w:tcW w:w="35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as part of publicly announced</w:t>
            </w:r>
          </w:p>
        </w:tc>
        <w:tc>
          <w:tcPr>
            <w:tcW w:w="240" w:type="dxa"/>
            <w:vAlign w:val="bottom"/>
          </w:tcPr>
          <w:p>
            <w:pPr>
              <w:spacing w:after="0"/>
              <w:rPr>
                <w:sz w:val="12"/>
                <w:szCs w:val="12"/>
                <w:color w:val="auto"/>
              </w:rPr>
            </w:pPr>
          </w:p>
        </w:tc>
        <w:tc>
          <w:tcPr>
            <w:tcW w:w="1920" w:type="dxa"/>
            <w:vAlign w:val="bottom"/>
          </w:tcPr>
          <w:p>
            <w:pPr>
              <w:jc w:val="center"/>
              <w:ind w:right="164"/>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0" w:type="dxa"/>
            <w:vAlign w:val="bottom"/>
          </w:tcPr>
          <w:p>
            <w:pPr>
              <w:spacing w:after="0"/>
              <w:rPr>
                <w:sz w:val="1"/>
                <w:szCs w:val="1"/>
                <w:color w:val="auto"/>
              </w:rPr>
            </w:pPr>
          </w:p>
        </w:tc>
      </w:tr>
      <w:tr>
        <w:trPr>
          <w:trHeight w:val="198"/>
        </w:trPr>
        <w:tc>
          <w:tcPr>
            <w:tcW w:w="3580" w:type="dxa"/>
            <w:vAlign w:val="bottom"/>
            <w:gridSpan w:val="2"/>
            <w:vMerge w:val="continue"/>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240" w:type="dxa"/>
            <w:vAlign w:val="bottom"/>
          </w:tcPr>
          <w:p>
            <w:pPr>
              <w:spacing w:after="0"/>
              <w:rPr>
                <w:sz w:val="17"/>
                <w:szCs w:val="17"/>
                <w:color w:val="auto"/>
              </w:rPr>
            </w:pPr>
          </w:p>
        </w:tc>
        <w:tc>
          <w:tcPr>
            <w:tcW w:w="192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programs (</w:t>
            </w:r>
            <w:r>
              <w:rPr>
                <w:rFonts w:ascii="Times New Roman" w:cs="Times New Roman" w:eastAsia="Times New Roman" w:hAnsi="Times New Roman"/>
                <w:sz w:val="14"/>
                <w:szCs w:val="14"/>
                <w:b w:val="1"/>
                <w:bCs w:val="1"/>
                <w:i w:val="1"/>
                <w:iCs w:val="1"/>
                <w:color w:val="auto"/>
              </w:rPr>
              <w:t>in millions</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4"/>
        </w:trPr>
        <w:tc>
          <w:tcPr>
            <w:tcW w:w="3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1, 2022 - August 31, 2022</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37,789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27.43</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37,789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359.0</w:t>
            </w:r>
          </w:p>
        </w:tc>
        <w:tc>
          <w:tcPr>
            <w:tcW w:w="0" w:type="dxa"/>
            <w:vAlign w:val="bottom"/>
          </w:tcPr>
          <w:p>
            <w:pPr>
              <w:spacing w:after="0"/>
              <w:rPr>
                <w:sz w:val="1"/>
                <w:szCs w:val="1"/>
                <w:color w:val="auto"/>
              </w:rPr>
            </w:pPr>
          </w:p>
        </w:tc>
      </w:tr>
      <w:tr>
        <w:trPr>
          <w:trHeight w:val="21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September 1, 2022 - September 30, 2022</w:t>
            </w:r>
          </w:p>
        </w:tc>
        <w:tc>
          <w:tcPr>
            <w:tcW w:w="112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1,180,524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24.35</w:t>
            </w:r>
          </w:p>
        </w:tc>
        <w:tc>
          <w:tcPr>
            <w:tcW w:w="100" w:type="dxa"/>
            <w:vAlign w:val="bottom"/>
          </w:tcPr>
          <w:p>
            <w:pPr>
              <w:spacing w:after="0"/>
              <w:rPr>
                <w:sz w:val="18"/>
                <w:szCs w:val="18"/>
                <w:color w:val="auto"/>
              </w:rPr>
            </w:pPr>
          </w:p>
        </w:tc>
        <w:tc>
          <w:tcPr>
            <w:tcW w:w="216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1,180,524</w:t>
            </w:r>
          </w:p>
        </w:tc>
        <w:tc>
          <w:tcPr>
            <w:tcW w:w="12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330.2</w:t>
            </w:r>
          </w:p>
        </w:tc>
        <w:tc>
          <w:tcPr>
            <w:tcW w:w="0" w:type="dxa"/>
            <w:vAlign w:val="bottom"/>
          </w:tcPr>
          <w:p>
            <w:pPr>
              <w:spacing w:after="0"/>
              <w:rPr>
                <w:sz w:val="1"/>
                <w:szCs w:val="1"/>
                <w:color w:val="auto"/>
              </w:rPr>
            </w:pPr>
          </w:p>
        </w:tc>
      </w:tr>
      <w:tr>
        <w:trPr>
          <w:trHeight w:val="21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2022 - October 31, 2022</w:t>
            </w:r>
          </w:p>
        </w:tc>
        <w:tc>
          <w:tcPr>
            <w:tcW w:w="11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2,318,486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19.50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2,318,486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285.0</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17, 2021, we completed the acquisition of Acima Holdings and issued to the former owners of Acima an aggregate of 10,779,923 shares of our common stock, with a value of $51.14 per share based on the closing price of our common stock on the date of closing. The offer, sale, and issuance of these securities was deemed to be exempt from registration under the Securities Act in reliance on Section 4(a)(2) and Regulation D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chart represents a comparison of the five year total return of our common stock to the NASDAQ Composite Index and the S&amp;P 1500 Specialty Retail Index. We selected the S&amp;P 1500 Specialty Retail Index for comparison because we use this published industry index as the comparator group to measure our relative total shareholder return for purposes of determining vesting of performance stock units granted under our long-term incentive compensation program. The graph assumes $100 was invested on December 31, 2017, and dividends, if any, were reinvested for all years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59690</wp:posOffset>
            </wp:positionV>
            <wp:extent cx="5915025" cy="39262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15025" cy="392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Objective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report financial operating performance under four operating segments, including our Rent-A-Center Business segment, which represents our company-owned stores and e-commerce platform through rentacenter.com; our Acima business segment, which includes our virtual and staffed business models; and our Mexico and Franchising segments.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focuses on recent developments expected to have current and future impacts on the results of our business, trends and uncertainties within our industry and business model that may impact our financial results, our recent results of operations, and discussion of our liquidity and capital resources. You should read the following discussion in conjunction with the consolidated financial statements and notes thereto included elsewhere in this Annual Report on Form 10-K.</w:t>
      </w:r>
    </w:p>
    <w:p>
      <w:pPr>
        <w:spacing w:after="0" w:line="72"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similar historical operating and financial data and discussion of our twelve months ended December 31, 2021 results compared to our twelve months ended December 31, 2020 results, refer to Part II. Item 7. “Management’s Discussion and Analysis of Financial Condition and Results of Operations” of our Annual Report on </w:t>
      </w:r>
      <w:hyperlink r:id="rId53">
        <w:r>
          <w:rPr>
            <w:rFonts w:ascii="Times New Roman" w:cs="Times New Roman" w:eastAsia="Times New Roman" w:hAnsi="Times New Roman"/>
            <w:sz w:val="18"/>
            <w:szCs w:val="18"/>
            <w:u w:val="single" w:color="auto"/>
            <w:color w:val="0000FF"/>
          </w:rPr>
          <w:t>Form 10 K</w:t>
        </w:r>
      </w:hyperlink>
      <w:r>
        <w:rPr>
          <w:rFonts w:ascii="Times New Roman" w:cs="Times New Roman" w:eastAsia="Times New Roman" w:hAnsi="Times New Roman"/>
          <w:sz w:val="18"/>
          <w:szCs w:val="18"/>
          <w:color w:val="auto"/>
        </w:rPr>
        <w:t>, for the year ended December 31, 2021, incorporated herein by reference, which was filed with the SEC on February 28,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Corporate Name Change</w:t>
      </w:r>
      <w:r>
        <w:rPr>
          <w:rFonts w:ascii="Times New Roman" w:cs="Times New Roman" w:eastAsia="Times New Roman" w:hAnsi="Times New Roman"/>
          <w:sz w:val="18"/>
          <w:szCs w:val="18"/>
          <w:color w:val="auto"/>
        </w:rPr>
        <w:t>. On February 22, 2023, we announced the change of our corporate name to Upbound Group, Inc., which will trade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ticker “UPBD” beginning February 27,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Management Changes</w:t>
      </w:r>
      <w:r>
        <w:rPr>
          <w:rFonts w:ascii="Times New Roman" w:cs="Times New Roman" w:eastAsia="Times New Roman" w:hAnsi="Times New Roman"/>
          <w:sz w:val="18"/>
          <w:szCs w:val="18"/>
          <w:color w:val="auto"/>
        </w:rPr>
        <w:t>.</w:t>
      </w:r>
    </w:p>
    <w:p>
      <w:pPr>
        <w:spacing w:after="0" w:line="65" w:lineRule="exact"/>
        <w:rPr>
          <w:sz w:val="20"/>
          <w:szCs w:val="20"/>
          <w:color w:val="auto"/>
        </w:rPr>
      </w:pPr>
    </w:p>
    <w:p>
      <w:pPr>
        <w:jc w:val="both"/>
        <w:ind w:left="660" w:hanging="166"/>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Fahmi Karam joined as Chief Financial Officer, effective October 31, 2022. Mr. Karam has over 20 years of experience in finance and accounting, most recently as the Chief Financial Officer of Santander Consumer USA since September 2019. Mr. Karam previously served as Santander's Head of Pricing and Analytics, and EVP, Strategy and Corporate Development. Prior to his roles at Santander, Mr. Karam spent 12 years at JP Morgan Investment Bank, and he began his career at Deloitte.</w:t>
      </w:r>
    </w:p>
    <w:p>
      <w:pPr>
        <w:spacing w:after="0" w:line="17" w:lineRule="exact"/>
        <w:rPr>
          <w:rFonts w:ascii="Times New Roman" w:cs="Times New Roman" w:eastAsia="Times New Roman" w:hAnsi="Times New Roman"/>
          <w:sz w:val="18"/>
          <w:szCs w:val="18"/>
          <w:color w:val="auto"/>
        </w:rPr>
      </w:pPr>
    </w:p>
    <w:p>
      <w:pPr>
        <w:jc w:val="both"/>
        <w:ind w:left="660" w:hanging="166"/>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Tyler Montrone has been appointed Executive Vice President of Acima, effective February 20, 2023, and will lead the Acima business segment, reporting to CEO, Mitch Fadel. Mr. Montrone is a long-time Acima executive who most recently served as Acima's Chief Development Officer where he was responsible for Acima's product, engineering and underwriting functions. Aaron Allred, founder and former Executive Vice President of Acima, will continue to work for the Company in an advisory role.</w:t>
      </w:r>
    </w:p>
    <w:p>
      <w:pPr>
        <w:spacing w:after="0" w:line="17"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Sudeep Gautam joined the Company as Chief Technology and Digital Officer, effective January 16, 2023. Mr. Gautam has over 20 years of experience in large-scale digital transformations, including the position of Chief Digital Officer at Pratt &amp; Whitney and several senior executive positions at Hewlett-Packard.</w:t>
      </w:r>
    </w:p>
    <w:p>
      <w:pPr>
        <w:spacing w:after="0" w:line="13"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Mike Bagull joined the Company as Senior Vice President, Business Development and Partnerships, in August 2022. Mr. Bagull has over 20 years of experience in business development and sales management roles, including over 8 years at Synchrony, most recently as Senior Vice President, Business Development and Partnerships.</w:t>
      </w:r>
    </w:p>
    <w:p>
      <w:pPr>
        <w:spacing w:after="0" w:line="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Dividend</w:t>
      </w:r>
      <w:r>
        <w:rPr>
          <w:rFonts w:ascii="Times New Roman" w:cs="Times New Roman" w:eastAsia="Times New Roman" w:hAnsi="Times New Roman"/>
          <w:sz w:val="18"/>
          <w:szCs w:val="18"/>
          <w:color w:val="auto"/>
        </w:rPr>
        <w:t>s. On December 7, 2022, we announced that our board of directors approved quarterly cash dividend of $0.34 per share for the first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dividend was paid on January 10, 2023 to our common stockholders of record as of the close of business on December 20, 2022.</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Operational Trends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Macroeconomic Conditions. </w:t>
      </w:r>
      <w:r>
        <w:rPr>
          <w:rFonts w:ascii="Times New Roman" w:cs="Times New Roman" w:eastAsia="Times New Roman" w:hAnsi="Times New Roman"/>
          <w:sz w:val="18"/>
          <w:szCs w:val="18"/>
          <w:color w:val="auto"/>
        </w:rPr>
        <w:t>Beginning in the first quarter of 2020, the worldwide spread of COVID-19 caused significant disruptions to the U.S. and world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economies. In response to COVID-19, the U.S. government enacted the Coronavirus Aid, Relief, and Economic Security Act (the “CARES Act”), providing U.S. citizens and businesses with various stimulus and income tax relief benefits throughout 2020 and early 2021 to help offset immediate negative financial impacts sustained as a result of COVID-19. In addition, we proactively implemented certain response measures, including providing our Rent-A-Center Business and Acima customers with additional electronic payment methods to facilitate contactless transactions. These response measures resulted in improved customer payment behaviors contributing to higher revenues and lower merchandise losses in 2020 and the first half of 2021.</w:t>
      </w:r>
    </w:p>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third quarter of 2021 we began to experience negative customer behavioral trends, including increases in delinquent payments and merchandise loss activity, resulting in declining revenues and increased operating expenses, respectively. These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negative trends continued to accelerate in the fourth quarter of 2021, following the expiration of government stimulus and relief programs combined with a significant rise in the US consumer price index, resulting in significant pressure on the discretionary income levels of our consumers. This led us to tighten our underwriting policies in an effort to improve risk management related to the execution of new leases. The continuation of the above trends combined with the tightening of our underwriting policies, which has reduced the number of active leases and corresponding lease revenue, has continued to negatively impact our financial results, including our results of operations and operating cash flows, through 2022.</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negative trends in customer behavior described above, we have also been impacted by other negative macroeconomic trends, including a condensed labor market, which has contributed to wage inflation, and global supply chain disruptions resulting in reduced product availability and rising product costs. Recent wage inflation trends have increased our labor costs, while supply chain disruptions have partially contributed to declines in our revenue, due to lower product availability, and increased merchandise losses driven by higher product costs.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lease-to-own industry has historically remained a resilient business model throughout various economic cycles, providing credit-constrained customers with a viable option to obtain merchandise they may not otherwise be able to obtain, the full extent to which our risk management strategy, consumer spending behavior, or other macro-economic trends, may impact our business in future periods is uncertain. The continuation of these trends may have a material adverse impact on our financial statements, including our results of operations, operating cash flows, liquidity and capital resources.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“Risk Factors” in Part I, Item 1A for additional discussion of operational impacts to our business and additional risks associated with COVID-19 and other macroeconomic conditions.</w:t>
      </w:r>
    </w:p>
    <w:p>
      <w:pPr>
        <w:spacing w:after="0" w:line="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Rent-A-Center Business E-commerce revenue. </w:t>
      </w:r>
      <w:r>
        <w:rPr>
          <w:rFonts w:ascii="Times New Roman" w:cs="Times New Roman" w:eastAsia="Times New Roman" w:hAnsi="Times New Roman"/>
          <w:sz w:val="18"/>
          <w:szCs w:val="18"/>
          <w:color w:val="auto"/>
        </w:rPr>
        <w:t>In recent years, e-commerce revenues have continued to increase as a percentage of total revenue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Rent-A-Center Business segment. For the twelve months ended December 31, 2022 e-commerce revenues represented approximately 25% of total lease-to-own store revenues compared to 24% for 2021. Due to recent trends in consumer shopping behaviors and expectations, we believe e-commerce solutions are an important part of our lease-to-own offering. However, we are unable to quantify the extent to which e-commerce revenues are incremental compared to what our overall revenues would have been in the absence of those e-commerce transactions. In addition, the profitability of e-commerce transactions can be impacted by different merchandise loss factors compared to traditional store-based transactions in the Rent-A-Center Business segment. Therefore, we are unable to determine with certainty whether the continuation of this trend toward increased e-commerce transactions will have a significant impact to our financial statements in future periods or be favorable or unfavorable to our financial results.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focuses on our results of operations and our liquidity and capital resources. You should read this discussion in conjunction with the consolidated financial statements and notes thereto for the twelve months ended December 31, 2022 included in Part II, Item 8 of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Metrics</w:t>
      </w:r>
    </w:p>
    <w:p>
      <w:pPr>
        <w:spacing w:after="0" w:line="1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Gross Merchandise Volume (GMV): </w:t>
      </w:r>
      <w:r>
        <w:rPr>
          <w:rFonts w:ascii="Times New Roman" w:cs="Times New Roman" w:eastAsia="Times New Roman" w:hAnsi="Times New Roman"/>
          <w:sz w:val="18"/>
          <w:szCs w:val="18"/>
          <w:color w:val="auto"/>
        </w:rPr>
        <w:t>The Company defines Gross Merchandise Volume as the retail value in U.S. dollars of merchandise acquired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that is leased to customers through a transaction that occurs within a defined period, net of cancellations.</w:t>
      </w:r>
    </w:p>
    <w:p>
      <w:pPr>
        <w:spacing w:after="0" w:line="5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Rent-A-Center Business Lease Portfolio Balance: </w:t>
      </w:r>
      <w:r>
        <w:rPr>
          <w:rFonts w:ascii="Times New Roman" w:cs="Times New Roman" w:eastAsia="Times New Roman" w:hAnsi="Times New Roman"/>
          <w:sz w:val="18"/>
          <w:szCs w:val="18"/>
          <w:color w:val="auto"/>
        </w:rPr>
        <w:t>Represents the aggregate dollar value of the expected monthly rental income associated with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lease agreements from our Rent-A-Center Business stores and ecommerce platform at the end of any given period.</w:t>
      </w:r>
    </w:p>
    <w:p>
      <w:pPr>
        <w:spacing w:after="0" w:line="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 xml:space="preserve">Same Store Sales: </w:t>
      </w:r>
      <w:r>
        <w:rPr>
          <w:rFonts w:ascii="Times New Roman" w:cs="Times New Roman" w:eastAsia="Times New Roman" w:hAnsi="Times New Roman"/>
          <w:sz w:val="18"/>
          <w:szCs w:val="18"/>
          <w:color w:val="auto"/>
        </w:rPr>
        <w:t>Same store sales generally represents revenue earned in stores that were operated by us for 13 months or more and are reported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constant currency basis as a percentage of total revenue earned in stores of the operating segment during the period. The Company excludes any store that receives a certain level of customer accounts from closed stores or acquisitions from the same store revenue base. The receiving store will be eligible for inclusion in the same store revenue base in the 30th full month following account transfer.</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Skip / Stolen Losses: </w:t>
      </w:r>
      <w:r>
        <w:rPr>
          <w:rFonts w:ascii="Times New Roman" w:cs="Times New Roman" w:eastAsia="Times New Roman" w:hAnsi="Times New Roman"/>
          <w:sz w:val="18"/>
          <w:szCs w:val="18"/>
          <w:color w:val="auto"/>
        </w:rPr>
        <w:t>Represents the charge-off of the depreciated value of unrecoverable on-rent merchandise with lease-to-own customers who are past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briefly summarizes certain of our financial information for the twelve months ended December 31, 2022 as compared to the twelve months ended December 31, 2021.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twelve months ended December 31, 2022, consolidated revenues decreased approximately $338.1 million, while operating profit decreased approximately $132.0 million, primarily due to a decrease in gross profit of $155.5 million driven by lower revenues and increases in other store expenses of $51.7 million described further below.</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in our Rent-A-Center Business segment decreased approximately $88.0 million for the twelve months ended December 31, 2022, due to a 4.5% decrease in same store sales primarily due to decreases in merchandise sales and rentals and fees revenues of $48.0 million and $38.3 million, respectively, reflecting lower demand for consumer durable goods, mainly due to the effects from the wind-down of stimulus programs in 2021, and decreases in lease payments collected primarily due to inflationary pressures on the discretionary income of our consumers driven by recent increases in the consumer price index. Operating profit decreased approximately $114.4 million for the twelve months ended December 31, 2022, primarily due to lower revenues described above, in addition to higher total merchandise losses of $41.1 million, and increased labor costs of $6.2 million, driven primarily by wage inflation.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Acima segment revenues decreased approximately $217.8 million for the twelve months ended December 31, 2022, due to a $106.1 million decrease in merchandise sales and $111.8 million decrease in rentals and fees revenues, primarily attributable to inflationary pressures on consumer's discretionary income and the wind-down of the stimulus programs in 2021, in addition to effects of changes in our underwriting policies described above. Operating profit decreased approximately $25.2 million for the twelve months ended December 31, 2022, primarily due to lower revenues described above, partially offset by decreases in cost of merchandise sold and operating expenses of $128.6 million and $71.4 million, respectively.</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Mexico segment revenues increased by 5.7% for the twelve months ended December 31, 2022, contributing to an increase in gross profit of 6.3%, or $2.7 million. Operating profit, however, decreased $1.6 million for the twelve months ended December 31, 2022, primarily due to higher other store expenses and labor costs of $2.8 million and $1.4 million, respectively, partially offset by increased revenues described above .</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for the Franchising segment decreased $35.8 million for the twelve months ended December 31, 2022, primarily due to a decrease in inventory purchases by franchisees. Operating profit decreased $1.2 million for the twelve months ended December 31, 2022 primarily due to the lower revenues described above.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 from operations was $468.5 million for the twelve months ended December 31, 2022. As of December 31, 2022, we held $144.1 million of cash and cash equivalents and outstanding indebtedness of $1.4 billion.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reference for the discussion that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78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2022-2021 Change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Store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Rentals and fees</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3,375,453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3,522,453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3"/>
        </w:trPr>
        <w:tc>
          <w:tcPr>
            <w:tcW w:w="50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Merchandise sales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675,288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829,222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(153,934)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Installment sales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19.9 %</w:t>
            </w: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Total store revenues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4,128,044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4,429,408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(301,364)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3"/>
        </w:trPr>
        <w:tc>
          <w:tcPr>
            <w:tcW w:w="5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Franchise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Merchandise sales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(35,506)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Royalty income and fees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25,998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27,187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4,245,392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4,583,451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(338,059)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Cost of rentals and fees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1,268,809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1,260,434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8,375</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Cost of merchandise sold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779,789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935,765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(155,976)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Cost of installment sales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25,547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25,637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Total cost of store revenues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2,074,145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2,221,836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(147,691)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Franchise cost of merchandise sold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91,715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126,603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(34,888)</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Total cost of revenues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2,165,860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2,348,439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(182,579)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07"/>
        </w:trPr>
        <w:tc>
          <w:tcPr>
            <w:tcW w:w="50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2,079,532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2,235,012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(155,480)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Store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Labor</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634,341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644,763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50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Other store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821,821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770,073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51,748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3"/>
        </w:trPr>
        <w:tc>
          <w:tcPr>
            <w:tcW w:w="5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amortization and write-down of intangibles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charges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289,913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(54,630)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07"/>
        </w:trPr>
        <w:tc>
          <w:tcPr>
            <w:tcW w:w="508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1,930,994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1,954,473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(23,479)</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Operating profit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280,539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(132,001)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refinancing charges</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(15,582)</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70,653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23.2 %</w:t>
            </w:r>
          </w:p>
        </w:tc>
        <w:tc>
          <w:tcPr>
            <w:tcW w:w="0" w:type="dxa"/>
            <w:vAlign w:val="bottom"/>
          </w:tcPr>
          <w:p>
            <w:pPr>
              <w:spacing w:after="0"/>
              <w:rPr>
                <w:sz w:val="1"/>
                <w:szCs w:val="1"/>
                <w:color w:val="auto"/>
              </w:rPr>
            </w:pPr>
          </w:p>
        </w:tc>
      </w:tr>
      <w:tr>
        <w:trPr>
          <w:trHeight w:val="207"/>
        </w:trPr>
        <w:tc>
          <w:tcPr>
            <w:tcW w:w="50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194,304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(132,833)</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59,364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12"/>
        </w:trPr>
        <w:tc>
          <w:tcPr>
            <w:tcW w:w="50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earnings</w:t>
            </w: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12,357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134,940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(122,583)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2022 and 2021</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Store Revenue. </w:t>
      </w:r>
      <w:r>
        <w:rPr>
          <w:rFonts w:ascii="Times New Roman" w:cs="Times New Roman" w:eastAsia="Times New Roman" w:hAnsi="Times New Roman"/>
          <w:sz w:val="18"/>
          <w:szCs w:val="18"/>
          <w:color w:val="auto"/>
        </w:rPr>
        <w:t>Total store revenue decreased by $301.4 million, or 6.8%, to $4,128.0 million for the year ended December 31, 2022, from $4,429.4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2021. This decrease was primarily due to decreases of approximately $217.8 million and $88.0 million in the Acima and Rent-A-Center Business segments, respectively, as discussed further in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Segment Performance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section below.</w:t>
      </w:r>
    </w:p>
    <w:p>
      <w:pPr>
        <w:spacing w:after="0" w:line="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 xml:space="preserve">Cost of Rentals and Fees. </w:t>
      </w:r>
      <w:r>
        <w:rPr>
          <w:rFonts w:ascii="Times New Roman" w:cs="Times New Roman" w:eastAsia="Times New Roman" w:hAnsi="Times New Roman"/>
          <w:sz w:val="18"/>
          <w:szCs w:val="18"/>
          <w:color w:val="auto"/>
        </w:rPr>
        <w:t>Cost of rentals and fees consists primarily of depreciation of rental merchandise. Cost of rentals and fees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2022 increased by $8.4 million, or 0.7%, to $1,268.8 million, as compared to $1,260.4 million in 2021. This increase in cost of rentals and fees was primarily attributable to an increase of $7.4 million and $1.0 million in the Acima and Mexico Business segments, respectively. Cost of rentals and fees expressed as a percentage of rentals and fees revenue increased to 37.6% for the year ended December 31, 2022 as compared to 35.8% in 2021.</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Merchandise Sold. </w:t>
      </w:r>
      <w:r>
        <w:rPr>
          <w:rFonts w:ascii="Times New Roman" w:cs="Times New Roman" w:eastAsia="Times New Roman" w:hAnsi="Times New Roman"/>
          <w:sz w:val="18"/>
          <w:szCs w:val="18"/>
          <w:color w:val="auto"/>
        </w:rPr>
        <w:t>Cost of merchandise sold represents the net book value of rental merchandise at time of sale. Cost of merchandise sold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by $156.0 million, or 16.7%, to $779.8 million for the year ended December 31, 2022, from $935.8 million in 2021, attributable to decreases of $128.6 million and $27.2 million in the Acima and Rent-A-Center Business segments, respectively. The gross margin percent of merchandise sales decreased to (15.5)% for the year ended December 31, 2022, from (12.8)% in 2021.</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decreased by $155.5 million, or 7.0%, to $2,079.5 million for the year ended December 31, 2022, from $2,235.0 million in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due primarily to decreases of $96.6 million and $60.7 million in the Acima and Rent-A-Center Business segments, respectively, as discussed further in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Segment Performance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section below. Gross profit as a percentage of total revenue increased to 49.0% in 2022, as compared to 48.8% in 2021.</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Store Labor. </w:t>
      </w:r>
      <w:r>
        <w:rPr>
          <w:rFonts w:ascii="Times New Roman" w:cs="Times New Roman" w:eastAsia="Times New Roman" w:hAnsi="Times New Roman"/>
          <w:sz w:val="18"/>
          <w:szCs w:val="18"/>
          <w:color w:val="auto"/>
        </w:rPr>
        <w:t>Store labor includes all salaries and wages paid to store operational employees and district managers, together with payroll taxes and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 labor decreased by $10.5 million, or 1.6%, to $634.3 million for the year ended December 31, 2022, as compared to $644.8 million in 2021, primarily attributable to a decrease of $18.0 million in the Acima segment, partially offset by an increase of $6.2 million in the Rent-A-Center Business segment. Store labor expressed as a percentage of total store revenue was 15.4% for the year ended December 31, 2022, as compared to 14.6% in 2021.</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Store Expenses. </w:t>
      </w:r>
      <w:r>
        <w:rPr>
          <w:rFonts w:ascii="Times New Roman" w:cs="Times New Roman" w:eastAsia="Times New Roman" w:hAnsi="Times New Roman"/>
          <w:sz w:val="18"/>
          <w:szCs w:val="18"/>
          <w:color w:val="auto"/>
        </w:rPr>
        <w:t>Other store expenses include charge-offs due to customer stolen merchandise and occupancy, delivery, advertising, selling,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insurance, travel and other store-level operating expenses. Other store expenses increased by $51.7 million, or 6.7%, to $821.8 million for the year ended December 31, 2022, as compared to $770.1 million in 2021, primarily attributable to an increase of $49.2 million in the Rent-A-Center Business segment driven by higher customer stolen merchandise losses, as described further in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Segment Performance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section below. Other store expenses expressed as a percentage of total store revenue were 19.9% for the year ended December 31, 2022, compared to 17.4% in 2021.</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include all corporate overhead expenses related to our headquarters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salaries, payroll taxes and benefits, stock-based compensation, occupancy, administrative and other operating expenses, as well as salaries and labor costs for our regional directors, divisional vice presidents and executive vice presidents. General and administrative expenses decreased by $8.4 million, or 4.3%, to $186.5 million for the year ended December 31, 2022, as compared to $194.9 million in 2021. General and administrative expenses expressed as a percentage of total revenue were 4.4% for the year ended December 31, 2022, compared to 4.3% in 2021.</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Other charges. </w:t>
      </w:r>
      <w:r>
        <w:rPr>
          <w:rFonts w:ascii="Times New Roman" w:cs="Times New Roman" w:eastAsia="Times New Roman" w:hAnsi="Times New Roman"/>
          <w:sz w:val="18"/>
          <w:szCs w:val="18"/>
          <w:color w:val="auto"/>
        </w:rPr>
        <w:t>Other charges decreased by $54.6 million to $235.3 million in 2022, as compared to $289.9 million in 2021. Other charges for the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2022 primarily included $143.2 million in stock compensation expense related to the vesting of a portion of the equity consideration issued in connection with the acquisition of Acima Holdings, $80.8 million in depreciation and amortization of acquired software and intangible assets, $6.8 million in asset impairments, $5.0 million in employee severance, $1.2 million in state sales tax assessment reserves, and $1.2 million in Acima retail partner conversion losses. Other charges for the year ended December 31, 2021 primarily included $127.1 million in stock compensation expense related to equity consideration subject to vesting conditions, $115.0 million in depreciation and amortization of acquired software and intangible assets related to the acquisition of Acima Holdings, $28.0 million in one-time transaction and integration costs related to the acquisition of Acima Holdings, and $17.5 million in legal settlement reserves.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decreased $132.0 million, or 47.1%, to $148.5 million for the year ended December 31, 2022,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$280.5 million in 2021, primarily due to decreases in revenue and gross profit, offset by decreases in operating expenses as described above. Operating profit expressed as a percentage of total revenue was 3.5% for the year ended December 31, 2022, compared to 6.1% in 2021. Excluding Other charges, operating profit was $383.8 million, or 9.0% of revenue for the year ended December 31, 2022, compared to $570.5 million or 12.4% of revenue for the comparable period of 2021.</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for the twelve months ended December 31, 2022 was $49.1 million, as compared to $59.4 million in 2021.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tax rate was 79.9% for the twelve months ended December 31, 2022, compared to 30.6% in 2021. A main driver of the rate difference is significantly lower pre-tax income relative to our other rate-impacting items as well as the impact of Acima stock compensation add-backs related to the acquisition. In addition, the effective tax rate for the twelve months ended December 31, 2021, was further impacted by discrete income tax items related to excess tax benefits from the vesting of our annual restricted stock award grants and stock option exercises. Additionally, we released valuation allowance in 2021, which provided a benefit to the 2021 rate that was not applicable to the 2022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2021 and 2020</w:t>
      </w:r>
    </w:p>
    <w:p>
      <w:pPr>
        <w:spacing w:after="0" w:line="121" w:lineRule="exact"/>
        <w:rPr>
          <w:sz w:val="20"/>
          <w:szCs w:val="20"/>
          <w:color w:val="auto"/>
        </w:rPr>
      </w:pPr>
    </w:p>
    <w:p>
      <w:pPr>
        <w:jc w:val="both"/>
        <w:spacing w:after="0" w:line="266"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For similar operating and financial data and discussion of our year ended December 31, 2021 results compared to our year ended December 31, 2020 </w:t>
      </w:r>
      <w:hyperlink r:id="rId53">
        <w:r>
          <w:rPr>
            <w:rFonts w:ascii="Times New Roman" w:cs="Times New Roman" w:eastAsia="Times New Roman" w:hAnsi="Times New Roman"/>
            <w:sz w:val="18"/>
            <w:szCs w:val="18"/>
            <w:color w:val="auto"/>
          </w:rPr>
          <w:t xml:space="preserve">results, refer to Part II. Item 7. “Management’s Discussion and Analysis of Financial Condition and Results of Operations” of our Annual Report on </w:t>
        </w:r>
        <w:r>
          <w:rPr>
            <w:rFonts w:ascii="Times New Roman" w:cs="Times New Roman" w:eastAsia="Times New Roman" w:hAnsi="Times New Roman"/>
            <w:sz w:val="18"/>
            <w:szCs w:val="18"/>
            <w:u w:val="single" w:color="auto"/>
            <w:color w:val="0000FF"/>
          </w:rPr>
          <w:t>Form</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u w:val="single" w:color="auto"/>
            <w:color w:val="0000FF"/>
          </w:rPr>
          <w:t>10-K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the year ended December 31, 2021.</w:t>
        </w:r>
      </w:hyperlink>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Rent-A-Center Business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Pr>
          <w:p>
            <w:pPr>
              <w:spacing w:after="0"/>
              <w:rPr>
                <w:sz w:val="16"/>
                <w:szCs w:val="16"/>
                <w:color w:val="auto"/>
              </w:rPr>
            </w:pPr>
          </w:p>
        </w:tc>
        <w:tc>
          <w:tcPr>
            <w:tcW w:w="14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2022-2021 Change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1,949,864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2,037,849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0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(87,985)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1,372,863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1,433,536</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(60,673)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334,525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448,905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(114,380)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Lease portfolio balance</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149,950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Change in same store revenue</w:t>
            </w:r>
            <w:r>
              <w:rPr>
                <w:rFonts w:ascii="Times New Roman" w:cs="Times New Roman" w:eastAsia="Times New Roman" w:hAnsi="Times New Roman"/>
                <w:sz w:val="21"/>
                <w:szCs w:val="21"/>
                <w:color w:val="auto"/>
                <w:vertAlign w:val="superscript"/>
              </w:rPr>
              <w:t>(1)</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0"/>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Stores in same store revenue calculation</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1,761</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40" w:hanging="132"/>
        <w:spacing w:after="0"/>
        <w:tabs>
          <w:tab w:leader="none" w:pos="140" w:val="left"/>
        </w:tabs>
        <w:numPr>
          <w:ilvl w:val="0"/>
          <w:numId w:val="2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 xml:space="preserve">See </w:t>
      </w:r>
      <w:r>
        <w:rPr>
          <w:rFonts w:ascii="Times New Roman" w:cs="Times New Roman" w:eastAsia="Times New Roman" w:hAnsi="Times New Roman"/>
          <w:sz w:val="13"/>
          <w:szCs w:val="13"/>
          <w:i w:val="1"/>
          <w:iCs w:val="1"/>
          <w:color w:val="auto"/>
        </w:rPr>
        <w:t>Key Metrics</w:t>
      </w:r>
      <w:r>
        <w:rPr>
          <w:rFonts w:ascii="Times New Roman" w:cs="Times New Roman" w:eastAsia="Times New Roman" w:hAnsi="Times New Roman"/>
          <w:sz w:val="13"/>
          <w:szCs w:val="13"/>
          <w:color w:val="auto"/>
        </w:rPr>
        <w:t xml:space="preserve"> described above for additional information</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The decrease in revenue for the year ended December 31, 2022 was primarily due to a decrease in same store sales of 4.5%, driven by decreases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merchandise sales revenue and rentals and fees revenue of $48.0 million and $38.3 million for the twelve months ended December 31, 2022, respectively. Decreases in revenue reflect lower demand for consumer durable goods mainly due to the effects from the wind-down of stimulus programs in 2021, combined with recent increases in the US consumer price index and corresponding pressure on the discretionary income of our customers.</w:t>
      </w:r>
    </w:p>
    <w:p>
      <w:pPr>
        <w:spacing w:after="0" w:line="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decreased in 2022 driven primarily by the decrease in revenue described above. Gross profit as a percentage of segment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to 70.4% in 2022 from 70.3% in 2021.</w:t>
      </w:r>
    </w:p>
    <w:p>
      <w:pPr>
        <w:spacing w:after="0" w:line="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as a percentage of segment revenues was 17.2% for 2022 compared to 22.0% for 2021. The decrease in operating profit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ended December 31, 2022 was partially driven by decreases in revenues and gross profit described above, in addition to increases in losses due to customer stolen merchandise of $36.4 million for the twelve months ended December 31, 2022, and increased labor costs of $6.2 million for the twelve months ended December 31, 2022, driven by wage inflation. Charge-offs in our Rent-A-Center Business lease-to-own stores due to skip / stolen losses, expressed as a percentage of Rent-A-Center Business lease-to-own revenues, were approximately 4.9% for the year ended December 31, 2022, compared to 3.1% in 2021. Other merchandise losses include unrepairable and missing merchandise, and loss/damage waiver claims. Charge-offs in our Rent-A-Center Business lease-to-own stores due to other merchandise losses, expressed as a percentage of revenues, were approximately 2.0% for the year ended December 31, 2022, compared to 1.6% in 2021.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Acima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Pr>
          <w:p>
            <w:pPr>
              <w:spacing w:after="0"/>
              <w:rPr>
                <w:sz w:val="16"/>
                <w:szCs w:val="16"/>
                <w:color w:val="auto"/>
              </w:rPr>
            </w:pPr>
          </w:p>
        </w:tc>
        <w:tc>
          <w:tcPr>
            <w:tcW w:w="14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2022-2021 Change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2,110,320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2,328,089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84"/>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(217,769)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632,244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728,852</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(96,608)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176,496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81"/>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merchandise volume</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1,584,362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1,912,731</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(328,369)</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bl>
    <w:p>
      <w:pPr>
        <w:ind w:left="140" w:hanging="132"/>
        <w:spacing w:after="0" w:line="229" w:lineRule="auto"/>
        <w:tabs>
          <w:tab w:leader="none" w:pos="140" w:val="left"/>
        </w:tabs>
        <w:numPr>
          <w:ilvl w:val="0"/>
          <w:numId w:val="2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 xml:space="preserve">See </w:t>
      </w:r>
      <w:r>
        <w:rPr>
          <w:rFonts w:ascii="Times New Roman" w:cs="Times New Roman" w:eastAsia="Times New Roman" w:hAnsi="Times New Roman"/>
          <w:sz w:val="13"/>
          <w:szCs w:val="13"/>
          <w:i w:val="1"/>
          <w:iCs w:val="1"/>
          <w:color w:val="auto"/>
        </w:rPr>
        <w:t>Key Metrics</w:t>
      </w:r>
      <w:r>
        <w:rPr>
          <w:rFonts w:ascii="Times New Roman" w:cs="Times New Roman" w:eastAsia="Times New Roman" w:hAnsi="Times New Roman"/>
          <w:sz w:val="13"/>
          <w:szCs w:val="13"/>
          <w:color w:val="auto"/>
        </w:rPr>
        <w:t xml:space="preserve"> described above for additional information</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The decrease in revenue for the year ended December 31, 2022 compared to 2021 was primarily due to decreases in rentals and fees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merchandise sales revenues of $111.8 million and $106.1 million, respectively. Consistent with our Rent-A-Center Business segment, decreases in revenue reflect lower demand for consumer durable goods mainly due to the effects from the wind-down of stimulus programs in 2021, combined with recent increases in the US consumer price index and corresponding pressure on the discretionary income of our customers. In addition, decreases in revenue were also attributable to the tightening of our underwriting policies, in an effort to improve risk management related to the execution of new leases, as described further in </w:t>
      </w:r>
      <w:r>
        <w:rPr>
          <w:rFonts w:ascii="Times New Roman" w:cs="Times New Roman" w:eastAsia="Times New Roman" w:hAnsi="Times New Roman"/>
          <w:sz w:val="18"/>
          <w:szCs w:val="18"/>
          <w:i w:val="1"/>
          <w:iCs w:val="1"/>
          <w:color w:val="auto"/>
        </w:rPr>
        <w:t>Business and Operational Trends.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as a percentage of total revenue for the year ended December 31, 2022 decreased to 30.0%, as compared to 31.3% in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changes in lease-to-own business volume between our virtual and staffed Acima locations, which utilize different depreciation methods. Please reference Critical Accounting Estimates, Uncertainties or Assessments in Our Financial Statements, included in Part 2, Item 7 of this Annual Report on form 10-K for additional disclosure of our depreciation policies for lease merchandise.</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Profit. Operating profit as a percentage of segment revenues decreased to 7.2% for the year ended December 31, 2022, compared to 7.6% in 2021. Operating profit margin decreased for the year ended December 31, 2022, as compared to 2021, partially due to lower revenues described above, partially offset by decreases in cost of merchandise sold and operating expenses of $128.6 million and $71.4 million, respectively. Charge-offs in our Acima locations due to skip / stolen losses, expressed as a percentage of revenues, were approximately 10.6% in 2022 as compared to 9.6% in 2021. Other merchandise losses include unrepairable merchandise and loss/damage waiver claims. Charge-offs in our Acima locations due to other merchandise losses, expressed as a percentage of revenues, were negligible for both 2022 and 2021.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Mexico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400" w:type="dxa"/>
            <w:vAlign w:val="bottom"/>
            <w:gridSpan w:val="4"/>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2022-2021 Change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86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64,880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61,403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3,477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45,812</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43,117</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2,695</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Change in same store revenue</w:t>
            </w:r>
            <w:r>
              <w:rPr>
                <w:rFonts w:ascii="Times New Roman" w:cs="Times New Roman" w:eastAsia="Times New Roman" w:hAnsi="Times New Roman"/>
                <w:sz w:val="21"/>
                <w:szCs w:val="21"/>
                <w:color w:val="auto"/>
                <w:vertAlign w:val="superscript"/>
              </w:rPr>
              <w:t>(1)</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Stores in same store revenue calculation</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40" w:hanging="132"/>
        <w:spacing w:after="0"/>
        <w:tabs>
          <w:tab w:leader="none" w:pos="140" w:val="left"/>
        </w:tabs>
        <w:numPr>
          <w:ilvl w:val="0"/>
          <w:numId w:val="2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 xml:space="preserve">See </w:t>
      </w:r>
      <w:r>
        <w:rPr>
          <w:rFonts w:ascii="Times New Roman" w:cs="Times New Roman" w:eastAsia="Times New Roman" w:hAnsi="Times New Roman"/>
          <w:sz w:val="13"/>
          <w:szCs w:val="13"/>
          <w:i w:val="1"/>
          <w:iCs w:val="1"/>
          <w:color w:val="auto"/>
        </w:rPr>
        <w:t>Key Metrics</w:t>
      </w:r>
      <w:r>
        <w:rPr>
          <w:rFonts w:ascii="Times New Roman" w:cs="Times New Roman" w:eastAsia="Times New Roman" w:hAnsi="Times New Roman"/>
          <w:sz w:val="13"/>
          <w:szCs w:val="13"/>
          <w:color w:val="auto"/>
        </w:rPr>
        <w:t xml:space="preserve"> described above for additional information</w:t>
      </w:r>
    </w:p>
    <w:p>
      <w:pPr>
        <w:spacing w:after="0" w:line="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for 2022 were positively impacted by exchange rate fluctuations of approximately $0.3 million, as compared to 2021. On a constant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basis, revenues for the year ended December 31, 2022 increased approximately $3.1 million.</w:t>
      </w:r>
    </w:p>
    <w:p>
      <w:pPr>
        <w:spacing w:after="0" w:line="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for the year ended December 31, 2022 was positively impacted by exchange rate fluctuations of approximately $0.2 million,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2021. On a constant currency basis, gross profit for the year ended December 31, 2022 increased approximately $2.5 million. Gross profit as a percentage of segment revenues increased to 70.6% in 2022, compared to 70.2% in 2021.</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for the year ended December 31, 2022 was minimally impacted by exchange rate fluctuations compared to 2021.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constant currency basis, operating profit for the year ended December 31, 2022 decreased approximately $1.6 million, primarily due to higher other store expenses and labor costs of $2.8 million and $1.4 million, respectively, partially offset by higher revenues and gross profit described above. Operating profit as a percentage of segment revenues decreased to 9.7% in 2022, compared to 12.8% in 2021.</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Franchising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6"/>
                <w:szCs w:val="16"/>
                <w:color w:val="auto"/>
              </w:rPr>
            </w:pPr>
          </w:p>
        </w:tc>
        <w:tc>
          <w:tcPr>
            <w:tcW w:w="13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2022-2021 Change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120,328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156,110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2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(35,782)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1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29,507</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decreased for the year ended December 31, 2022, compared to 2021, primarily due to a decrease of $35.5 million in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purchases by franchisees.</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as a percentage of segment revenues increased to 23.8% in 2022 from 18.9% in 2021, primarily due to a higher percentage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royalty income and fees included in franchise revenues.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as a percentage of segment revenues increased to 15.9% in 2022 from 13.0% for 2021.</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For the year ended December 31, 2022, we generated $468.5 million in operating cash flow. We used cash in the amount of $298.8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repayments, $79.2 million for dividends, $75.1 million for share repurchases, and $61.4 million for capital expenditures, offset by cash proceeds from indebtedness of $90.0 million. We ended the year with $144.1 million of cash and cash equivalents and outstanding indebtedness of $1.4 billion.</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Analysis of Cash Flow. </w:t>
      </w:r>
      <w:r>
        <w:rPr>
          <w:rFonts w:ascii="Times New Roman" w:cs="Times New Roman" w:eastAsia="Times New Roman" w:hAnsi="Times New Roman"/>
          <w:sz w:val="18"/>
          <w:szCs w:val="18"/>
          <w:color w:val="auto"/>
        </w:rPr>
        <w:t>Cash provided by operating activities increased by $76.2 million to $468.5 million in 2022 from $392.3 million in 2021,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a decrease in inventory purchases, partially offset by a decrease of $122.6 million in net earnings both of which were driven by current macro-environment factors negatively impacting our business operational trends described further above.</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decreased to $62.3 million in 2022, compared to $1,336.0 million in 2021, primarily driven by the acquisition of Acima Holdings in February 2021.</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(used in) provided by financing activities was $(370.7) million in 2022, compared to $892.8 million in 2021, representing a change of $1.3 billion. The change was primarily due to debt proceeds of $1.8 billion received in the first quarter of 2021 used to fund the acquisition of Acima Holdings in February 2021 and pay outstanding debt at the time of the acquisition, partially offset by debt issuance costs of $47.6 million paid in the first quarter of 2021 in connection with the receipt of debt proceeds, in addition to lower debt repayments of $70.3 million for the twelve months ended December 31, 2022, compared to the same period in 2021.</w:t>
      </w:r>
    </w:p>
    <w:p>
      <w:pPr>
        <w:spacing w:after="0" w:line="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Liquidity Requirements</w:t>
      </w:r>
      <w:r>
        <w:rPr>
          <w:rFonts w:ascii="Times New Roman" w:cs="Times New Roman" w:eastAsia="Times New Roman" w:hAnsi="Times New Roman"/>
          <w:sz w:val="18"/>
          <w:szCs w:val="18"/>
          <w:color w:val="auto"/>
        </w:rPr>
        <w:t>. Our primary liquidity requirements are for rental merchandise purchases. Other capital requirements include expenditures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assets, and debt service. Our primary sources of liquidity have been cash provided by operations.</w:t>
      </w: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 our ABL Credit Facility for the issuance of letters of credit, as well as to manage normal fluctuations in operational cash flow caused by the timing of cash receipts. In that regard, we may from time to time draw funds under the ABL Credit Facility for general corporate purposes. Amounts are drawn as needed due to the timing of cash flows and are generally paid down as cash is generated by our operating activities. We believe cash flow generated from operations and availability under our ABL Credit Facility, will be sufficient to fund our operations during the next 12 months. At February 20, 2023, we had approximately $105.1 million in cash on hand, and $395.6 million available under our ABL Credit Facility.</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Deferred Taxes. </w:t>
      </w:r>
      <w:r>
        <w:rPr>
          <w:rFonts w:ascii="Times New Roman" w:cs="Times New Roman" w:eastAsia="Times New Roman" w:hAnsi="Times New Roman"/>
          <w:sz w:val="18"/>
          <w:szCs w:val="18"/>
          <w:color w:val="auto"/>
        </w:rPr>
        <w:t>Certain federal tax legislation enacted during the period 2009 to 2017 permitted bonus first-year depreciation deductions ranging from 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100% of the adjusted basis of qualified property placed in service during such years. The depreciation benefits associated with these tax acts are now reversing. The Protecting Americans from Tax Hikes Act of 2015 (“PATH”) extended the 50% bonus depreciation to 2015 and through September 26, 2017, when it was updated by the Tax Cuts and Jobs Act of 2017 (“Tax Act”). The Tax Act allows 100% bonus depreciation for certain property placed in service between September 27, 2017 and December 31, 2022, at which point it will begin to phase out. The bonus depreciation provided by the Tax Act resulted in an estimated benefit of $298 million for us in 2022. We estimate the remaining tax deferral associated with bonus depreciation from these Acts is approximately $380 million at December 31, 2022, of which approximately 80%, or $303 million, will reverse in 2023, and the majority of the remainder will reverse between 2024 and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Merchandise Losses</w:t>
      </w:r>
      <w:r>
        <w:rPr>
          <w:rFonts w:ascii="Times New Roman" w:cs="Times New Roman" w:eastAsia="Times New Roman" w:hAnsi="Times New Roman"/>
          <w:sz w:val="18"/>
          <w:szCs w:val="18"/>
          <w:color w:val="auto"/>
        </w:rPr>
        <w:t>. Merchandise losses consist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CCEEFF"/>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9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Customer stolen merchandise</w:t>
            </w:r>
            <w:r>
              <w:rPr>
                <w:rFonts w:ascii="Times New Roman" w:cs="Times New Roman" w:eastAsia="Times New Roman" w:hAnsi="Times New Roman"/>
                <w:sz w:val="21"/>
                <w:szCs w:val="21"/>
                <w:color w:val="auto"/>
                <w:vertAlign w:val="superscript"/>
              </w:rPr>
              <w:t>(1)</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336,475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298,533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174,527</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Other merchandise losses</w:t>
            </w:r>
            <w:r>
              <w:rPr>
                <w:rFonts w:ascii="Times New Roman" w:cs="Times New Roman" w:eastAsia="Times New Roman" w:hAnsi="Times New Roman"/>
                <w:sz w:val="21"/>
                <w:szCs w:val="21"/>
                <w:color w:val="auto"/>
                <w:vertAlign w:val="superscript"/>
              </w:rPr>
              <w:t>(2)</w:t>
            </w:r>
          </w:p>
        </w:tc>
        <w:tc>
          <w:tcPr>
            <w:tcW w:w="5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38,734</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33,380</w:t>
            </w: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30,660</w:t>
            </w:r>
          </w:p>
        </w:tc>
        <w:tc>
          <w:tcPr>
            <w:tcW w:w="0" w:type="dxa"/>
            <w:vAlign w:val="bottom"/>
          </w:tcPr>
          <w:p>
            <w:pPr>
              <w:spacing w:after="0"/>
              <w:rPr>
                <w:sz w:val="1"/>
                <w:szCs w:val="1"/>
                <w:color w:val="auto"/>
              </w:rPr>
            </w:pPr>
          </w:p>
        </w:tc>
      </w:tr>
      <w:tr>
        <w:trPr>
          <w:trHeight w:val="235"/>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merchandise losses</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375,209</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331,913</w:t>
            </w: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205,187</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both"/>
        <w:ind w:left="260" w:hanging="171"/>
        <w:spacing w:after="0" w:line="228" w:lineRule="auto"/>
        <w:tabs>
          <w:tab w:leader="none" w:pos="252" w:val="left"/>
        </w:tabs>
        <w:numPr>
          <w:ilvl w:val="0"/>
          <w:numId w:val="25"/>
        </w:numPr>
        <w:rPr>
          <w:rFonts w:ascii="Arial" w:cs="Arial" w:eastAsia="Arial" w:hAnsi="Arial"/>
          <w:sz w:val="16"/>
          <w:szCs w:val="16"/>
          <w:color w:val="auto"/>
          <w:vertAlign w:val="superscript"/>
        </w:rPr>
      </w:pPr>
      <w:r>
        <w:rPr>
          <w:rFonts w:ascii="Times New Roman" w:cs="Times New Roman" w:eastAsia="Times New Roman" w:hAnsi="Times New Roman"/>
          <w:sz w:val="13"/>
          <w:szCs w:val="13"/>
          <w:color w:val="auto"/>
        </w:rPr>
        <w:t>Increase in customer stolen merchandise losses for the twelve months ended December 31, 2022, compared to the corresponding period in 2021, is primarily due to increases in the US consumer price index and corresponding pressure on the discretionary income of our consumers, as described in the Results of Operations section above. In addition, the increase for the twelve months ended December 31, 2022, is also partly attributable to the timing of the acquisition of Acima Holdings on February 17, 2021, resulting in a partial period of losses for the first quarter of 2021.</w:t>
      </w:r>
    </w:p>
    <w:p>
      <w:pPr>
        <w:ind w:left="240" w:hanging="151"/>
        <w:spacing w:after="0" w:line="195" w:lineRule="auto"/>
        <w:tabs>
          <w:tab w:leader="none" w:pos="240" w:val="left"/>
        </w:tabs>
        <w:numPr>
          <w:ilvl w:val="0"/>
          <w:numId w:val="2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Other merchandise losses include unrepairable and missing merchandise, and loss/damage waiver claims.</w:t>
      </w:r>
    </w:p>
    <w:p>
      <w:pPr>
        <w:spacing w:after="0" w:line="9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Capital Expenditures</w:t>
      </w:r>
      <w:r>
        <w:rPr>
          <w:rFonts w:ascii="Times New Roman" w:cs="Times New Roman" w:eastAsia="Times New Roman" w:hAnsi="Times New Roman"/>
          <w:sz w:val="18"/>
          <w:szCs w:val="18"/>
          <w:color w:val="auto"/>
        </w:rPr>
        <w:t>. We make capital expenditures in order to maintain our existing operations, acquire new capital assets in new and acquired stores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 in information technology. We spent $61.4 million, $62.5 million and $34.5 million on capital expenditures in the years 2022, 2021 and 2020, respectively.</w:t>
      </w:r>
    </w:p>
    <w:p>
      <w:pPr>
        <w:spacing w:after="0" w:line="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Acquisitions and New Location Openings. </w:t>
      </w:r>
      <w:r>
        <w:rPr>
          <w:rFonts w:ascii="Times New Roman" w:cs="Times New Roman" w:eastAsia="Times New Roman" w:hAnsi="Times New Roman"/>
          <w:sz w:val="18"/>
          <w:szCs w:val="18"/>
          <w:color w:val="auto"/>
        </w:rPr>
        <w:t>During 2022, we acquired five rent-to-own store location and customer accounts for an aggregate purchase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approximately $1.0 million. Four of the store locations were closed upon acquisition and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into existing store operations in our Rent-A-Center Business segment and one remained open as part of our Rent-A-Center Business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summarize the location activity for the years ended December 31, 2022, 2021 and 2020.</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gridSpan w:val="9"/>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Twelve Months Ended December 31, 2022</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60" w:type="dxa"/>
            <w:vAlign w:val="bottom"/>
          </w:tcPr>
          <w:p>
            <w:pPr>
              <w:spacing w:after="0"/>
              <w:rPr>
                <w:sz w:val="11"/>
                <w:szCs w:val="11"/>
                <w:color w:val="auto"/>
              </w:rPr>
            </w:pPr>
          </w:p>
        </w:tc>
        <w:tc>
          <w:tcPr>
            <w:tcW w:w="114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Rent-A-Center</w:t>
            </w:r>
          </w:p>
        </w:tc>
        <w:tc>
          <w:tcPr>
            <w:tcW w:w="200" w:type="dxa"/>
            <w:vAlign w:val="bottom"/>
          </w:tcPr>
          <w:p>
            <w:pPr>
              <w:spacing w:after="0"/>
              <w:rPr>
                <w:sz w:val="11"/>
                <w:szCs w:val="11"/>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1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Franchising</w:t>
            </w:r>
          </w:p>
        </w:tc>
        <w:tc>
          <w:tcPr>
            <w:tcW w:w="240" w:type="dxa"/>
            <w:vAlign w:val="bottom"/>
          </w:tcPr>
          <w:p>
            <w:pPr>
              <w:spacing w:after="0"/>
              <w:rPr>
                <w:sz w:val="11"/>
                <w:szCs w:val="11"/>
                <w:color w:val="auto"/>
              </w:rPr>
            </w:pPr>
          </w:p>
        </w:tc>
        <w:tc>
          <w:tcPr>
            <w:tcW w:w="80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760" w:type="dxa"/>
            <w:vAlign w:val="bottom"/>
            <w:tcBorders>
              <w:top w:val="single" w:sz="8" w:color="CCEEFF"/>
            </w:tcBorders>
            <w:shd w:val="clear" w:color="auto" w:fill="CCEEFF"/>
          </w:tcPr>
          <w:p>
            <w:pPr>
              <w:ind w:left="20"/>
              <w:spacing w:after="0" w:line="215" w:lineRule="exact"/>
              <w:rPr>
                <w:sz w:val="20"/>
                <w:szCs w:val="20"/>
                <w:color w:val="auto"/>
              </w:rPr>
            </w:pPr>
            <w:r>
              <w:rPr>
                <w:rFonts w:ascii="Times New Roman" w:cs="Times New Roman" w:eastAsia="Times New Roman" w:hAnsi="Times New Roman"/>
                <w:sz w:val="16"/>
                <w:szCs w:val="16"/>
                <w:color w:val="auto"/>
              </w:rPr>
              <w:t>Locations at beginning of period</w:t>
            </w:r>
            <w:r>
              <w:rPr>
                <w:rFonts w:ascii="Times New Roman" w:cs="Times New Roman" w:eastAsia="Times New Roman" w:hAnsi="Times New Roman"/>
                <w:sz w:val="21"/>
                <w:szCs w:val="21"/>
                <w:color w:val="auto"/>
                <w:vertAlign w:val="superscript"/>
              </w:rPr>
              <w:t>(1)</w:t>
            </w: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New location openings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Conversions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Closed locations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Merged with existing locations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67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Sold or closed with no surviving location</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37"/>
        </w:trPr>
        <w:tc>
          <w:tcPr>
            <w:tcW w:w="6760" w:type="dxa"/>
            <w:vAlign w:val="bottom"/>
            <w:tcBorders>
              <w:top w:val="single" w:sz="8" w:color="CCEEFF"/>
              <w:bottom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Locations at end of period</w:t>
            </w:r>
            <w:r>
              <w:rPr>
                <w:rFonts w:ascii="Times New Roman" w:cs="Times New Roman" w:eastAsia="Times New Roman" w:hAnsi="Times New Roman"/>
                <w:sz w:val="21"/>
                <w:szCs w:val="21"/>
                <w:color w:val="auto"/>
                <w:vertAlign w:val="superscript"/>
              </w:rPr>
              <w:t>(1)</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Acquired locations closed and accounts merged with existing locations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Total approximate purchase price </w:t>
            </w:r>
            <w:r>
              <w:rPr>
                <w:rFonts w:ascii="Times New Roman" w:cs="Times New Roman" w:eastAsia="Times New Roman" w:hAnsi="Times New Roman"/>
                <w:sz w:val="16"/>
                <w:szCs w:val="16"/>
                <w:i w:val="1"/>
                <w:iCs w:val="1"/>
                <w:color w:val="auto"/>
              </w:rPr>
              <w:t>(in millions)</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59"/>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 xml:space="preserve"> Does not include locations in our Acima segment.</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gridSpan w:val="9"/>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Twelve Months Ended December 31, 2021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60" w:type="dxa"/>
            <w:vAlign w:val="bottom"/>
          </w:tcPr>
          <w:p>
            <w:pPr>
              <w:spacing w:after="0"/>
              <w:rPr>
                <w:sz w:val="11"/>
                <w:szCs w:val="11"/>
                <w:color w:val="auto"/>
              </w:rPr>
            </w:pPr>
          </w:p>
        </w:tc>
        <w:tc>
          <w:tcPr>
            <w:tcW w:w="114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Rent-A-Center</w:t>
            </w:r>
          </w:p>
        </w:tc>
        <w:tc>
          <w:tcPr>
            <w:tcW w:w="200" w:type="dxa"/>
            <w:vAlign w:val="bottom"/>
          </w:tcPr>
          <w:p>
            <w:pPr>
              <w:spacing w:after="0"/>
              <w:rPr>
                <w:sz w:val="11"/>
                <w:szCs w:val="11"/>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1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Franchising</w:t>
            </w:r>
          </w:p>
        </w:tc>
        <w:tc>
          <w:tcPr>
            <w:tcW w:w="240" w:type="dxa"/>
            <w:vAlign w:val="bottom"/>
          </w:tcPr>
          <w:p>
            <w:pPr>
              <w:spacing w:after="0"/>
              <w:rPr>
                <w:sz w:val="11"/>
                <w:szCs w:val="11"/>
                <w:color w:val="auto"/>
              </w:rPr>
            </w:pPr>
          </w:p>
        </w:tc>
        <w:tc>
          <w:tcPr>
            <w:tcW w:w="80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760" w:type="dxa"/>
            <w:vAlign w:val="bottom"/>
            <w:tcBorders>
              <w:top w:val="single" w:sz="8" w:color="CCEEFF"/>
            </w:tcBorders>
            <w:shd w:val="clear" w:color="auto" w:fill="CCEEFF"/>
          </w:tcPr>
          <w:p>
            <w:pPr>
              <w:ind w:left="20"/>
              <w:spacing w:after="0" w:line="215" w:lineRule="exact"/>
              <w:rPr>
                <w:sz w:val="20"/>
                <w:szCs w:val="20"/>
                <w:color w:val="auto"/>
              </w:rPr>
            </w:pPr>
            <w:r>
              <w:rPr>
                <w:rFonts w:ascii="Times New Roman" w:cs="Times New Roman" w:eastAsia="Times New Roman" w:hAnsi="Times New Roman"/>
                <w:sz w:val="16"/>
                <w:szCs w:val="16"/>
                <w:color w:val="auto"/>
              </w:rPr>
              <w:t>Locations at beginning of period</w:t>
            </w:r>
            <w:r>
              <w:rPr>
                <w:rFonts w:ascii="Times New Roman" w:cs="Times New Roman" w:eastAsia="Times New Roman" w:hAnsi="Times New Roman"/>
                <w:sz w:val="21"/>
                <w:szCs w:val="21"/>
                <w:color w:val="auto"/>
                <w:vertAlign w:val="superscript"/>
              </w:rPr>
              <w:t>(1)</w:t>
            </w: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New location openings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Conversions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Closed locations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Merged with existing locations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67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Sold or closed with no surviving location</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7"/>
        </w:trPr>
        <w:tc>
          <w:tcPr>
            <w:tcW w:w="6760" w:type="dxa"/>
            <w:vAlign w:val="bottom"/>
            <w:tcBorders>
              <w:top w:val="single" w:sz="8" w:color="CCEEFF"/>
              <w:bottom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Locations at end of period</w:t>
            </w:r>
            <w:r>
              <w:rPr>
                <w:rFonts w:ascii="Times New Roman" w:cs="Times New Roman" w:eastAsia="Times New Roman" w:hAnsi="Times New Roman"/>
                <w:sz w:val="21"/>
                <w:szCs w:val="21"/>
                <w:color w:val="auto"/>
                <w:vertAlign w:val="superscript"/>
              </w:rPr>
              <w:t>(1)</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Acquired and remains open</w:t>
            </w: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60" w:type="dxa"/>
            <w:vAlign w:val="bottom"/>
            <w:tcBorders>
              <w:top w:val="single" w:sz="8" w:color="CCEEFF"/>
            </w:tcBorders>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approximate purchase price (</w:t>
            </w:r>
            <w:r>
              <w:rPr>
                <w:rFonts w:ascii="Times New Roman" w:cs="Times New Roman" w:eastAsia="Times New Roman" w:hAnsi="Times New Roman"/>
                <w:sz w:val="16"/>
                <w:szCs w:val="16"/>
                <w:i w:val="1"/>
                <w:iCs w:val="1"/>
                <w:color w:val="auto"/>
              </w:rPr>
              <w:t>in millions</w:t>
            </w: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59"/>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 xml:space="preserve"> Does not include locations in our Acima segment.</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gridSpan w:val="9"/>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Twelve Months Ended December 31, 2020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60" w:type="dxa"/>
            <w:vAlign w:val="bottom"/>
          </w:tcPr>
          <w:p>
            <w:pPr>
              <w:spacing w:after="0"/>
              <w:rPr>
                <w:sz w:val="11"/>
                <w:szCs w:val="11"/>
                <w:color w:val="auto"/>
              </w:rPr>
            </w:pPr>
          </w:p>
        </w:tc>
        <w:tc>
          <w:tcPr>
            <w:tcW w:w="114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Rent-A-Center</w:t>
            </w:r>
          </w:p>
        </w:tc>
        <w:tc>
          <w:tcPr>
            <w:tcW w:w="200" w:type="dxa"/>
            <w:vAlign w:val="bottom"/>
          </w:tcPr>
          <w:p>
            <w:pPr>
              <w:spacing w:after="0"/>
              <w:rPr>
                <w:sz w:val="11"/>
                <w:szCs w:val="11"/>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1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Franchising</w:t>
            </w:r>
          </w:p>
        </w:tc>
        <w:tc>
          <w:tcPr>
            <w:tcW w:w="240" w:type="dxa"/>
            <w:vAlign w:val="bottom"/>
          </w:tcPr>
          <w:p>
            <w:pPr>
              <w:spacing w:after="0"/>
              <w:rPr>
                <w:sz w:val="11"/>
                <w:szCs w:val="11"/>
                <w:color w:val="auto"/>
              </w:rPr>
            </w:pPr>
          </w:p>
        </w:tc>
        <w:tc>
          <w:tcPr>
            <w:tcW w:w="80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Locations at beginning of period</w:t>
            </w:r>
            <w:r>
              <w:rPr>
                <w:rFonts w:ascii="Times New Roman" w:cs="Times New Roman" w:eastAsia="Times New Roman" w:hAnsi="Times New Roman"/>
                <w:sz w:val="21"/>
                <w:szCs w:val="21"/>
                <w:color w:val="auto"/>
                <w:vertAlign w:val="superscript"/>
              </w:rPr>
              <w:t>(1)</w:t>
            </w: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Conversions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Closed locations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Merged with existing locations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Sold or closed with no surviving location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2"/>
        </w:trPr>
        <w:tc>
          <w:tcPr>
            <w:tcW w:w="6760" w:type="dxa"/>
            <w:vAlign w:val="bottom"/>
          </w:tcPr>
          <w:p>
            <w:pPr>
              <w:ind w:left="20"/>
              <w:spacing w:after="0" w:line="213" w:lineRule="exact"/>
              <w:rPr>
                <w:sz w:val="20"/>
                <w:szCs w:val="20"/>
                <w:color w:val="auto"/>
              </w:rPr>
            </w:pPr>
            <w:r>
              <w:rPr>
                <w:rFonts w:ascii="Times New Roman" w:cs="Times New Roman" w:eastAsia="Times New Roman" w:hAnsi="Times New Roman"/>
                <w:sz w:val="16"/>
                <w:szCs w:val="16"/>
                <w:color w:val="auto"/>
              </w:rPr>
              <w:t>Locations at end of period</w:t>
            </w:r>
            <w:r>
              <w:rPr>
                <w:rFonts w:ascii="Times New Roman" w:cs="Times New Roman" w:eastAsia="Times New Roman" w:hAnsi="Times New Roman"/>
                <w:sz w:val="21"/>
                <w:szCs w:val="21"/>
                <w:color w:val="auto"/>
                <w:vertAlign w:val="superscript"/>
              </w:rPr>
              <w:t>(1)</w:t>
            </w: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2,428</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 locations closed and accounts merged with existing locations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approximate purchase price (</w:t>
            </w:r>
            <w:r>
              <w:rPr>
                <w:rFonts w:ascii="Times New Roman" w:cs="Times New Roman" w:eastAsia="Times New Roman" w:hAnsi="Times New Roman"/>
                <w:sz w:val="16"/>
                <w:szCs w:val="16"/>
                <w:i w:val="1"/>
                <w:iCs w:val="1"/>
                <w:color w:val="auto"/>
              </w:rPr>
              <w:t>in millions</w:t>
            </w:r>
            <w:r>
              <w:rPr>
                <w:rFonts w:ascii="Times New Roman" w:cs="Times New Roman" w:eastAsia="Times New Roman" w:hAnsi="Times New Roman"/>
                <w:sz w:val="16"/>
                <w:szCs w:val="16"/>
                <w:color w:val="auto"/>
              </w:rPr>
              <w:t>)</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 xml:space="preserve"> Does not include locations in our Acima segment.</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Senior Debt. </w:t>
      </w:r>
      <w:r>
        <w:rPr>
          <w:rFonts w:ascii="Times New Roman" w:cs="Times New Roman" w:eastAsia="Times New Roman" w:hAnsi="Times New Roman"/>
          <w:sz w:val="18"/>
          <w:szCs w:val="18"/>
          <w:color w:val="auto"/>
        </w:rPr>
        <w:t>On February 17, 2021, we entered into a credit agreement with JPMorgan Chase Bank, N.A., as administrative agent, and lenders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thereto, that provides for a five-year asset-based revolving credit facility with commitments of $550 million and a letter of credit sublimit of $150 million, which commitments may be increased, at our option and under certain conditions, by up to an additional $125 million in the aggregate (as amended on August 10, 2022, the “ABL Credit Facility”). Under the ABL Credit Facility, we may borrow only up to the lesser of the level of the then-current borrowing base and the aggregate amount of commitments under the ABL Credit Facility. The borrowing base is tied to the amount of eligible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installment sales accounts, inventory and eligible rental contracts, reduced by certain reserves. The ABL Credit Facility bears interest at a fluctuating rate determined by reference to Term SOFR plus an applicable margin of 1.50% to 2.00%, which, as of February 20, 2023, was 6.818%. A commitment fee equal to 0.250% to 0.375% of the unused portion of the ABL Credit Facility fluctuates dependent upon average utilization for the prior month as defined by a pricing grid included in the documentation governing the ABL Credit Facility. Loans under the ABL Credit Facility may be borrowed, repaid and re-borrowed until February 17, 2026, at which time all amounts borrowed must be repaid.</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obligations under the ABL Credit Facility are guaranteed by us and certain of our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17, 2021, we also entered into a term loan credit agreement with JPMorgan Chase Bank, N.A., as administrative agent, and lenders party thereto, that provides for a seven-year $875 million senior secured term loan facility (as amended on September 21, 2021, the “Term Loan Facility”). Subject in each case to certain restrictions and conditions, we may add up to $500 million of incremental term loan facilities to the Term Loan Facility or utilize incremental capacity under the Term Loan Facility at any time by issuing or incurring incremental equivalent term debt. Interest on borrowings under the Term Loan Facility is payable at a fluctuating rate of interest determined by reference to the eurodollar rate plus an applicable margin of 3.25%, subject to a 0.50% LIBOR floor. Borrowings under the Term Loan Facility amortize in equal quarterly installments in an amount equal to 1.000% per annum of the original aggregate principal amount thereof, with the remaining balance due at final maturity. The Term Loan Facility is secured by a first-priority security interest in substantially all of present and future tangible and intangible personal property of us and our subsidiary guarantors, other than the ABL Priority Collateral, and by a second-priority security interest in the ABL Priority Collateral, subject to certain exceptions. The obligations under the Term Loan Facility are guaranteed by us and our material wholly-owned domestic restricted subsidiaries that also guarantee the ABL Credit Facility.</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Loan Facility was fully drawn at the closing of the Acima Holdings acquisition to fund a portion of the Aggregate Cash Consideration, repay our outstanding indebtedness under the previous term loan facility, repay all outstanding indebtedness of Acima and its subsidiaries and pay certain fees and expenses incurred in connection with the Acima Holdings acquisition.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February 20, 2023, we had outstanding borrowings of $859.7 million under the Term Loan Facility and available commitments of $395.6 million under our ABL Credit Facility, net of letters of credit.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K of our consolidated financial statements included in this report for additional information regarding our senior debt.</w:t>
      </w:r>
    </w:p>
    <w:p>
      <w:pPr>
        <w:spacing w:after="0" w:line="1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Senior Notes</w:t>
      </w:r>
      <w:r>
        <w:rPr>
          <w:rFonts w:ascii="Times New Roman" w:cs="Times New Roman" w:eastAsia="Times New Roman" w:hAnsi="Times New Roman"/>
          <w:sz w:val="18"/>
          <w:szCs w:val="18"/>
          <w:color w:val="auto"/>
        </w:rPr>
        <w:t>. On February 17, 2021, we issued $450.0 million in senior unsecured notes due February 15, 2029, at par value, bearing interest at 6.375%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“Notes”), the proceeds of which were used to fund a portion of the Aggregate Cash Consideration upon closing of the Acima Holdings acquisition. Interest on the Notes is payable in arrears on February 15 and August 15 of each year, beginning on August 15, 2021. We may redeem some or all of the Notes at any time on or after February 15, 2024 for cash at the redemption prices set forth in the indenture governing the Notes, plus accrued and unpaid interest to, but not including, the redemption date. Prior to February 15, 2024, we may redeem up to 40% of the aggregate principal amount of the Notes with the proceeds of certain equity offerings at a redemption price of 106.375% plus accrued and unpaid interest to, but not including, the redemption date. In addition, we may redeem some or all of the Notes prior to February 15, 2024, at a redemption price of 100% of the principal amount of the Notes plus accrued and unpaid interest to, but not including, the redemption date, plus a “make-whole” premium. If we experience specific kinds of change of control, we will be required to offer to purchase the Notes at a price equal to 101% of the principal amount thereof plus accrued and unpaid interest. See Note L of our consolidated financial statements included in this report for additional information regarding our senior notes.</w:t>
      </w:r>
    </w:p>
    <w:p>
      <w:pPr>
        <w:spacing w:after="0" w:line="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Operating Leases</w:t>
      </w:r>
      <w:r>
        <w:rPr>
          <w:rFonts w:ascii="Times New Roman" w:cs="Times New Roman" w:eastAsia="Times New Roman" w:hAnsi="Times New Roman"/>
          <w:sz w:val="18"/>
          <w:szCs w:val="18"/>
          <w:color w:val="auto"/>
        </w:rPr>
        <w:t>. We lease space for all of our Rent-A-Center Business and Mexico stores under operating leases expiring at various times through 2032.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addition we lease space for certain support facilities under operating leases expiring at various times through 2032. Most of our store leases are five year leases and contain renewal options for additional periods ranging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three to five years at rental rates adjusted according to agreed-upon formulas. As of December 31, 2022, our total remaining obligation for existing store lease contracts was approximately $349.0 million.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lease vehicles for all of our Rent-A-Center Business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Consolidated Balance Sheets. As of December 31, 2022, our total remaining minimum obligation for existing Rent-A-Center Business vehicle lease contracts was approximately $1.2 million.</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lease vehicles for all of our Mexico stores which have terms expiring at various times through 2026 with rental rates adjusted periodically for inflation. As of December 31, 2022, our total remaining obligation for existing Mexico vehicle lease contracts was approximately $2.7 million.</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Reference Note G of our consolidated financial statements included in this Annual Report on form 10-K for additional discussion of our store operating leases.</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Uncertain Tax Position. </w:t>
      </w:r>
      <w:r>
        <w:rPr>
          <w:rFonts w:ascii="Times New Roman" w:cs="Times New Roman" w:eastAsia="Times New Roman" w:hAnsi="Times New Roman"/>
          <w:sz w:val="18"/>
          <w:szCs w:val="18"/>
          <w:color w:val="auto"/>
        </w:rPr>
        <w:t>As of December 31, 2022, we have recorded $5.1 million in uncertain tax positions. Although these positions represent a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cash liability to the Company, the amounts and timing of such payments are uncertain. Because of the uncertainty of the amounts to be ultimately paid as well as the timing of such payments, uncertain tax positions are not reflected in the contractual obligations table.</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Our revenue mix is moderately seasonal, with the first quarter of each fiscal year generally providing higher merchandise sales than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during a fiscal year. Generally, our customers will more frequently exercise the early purchase option on their existing lease purchase agreements or purchase pre-leased merchandise off the showroom floor during the first quarter of each fiscal year, primarily due to the receipt of federal income tax refunds.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Uncertainties or Assessments in Our Financial Statements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accounting principles generally accepted in the United States of America requires us to make estimates and assumptions that affect the reported amounts of assets and liabilities, disclosure of contingent losses and liabilities at the date of the consolidated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Because of the use of estimates inherent in the financial reporting process, actual results could differ from those estimates. We believe the following are areas where the degree of judgment and complexity in determining amounts recorded in our consolidated financial statements make the accounting policies critical.</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make changes to our reserves in accordance with the policies described below, our earnings would be impacted. Increases to our reserves would reduce earnings and, similarly, reductions to our reserves would increase our earnings. A pre-tax change of approximately $2.9 million in our estimates would result in a corresponding $0.01 change in our diluted earnings per common share as of December 31, 2022.</w:t>
      </w:r>
    </w:p>
    <w:p>
      <w:pPr>
        <w:spacing w:after="0" w:line="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Self-Insurance Liabilities. </w:t>
      </w:r>
      <w:r>
        <w:rPr>
          <w:rFonts w:ascii="Times New Roman" w:cs="Times New Roman" w:eastAsia="Times New Roman" w:hAnsi="Times New Roman"/>
          <w:sz w:val="18"/>
          <w:szCs w:val="18"/>
          <w:color w:val="auto"/>
        </w:rPr>
        <w:t>We have self-insured retentions with respect to losses under our workers' compensation, general liability, vehicle liability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insurance programs. We establish reserves for our liabilities associated with these losses by obtaining forecasts for the ultimate expected losses and estimating amounts needed to pay losses within our self-insured retentions.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continually institute procedures to manage our loss exposure and increases in health care costs associated with our insurance claims through our risk management function, including a transitional duty program for injured workers, ongoing safety and accident prevention training, and various other programs designed to minimize losses and improve our loss experience in our store locations. We make assumptions on our liabilities within our self-insured retentions using actuarial loss forecasts, company-specific development factors, general industry loss development factors, and third-party claim administrator loss estimates which are based on known facts surrounding individual claims. These assumptions incorporate expected increases in health care costs. Periodically, we reevaluate our estimate of liability within our self-insured retentions. At that time, we evaluate the adequacy of our reserves by comparing amounts reserved on our balance sheet for anticipated losses to our updated actuarial loss forecasts and third-party claim administrator loss estimates, and make adjustments to our reserves as needed.</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the amount reserved for losses within our self-insured retentions with respect to workers’ compensation, general liability and vehicle liability insurance was $81.2 million, as compared to $82.6 million at December 31, 2021. However, if any of the factors that contribute to the overall cost of insurance claims were to change, the actual amount incurred for our self-insurance liabilities could be more or less than the amounts currently reserved.</w:t>
      </w:r>
    </w:p>
    <w:p>
      <w:pPr>
        <w:spacing w:after="0" w:line="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Rental Merchandise. </w:t>
      </w:r>
      <w:r>
        <w:rPr>
          <w:rFonts w:ascii="Times New Roman" w:cs="Times New Roman" w:eastAsia="Times New Roman" w:hAnsi="Times New Roman"/>
          <w:sz w:val="18"/>
          <w:szCs w:val="18"/>
          <w:color w:val="auto"/>
        </w:rPr>
        <w:t>Rental merchandise is carried at cost, net of accumulated depreciation. Depreciation for merchandise in Rent-A-Center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staffed Acima locations and Mexico stores is depreciated using the income forecasting method, which is intended to match as closely as practicable the recognition of depreciation expense with the consumption of the rental merchandise, and assumes no salvage value. The consumption of rental merchandise occurs during periods of rental and directly coincides with the receipt of rental revenue over the rental purchase agreement period. Under the income forecasting method, merchandise held for rent is not depreciated and merchandise on rent is depreciated in the proportion of rents received to total rents provided in the rental contract, which is an activity-based method similar to the units of production method. Depreciation of merchandise for Acima Holdings, which we acquired in February 2021, is recognized using a straight-line method over the term of the lease contract. Depreciation under the straight-line method is recognized each period over the term of the lease-to-own contract irrespective of receipt of revenue payments from the customer. In addition, merchandise that is held for rent for at least 180 consecutive days is depreciated using the straight-line method over a period generally not to exceed 18 months, and smartphones are also depreciated on a straight-line basis over an 18-month period beginning with the earlier of on rent or 90 consecutive days held for rent.</w:t>
      </w:r>
    </w:p>
    <w:p>
      <w:pPr>
        <w:spacing w:after="0" w:line="8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Rental merchandise that is damaged and inoperable is expensed when such impairment occurs. If a customer does not return the merchandise or make payment, the remaining book value of the rental merchandise associated with delinquent accounts is generally charged off on or before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time the account became past due in the Rent-A-Center Business and Mexico segments, and during the month following the 120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in our Acima virtual business and 150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in our Acima staffed locations. Minor repairs made to rental merchandise are expensed at the time of the repair. In addition, we maintain a reserve for these expected losses, which estimates the merchandise losses incurred but not yet identified by management as of the end of the accounting period based on a combination of historical write-offs and expected future losses. As of December 31, 2022 and 2021, the reserve for merchandise losses was $93.6 million and $98.2 million, respectively.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9" w:name="page50"/>
    <w:bookmarkEnd w:id="49"/>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Receivables and Allowance for Doubtful Accounts. </w:t>
      </w:r>
      <w:r>
        <w:rPr>
          <w:rFonts w:ascii="Times New Roman" w:cs="Times New Roman" w:eastAsia="Times New Roman" w:hAnsi="Times New Roman"/>
          <w:sz w:val="18"/>
          <w:szCs w:val="18"/>
          <w:color w:val="auto"/>
        </w:rPr>
        <w:t>The installment notes receivable associated with the sale of merchandise at our Get It Now and Home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Choice stores generally consists of the sales price of the merchandise purchased and any additional fees for services the customer has chosen, less the customer’s down payment. No interest is accrued and interest income is recognized each time a customer makes a payment, generally on a monthly basis.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an allowance for doubtful accounts for our installment notes receivable. Our policy for determining the allowance is based on historical loss experience, as well as the results of management’s review and analysis of the payment and collection of the installment notes receivable within the previous year. We believe our allowance is adequate to absorb any known or probable losses. Our policy is to charge off installment notes receivable that are 120 days or more past due. Charge-offs are applied as a reduction to the allowance for doubtful accounts and any recoveries of previously charged off balances are applied as an increase to the allowance for doubtful accounts.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trade and notes receivables consist primarily of amounts due from our lease-to-own customers for renewal and uncollected rental payments, adjusted for the probability of collection based on our assessment of historical collection rates; amounts owed from our franchisees for inventory purchases, earned royalties and other obligations; and other corporate-related receivables. The majority of our Franchising trade and notes receivables relate to amounts due from franchisees for inventory purchases, earned royalties and other obligations. Credit is extended based on an evaluation of a franchisee’s financial condition and collateral is generally not required. Trade receivables are generally due within 30 days and are reported as amounts due from franchisees, net of an allowance for doubtful accounts. Accounts that are outstanding longer than the contractual payment terms are considered past due. Franchising determines its allowance by considering a number of factors, including the length of time receivables are past due, previous loss history, the franchisee’s current ability to pay its obligation, and the condition of the general economy and the industry as a whole. Franchising writes off trade receivables that are 90 or more days past due and payments subsequently received on such receivables are credited to the allowance for doubtful accounts.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Our annual tax rate is affected by many factors, including the mix of our earnings, legislation and acquisitions, and is based on our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statutory tax rates and tax planning opportunities available to us in the jurisdictions in which we operate. Tax laws are complex and subject to differing interpretations between the taxpayer and the taxing authorities. Significant judgment is required in determining our tax expense, evaluating our tax positions and evaluating uncertainties. Deferred income tax assets represent amounts available to reduce income taxes payable in future years. Such assets arise because of temporary differences between the financial reporting and tax bases of assets and liabilities, as well as from net operating loss and tax credit carryforwards. We evaluate the recoverability of these future tax deductions and credits by assessing the future expected taxable income from all sources, including reversal of taxable temporary differences, forecasted operating earnings and available tax planning strategies. These sources of income rely heavily on estimates. We use our historical experience and our short- and long-range business forecasts to provide insight and assist us in determining recoverability. We recognize the financial statement benefit of a tax position only after determining that the relevant tax authority would more likely than not sustain the position following an audit. For tax positions meeting the more-likely-than not threshold, the amount recognized in the financial statements is the largest benefit that has a greater than 50 percent likelihood of being realized upon the ultimate settlement with the relevant tax authority. A number of years may elapse before a particular matter, for which we have recorded a liability, is audited and effectively settled. We review our tax positions quarterly and adjust our liability for unrecognized tax benefits in the period in which we determine the issue is effectively settled with the tax authorities, the statute of limitations expires for the relevant taxing authority to examine the tax position, or when more information becomes available.</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Valuation of Goodwill. </w:t>
      </w:r>
      <w:r>
        <w:rPr>
          <w:rFonts w:ascii="Times New Roman" w:cs="Times New Roman" w:eastAsia="Times New Roman" w:hAnsi="Times New Roman"/>
          <w:sz w:val="18"/>
          <w:szCs w:val="18"/>
          <w:color w:val="auto"/>
        </w:rPr>
        <w:t>We perform an assessment of goodwill for impairment at the reporting unit level annually on October 1, or between annual tests,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event occurs or circumstances change that would more likely than not reduce the fair value of a reporting unit below its carrying amount. Factors which could necessitate an interim impairment assessment include, but are not limited to, a sustained decline in our market capitalization, prolonged negative industry or economic trends and significant underperformance relative to historical or projected future operating results.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our assessment, if the fair value of the reporting unit exceeds its carrying value, then the goodwill is not deemed impaired. If the carrying value of the reporting unit exceeds fair value, goodwill is deemed impaired and the impairment is measured as the difference between the carrying value and the fair value of the respective reporting unit. As an alternative to performing a quantitative assessment to measure the fair value of the relevant unit, we may perform a qualitative assessment for impairment if we believe it is not more likely than not that the carrying value of the net assets of the reporting unit exceeds its fair value.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reporting units are our reportable operating segments identified in Note T to the consolidated financial statements. Determining the fair value of a reporting unit is judgmental in nature and involves the use of significant estimates and assumptions that we believe are reasonable but inherently uncertain, and actual results may differ from those estimates. These estimates and assumptions include, but are not limited to, future cash flows based on revenue growth rates and operating margins, and future economic and market conditions approximated by a discount rate derived from our weighted average cost of capital. Factors that could affect our ability to achieve the expected growth rates or operating margins include, but are not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50" w:name="page51"/>
    <w:bookmarkEnd w:id="50"/>
    <w:p>
      <w:pPr>
        <w:jc w:val="both"/>
        <w:spacing w:after="0" w:line="266" w:lineRule="auto"/>
        <w:rPr>
          <w:sz w:val="20"/>
          <w:szCs w:val="20"/>
          <w:color w:val="auto"/>
        </w:rPr>
      </w:pPr>
      <w:r>
        <w:rPr>
          <w:rFonts w:ascii="Times New Roman" w:cs="Times New Roman" w:eastAsia="Times New Roman" w:hAnsi="Times New Roman"/>
          <w:sz w:val="18"/>
          <w:szCs w:val="18"/>
          <w:color w:val="auto"/>
        </w:rPr>
        <w:t>limited to, the general strength of the economy and other economic conditions that affect consumer preferences and spending and factors that affect the disposable income of our current and potential customers. Factors that could affect our weighted average cost of capital include changes in interest rates and changes in our effective tax rate.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period from our 2021 goodwill impairment assessment through the third quarter 2022, we periodically analyzed whether any indicators of impairment had occurred, including by comparing the estimated fair value of the Company, as determined based on our consolidated stock price, to its net book value. As the estimated fair value of the Company was higher than its net book value during each of these periods, no additional testing was deemed necessary.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completed a quantitative analysis as of October 1, 2022, concluding the estimated fair values of our reporting units exceeded their respective carrying values, and the related goodwill balances were not impaired. Please reference Note H in the Notes to our Consolidated Financial Statements for additional discussion of our 2022 impairment analysis and conclusions.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2022 and 2021, the amount of goodwill allocated to the Rent-A-Center Business segment was $1.5 million. At December 31, 2022 and 2021, the amount of goodwill allocated to the Acima segment was $288.3 million.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an assessment of our accounting policies and the underlying judgments and uncertainties affecting the application of those policies, we believe our consolidated financial statements fairly present in all material respects the financial condition, results of operations and cash flows of our company as of, and for, the periods presented in this Annual Report on Form 10-K. However, we do not suggest that other general risk factors, such as those discussed elsewhere in this report as well as changes in our growth objectives or performance of new or acquired locations, could not adversely impact our consolidated financial position, results of operations and cash flows in future periods.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 setting bodies that we adopt as of the specified effective date. Unless otherwise discussed, we believe the impact of any other recently issued standards that are not yet effective are either not applicable to us at this time or will not have a material impact on our consolidated financial statements upon adoption.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1" w:name="page52"/>
    <w:bookmarkEnd w:id="5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we had $450 million in Notes outstanding at a fixed interest rate of 6.375%. We also had $859.7 million outstanding under the Term Loan Facility at interest rates indexed to the Eurodollar rate or the prime rate and $90.0 million outstanding under our ABL Credit Facility at interest rates indexed to Term SOFR. Carrying value approximates fair value for such indebtedness.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 risk is the potential change in an instrument’s value caused by fluctuations in interest rates. Our primary market risk exposure is fluctuations in interest rates. Monitoring and managing this risk is a continual process carried out by our senior management. We manage our market risk based on an ongoing assessment of trends in interest rates and economic developments, giving consideration to possible effects on both total return and reported earnings. As a result of such assessment, we may enter into swap contracts or other interest rate protection agreements from time to time to mitigate this risk.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outstanding debt with variable interest rates indexed to prime, Eurodollar rate, or Term SOFR that exposes us to the risk of increased interest costs if interest rates rise. As of December 31, 2022, we have not entered into any interest rate swap agreements. Based on our overall interest rate exposure at December 31, 2022, a hypothetical 1.0% increase or decrease in market interest rates would have the effect of causing an additional $9.6 million additional annualized pre-tax charge or credit to our consolidated statement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 from foreign exchange rate fluctuations of the Mexican peso to the U.S. dollar as the financial position and operating results of our stores in Mexico are translated into U.S. dollars for consolidation. Resulting translation adjustments are recorded as a separate component of stockholders’ equity.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7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3"/>
        </w:trPr>
        <w:tc>
          <w:tcPr>
            <w:tcW w:w="10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02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29"/>
        </w:trPr>
        <w:tc>
          <w:tcPr>
            <w:tcW w:w="10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Management's Annual Report on Internal Control over Financial Reporting</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29"/>
        </w:trPr>
        <w:tc>
          <w:tcPr>
            <w:tcW w:w="10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29"/>
        </w:trPr>
        <w:tc>
          <w:tcPr>
            <w:tcW w:w="10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229"/>
        </w:trPr>
        <w:tc>
          <w:tcPr>
            <w:tcW w:w="10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230"/>
        </w:trPr>
        <w:tc>
          <w:tcPr>
            <w:tcW w:w="10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r>
        <w:trPr>
          <w:trHeight w:val="229"/>
        </w:trPr>
        <w:tc>
          <w:tcPr>
            <w:tcW w:w="10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0" w:type="dxa"/>
            <w:vAlign w:val="bottom"/>
          </w:tcPr>
          <w:p>
            <w:pPr>
              <w:spacing w:after="0"/>
              <w:rPr>
                <w:sz w:val="1"/>
                <w:szCs w:val="1"/>
                <w:color w:val="auto"/>
              </w:rPr>
            </w:pPr>
          </w:p>
        </w:tc>
      </w:tr>
      <w:tr>
        <w:trPr>
          <w:trHeight w:val="230"/>
        </w:trPr>
        <w:tc>
          <w:tcPr>
            <w:tcW w:w="10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ind w:right="3140" w:firstLine="3132"/>
        <w:spacing w:after="0" w:line="37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Upbound Group,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Upbound Group, Inc. and subsidiaries (the Company) as of December 31, 2022 and 2021, the related consolidated statements of operations, comprehensive income</w:t>
      </w:r>
      <w:r>
        <w:rPr>
          <w:rFonts w:ascii="Arial" w:cs="Arial" w:eastAsia="Arial" w:hAnsi="Arial"/>
          <w:sz w:val="18"/>
          <w:szCs w:val="18"/>
          <w:b w:val="1"/>
          <w:bCs w:val="1"/>
          <w:color w:val="auto"/>
        </w:rPr>
        <w:t>,</w:t>
      </w:r>
      <w:r>
        <w:rPr>
          <w:rFonts w:ascii="Arial" w:cs="Arial" w:eastAsia="Arial" w:hAnsi="Arial"/>
          <w:sz w:val="18"/>
          <w:szCs w:val="18"/>
          <w:color w:val="auto"/>
        </w:rPr>
        <w:t xml:space="preserve">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then ended in conformity with U.S. generally accepted accounting principles.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24, 2023 expressed an unqualified opinion thereon.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color w:val="auto"/>
        </w:rPr>
        <w:t>Merchandise Loss Reserve</w:t>
      </w:r>
    </w:p>
    <w:p>
      <w:pPr>
        <w:sectPr>
          <w:pgSz w:w="11900" w:h="16838" w:orient="portrait"/>
          <w:cols w:equalWidth="0" w:num="1">
            <w:col w:w="11220"/>
          </w:cols>
          <w:pgMar w:left="320" w:top="1403" w:right="359" w:bottom="1440" w:gutter="0" w:footer="0" w:header="0"/>
        </w:sectPr>
      </w:pP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Note A to the consolidated financial statements, the Company maintains a $93.6 million</w:t>
      </w:r>
    </w:p>
    <w:p>
      <w:pPr>
        <w:spacing w:after="0" w:line="28" w:lineRule="exact"/>
        <w:rPr>
          <w:sz w:val="20"/>
          <w:szCs w:val="20"/>
          <w:color w:val="auto"/>
        </w:rPr>
      </w:pPr>
    </w:p>
    <w:p>
      <w:pPr>
        <w:sectPr>
          <w:pgSz w:w="11900" w:h="16838" w:orient="portrait"/>
          <w:cols w:equalWidth="0" w:num="2">
            <w:col w:w="1860" w:space="700"/>
            <w:col w:w="8660"/>
          </w:cols>
          <w:pgMar w:left="320" w:top="1403" w:right="359" w:bottom="1440" w:gutter="0" w:footer="0" w:header="0"/>
          <w:type w:val="continuous"/>
        </w:sectPr>
      </w:pPr>
    </w:p>
    <w:p>
      <w:pPr>
        <w:jc w:val="both"/>
        <w:ind w:left="2560"/>
        <w:spacing w:after="0" w:line="224" w:lineRule="auto"/>
        <w:rPr>
          <w:sz w:val="20"/>
          <w:szCs w:val="20"/>
          <w:color w:val="auto"/>
        </w:rPr>
      </w:pPr>
      <w:r>
        <w:rPr>
          <w:rFonts w:ascii="Arial" w:cs="Arial" w:eastAsia="Arial" w:hAnsi="Arial"/>
          <w:sz w:val="18"/>
          <w:szCs w:val="18"/>
          <w:color w:val="auto"/>
        </w:rPr>
        <w:t>reserve for expected merchandise losses from unreturned merchandise related to delinquent rental agreements. The Company estimates this reserve based on a combination of historical write-offs and expected future losses.</w:t>
      </w:r>
    </w:p>
    <w:p>
      <w:pPr>
        <w:spacing w:after="0" w:line="100" w:lineRule="exact"/>
        <w:rPr>
          <w:sz w:val="20"/>
          <w:szCs w:val="20"/>
          <w:color w:val="auto"/>
        </w:rPr>
      </w:pPr>
    </w:p>
    <w:p>
      <w:pPr>
        <w:ind w:left="2560"/>
        <w:spacing w:after="0" w:line="237" w:lineRule="auto"/>
        <w:rPr>
          <w:sz w:val="20"/>
          <w:szCs w:val="20"/>
          <w:color w:val="auto"/>
        </w:rPr>
      </w:pPr>
      <w:r>
        <w:rPr>
          <w:rFonts w:ascii="Arial" w:cs="Arial" w:eastAsia="Arial" w:hAnsi="Arial"/>
          <w:sz w:val="18"/>
          <w:szCs w:val="18"/>
          <w:color w:val="auto"/>
        </w:rPr>
        <w:t>Auditing the Company’s merchandise loss reserve was complex due to the level of uncertainty associated with management’s assumptions used to estimate the reserve. In particular, management was required to</w:t>
      </w:r>
    </w:p>
    <w:p>
      <w:pPr>
        <w:spacing w:after="0" w:line="1" w:lineRule="exact"/>
        <w:rPr>
          <w:sz w:val="20"/>
          <w:szCs w:val="20"/>
          <w:color w:val="auto"/>
        </w:rPr>
      </w:pPr>
    </w:p>
    <w:p>
      <w:pPr>
        <w:jc w:val="both"/>
        <w:ind w:left="2560"/>
        <w:spacing w:after="0" w:line="228" w:lineRule="auto"/>
        <w:rPr>
          <w:sz w:val="20"/>
          <w:szCs w:val="20"/>
          <w:color w:val="auto"/>
        </w:rPr>
      </w:pPr>
      <w:r>
        <w:rPr>
          <w:rFonts w:ascii="Arial" w:cs="Arial" w:eastAsia="Arial" w:hAnsi="Arial"/>
          <w:sz w:val="18"/>
          <w:szCs w:val="18"/>
          <w:color w:val="auto"/>
        </w:rPr>
        <w:t>estimate the amount of merchandise not expected to be returned related to delinquent accounts. The Company estimates expected losses from delinquent accounts based on historical write-off experience, including the number of days the account is past due and expectations about future losses from delinquent accounts at the end of the year.</w:t>
      </w:r>
    </w:p>
    <w:p>
      <w:pPr>
        <w:sectPr>
          <w:pgSz w:w="11900" w:h="16838" w:orient="portrait"/>
          <w:cols w:equalWidth="0" w:num="1">
            <w:col w:w="11220"/>
          </w:cols>
          <w:pgMar w:left="320" w:top="1403" w:right="359" w:bottom="1440" w:gutter="0" w:footer="0" w:header="0"/>
          <w:type w:val="continuous"/>
        </w:sectPr>
      </w:pPr>
    </w:p>
    <w:p>
      <w:pPr>
        <w:spacing w:after="0" w:line="125" w:lineRule="exact"/>
        <w:rPr>
          <w:sz w:val="20"/>
          <w:szCs w:val="20"/>
          <w:color w:val="auto"/>
        </w:rPr>
      </w:pPr>
    </w:p>
    <w:p>
      <w:pPr>
        <w:ind w:left="20"/>
        <w:spacing w:after="0"/>
        <w:tabs>
          <w:tab w:leader="none" w:pos="2540" w:val="left"/>
        </w:tabs>
        <w:rPr>
          <w:sz w:val="20"/>
          <w:szCs w:val="20"/>
          <w:color w:val="auto"/>
        </w:rPr>
      </w:pPr>
      <w:r>
        <w:rPr>
          <w:rFonts w:ascii="Times New Roman" w:cs="Times New Roman" w:eastAsia="Times New Roman" w:hAnsi="Times New Roman"/>
          <w:sz w:val="18"/>
          <w:szCs w:val="18"/>
          <w:i w:val="1"/>
          <w:iCs w:val="1"/>
          <w:color w:val="auto"/>
        </w:rPr>
        <w:t>How We Addressed the Matter in</w:t>
      </w:r>
      <w:r>
        <w:rPr>
          <w:sz w:val="20"/>
          <w:szCs w:val="20"/>
          <w:color w:val="auto"/>
        </w:rPr>
        <w:tab/>
      </w:r>
      <w:r>
        <w:rPr>
          <w:rFonts w:ascii="Arial" w:cs="Arial" w:eastAsia="Arial" w:hAnsi="Arial"/>
          <w:sz w:val="18"/>
          <w:szCs w:val="18"/>
          <w:color w:val="auto"/>
        </w:rPr>
        <w:t>We obtained an understanding, evaluated the design, and tested the operating effectiveness of controls over</w:t>
      </w:r>
    </w:p>
    <w:p>
      <w:pPr>
        <w:sectPr>
          <w:pgSz w:w="11900" w:h="16838" w:orient="portrait"/>
          <w:cols w:equalWidth="0" w:num="1">
            <w:col w:w="11220"/>
          </w:cols>
          <w:pgMar w:left="320" w:top="1403" w:right="359" w:bottom="1440" w:gutter="0" w:footer="0" w:header="0"/>
          <w:type w:val="continuous"/>
        </w:sectPr>
      </w:pPr>
    </w:p>
    <w:p>
      <w:pPr>
        <w:ind w:left="20"/>
        <w:spacing w:after="0" w:line="237" w:lineRule="auto"/>
        <w:rPr>
          <w:sz w:val="20"/>
          <w:szCs w:val="20"/>
          <w:color w:val="auto"/>
        </w:rPr>
      </w:pPr>
      <w:r>
        <w:rPr>
          <w:rFonts w:ascii="Times New Roman" w:cs="Times New Roman" w:eastAsia="Times New Roman" w:hAnsi="Times New Roman"/>
          <w:sz w:val="18"/>
          <w:szCs w:val="18"/>
          <w:i w:val="1"/>
          <w:iCs w:val="1"/>
          <w:color w:val="auto"/>
        </w:rPr>
        <w:t>Our Audit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Company’s process to determine the valuation of the merchandise loss reserve. This included testing controls over the Company’s review of the significant inputs underlying the reserve estimate, which include</w:t>
      </w:r>
    </w:p>
    <w:p>
      <w:pPr>
        <w:spacing w:after="0" w:line="1" w:lineRule="exact"/>
        <w:rPr>
          <w:sz w:val="20"/>
          <w:szCs w:val="20"/>
          <w:color w:val="auto"/>
        </w:rPr>
      </w:pPr>
    </w:p>
    <w:p>
      <w:pPr>
        <w:sectPr>
          <w:pgSz w:w="11900" w:h="16838" w:orient="portrait"/>
          <w:cols w:equalWidth="0" w:num="2">
            <w:col w:w="1840" w:space="720"/>
            <w:col w:w="8660"/>
          </w:cols>
          <w:pgMar w:left="320" w:top="1403" w:right="359" w:bottom="1440" w:gutter="0" w:footer="0" w:header="0"/>
          <w:type w:val="continuous"/>
        </w:sectPr>
      </w:pPr>
    </w:p>
    <w:p>
      <w:pPr>
        <w:ind w:left="2560"/>
        <w:spacing w:after="0" w:line="235" w:lineRule="auto"/>
        <w:rPr>
          <w:sz w:val="20"/>
          <w:szCs w:val="20"/>
          <w:color w:val="auto"/>
        </w:rPr>
      </w:pPr>
      <w:r>
        <w:rPr>
          <w:rFonts w:ascii="Arial" w:cs="Arial" w:eastAsia="Arial" w:hAnsi="Arial"/>
          <w:sz w:val="18"/>
          <w:szCs w:val="18"/>
          <w:color w:val="auto"/>
        </w:rPr>
        <w:t>those mentioned above.</w:t>
      </w:r>
    </w:p>
    <w:p>
      <w:pPr>
        <w:spacing w:after="0" w:line="4" w:lineRule="exact"/>
        <w:rPr>
          <w:sz w:val="20"/>
          <w:szCs w:val="20"/>
          <w:color w:val="auto"/>
        </w:rPr>
      </w:pPr>
    </w:p>
    <w:p>
      <w:pPr>
        <w:jc w:val="both"/>
        <w:ind w:left="2560"/>
        <w:spacing w:after="0" w:line="231" w:lineRule="auto"/>
        <w:rPr>
          <w:sz w:val="20"/>
          <w:szCs w:val="20"/>
          <w:color w:val="auto"/>
        </w:rPr>
      </w:pPr>
      <w:r>
        <w:rPr>
          <w:rFonts w:ascii="Arial" w:cs="Arial" w:eastAsia="Arial" w:hAnsi="Arial"/>
          <w:sz w:val="18"/>
          <w:szCs w:val="18"/>
          <w:color w:val="auto"/>
        </w:rPr>
        <w:t>To test the adequacy of the Company’s merchandise loss reserve, we performed substantive audit procedures that included, among others, testing the accuracy and completeness of the underlying data used in the reserve calculations and evaluating the Company’s methodology for estimating future losses. We</w:t>
      </w:r>
    </w:p>
    <w:p>
      <w:pPr>
        <w:spacing w:after="0" w:line="1" w:lineRule="exact"/>
        <w:rPr>
          <w:sz w:val="20"/>
          <w:szCs w:val="20"/>
          <w:color w:val="auto"/>
        </w:rPr>
      </w:pPr>
    </w:p>
    <w:p>
      <w:pPr>
        <w:jc w:val="both"/>
        <w:ind w:left="2560"/>
        <w:spacing w:after="0" w:line="224" w:lineRule="auto"/>
        <w:rPr>
          <w:sz w:val="20"/>
          <w:szCs w:val="20"/>
          <w:color w:val="auto"/>
        </w:rPr>
      </w:pPr>
      <w:r>
        <w:rPr>
          <w:rFonts w:ascii="Arial" w:cs="Arial" w:eastAsia="Arial" w:hAnsi="Arial"/>
          <w:sz w:val="18"/>
          <w:szCs w:val="18"/>
          <w:color w:val="auto"/>
        </w:rPr>
        <w:t>evaluated significant assumptions, including those mentioned above, that were used in management’s calculation of the merchandise loss reserve. We also tested a sample of actual charge-offs to supporting documents to validate the number of days an account is delinquent before a write-off occurs for merchandise</w:t>
      </w:r>
    </w:p>
    <w:p>
      <w:pPr>
        <w:spacing w:after="0" w:line="1" w:lineRule="exact"/>
        <w:rPr>
          <w:sz w:val="20"/>
          <w:szCs w:val="20"/>
          <w:color w:val="auto"/>
        </w:rPr>
      </w:pPr>
    </w:p>
    <w:p>
      <w:pPr>
        <w:jc w:val="both"/>
        <w:ind w:left="2560"/>
        <w:spacing w:after="0" w:line="231" w:lineRule="auto"/>
        <w:rPr>
          <w:sz w:val="20"/>
          <w:szCs w:val="20"/>
          <w:color w:val="auto"/>
        </w:rPr>
      </w:pPr>
      <w:r>
        <w:rPr>
          <w:rFonts w:ascii="Arial" w:cs="Arial" w:eastAsia="Arial" w:hAnsi="Arial"/>
          <w:sz w:val="18"/>
          <w:szCs w:val="18"/>
          <w:color w:val="auto"/>
        </w:rPr>
        <w:t>on rent. Among our other procedures, we performed sensitivity analyses over significant assumptions to evaluate the changes in the estimated merchandise loss reserve resulting from changes in the Company's significant assumptions.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Accrual for trade receivables</w:t>
      </w:r>
    </w:p>
    <w:p>
      <w:pPr>
        <w:sectPr>
          <w:pgSz w:w="11900" w:h="16838" w:orient="portrait"/>
          <w:cols w:equalWidth="0" w:num="1">
            <w:col w:w="11220"/>
          </w:cols>
          <w:pgMar w:left="320" w:top="1403" w:right="359" w:bottom="1440" w:gutter="0" w:footer="0" w:header="0"/>
          <w:type w:val="continuous"/>
        </w:sectPr>
      </w:pP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At December 31, 2022, the Company’s accrual for trade receivables was $28.7 million , representing renewal and uncollected rental payments, adjusted for the probability of collection. As discussed in Note A to the consolidated financial statements, the Company estimates the probability of collection for renewal and</w:t>
      </w:r>
    </w:p>
    <w:p>
      <w:pPr>
        <w:spacing w:after="0" w:line="1" w:lineRule="exact"/>
        <w:rPr>
          <w:sz w:val="20"/>
          <w:szCs w:val="20"/>
          <w:color w:val="auto"/>
        </w:rPr>
      </w:pPr>
    </w:p>
    <w:p>
      <w:pPr>
        <w:sectPr>
          <w:pgSz w:w="11900" w:h="16838" w:orient="portrait"/>
          <w:cols w:equalWidth="0" w:num="2">
            <w:col w:w="1860" w:space="720"/>
            <w:col w:w="8640"/>
          </w:cols>
          <w:pgMar w:left="320" w:top="1403" w:right="359" w:bottom="1440" w:gutter="0" w:footer="0" w:header="0"/>
          <w:type w:val="continuous"/>
        </w:sectPr>
      </w:pPr>
    </w:p>
    <w:p>
      <w:pPr>
        <w:ind w:left="2580"/>
        <w:spacing w:after="0" w:line="237" w:lineRule="auto"/>
        <w:rPr>
          <w:sz w:val="20"/>
          <w:szCs w:val="20"/>
          <w:color w:val="auto"/>
        </w:rPr>
      </w:pPr>
      <w:r>
        <w:rPr>
          <w:rFonts w:ascii="Arial" w:cs="Arial" w:eastAsia="Arial" w:hAnsi="Arial"/>
          <w:sz w:val="18"/>
          <w:szCs w:val="18"/>
          <w:color w:val="auto"/>
        </w:rPr>
        <w:t>uncollected rental payments based on an assessment that uses historical collection rates.</w:t>
      </w:r>
    </w:p>
    <w:p>
      <w:pPr>
        <w:spacing w:after="0" w:line="99" w:lineRule="exact"/>
        <w:rPr>
          <w:sz w:val="20"/>
          <w:szCs w:val="20"/>
          <w:color w:val="auto"/>
        </w:rPr>
      </w:pPr>
    </w:p>
    <w:p>
      <w:pPr>
        <w:jc w:val="both"/>
        <w:ind w:left="2580"/>
        <w:spacing w:after="0" w:line="228" w:lineRule="auto"/>
        <w:rPr>
          <w:sz w:val="20"/>
          <w:szCs w:val="20"/>
          <w:color w:val="auto"/>
        </w:rPr>
      </w:pPr>
      <w:r>
        <w:rPr>
          <w:rFonts w:ascii="Arial" w:cs="Arial" w:eastAsia="Arial" w:hAnsi="Arial"/>
          <w:sz w:val="18"/>
          <w:szCs w:val="18"/>
          <w:color w:val="auto"/>
        </w:rPr>
        <w:t>Auditing the Company’s accrual for trade revenue was complex due to the level of uncertainty associated with management’s assumptions used to estimate the accrual. In particular, management was required to estimate the probability of collecting renewal and uncollected rental payments from accounts that are past due. The Company estimates the probability of collection from past due accounts based on historical</w:t>
      </w:r>
    </w:p>
    <w:p>
      <w:pPr>
        <w:spacing w:after="0" w:line="1" w:lineRule="exact"/>
        <w:rPr>
          <w:sz w:val="20"/>
          <w:szCs w:val="20"/>
          <w:color w:val="auto"/>
        </w:rPr>
      </w:pPr>
    </w:p>
    <w:p>
      <w:pPr>
        <w:ind w:left="2580" w:right="20"/>
        <w:spacing w:after="0" w:line="237" w:lineRule="auto"/>
        <w:rPr>
          <w:sz w:val="20"/>
          <w:szCs w:val="20"/>
          <w:color w:val="auto"/>
        </w:rPr>
      </w:pPr>
      <w:r>
        <w:rPr>
          <w:rFonts w:ascii="Arial" w:cs="Arial" w:eastAsia="Arial" w:hAnsi="Arial"/>
          <w:sz w:val="18"/>
          <w:szCs w:val="18"/>
          <w:color w:val="auto"/>
        </w:rPr>
        <w:t>collection experience, including the probability of collection based on the number of days the account is past due and expectations about future collections from delinquent accounts at the end of the year.</w:t>
      </w:r>
    </w:p>
    <w:p>
      <w:pPr>
        <w:sectPr>
          <w:pgSz w:w="11900" w:h="16838" w:orient="portrait"/>
          <w:cols w:equalWidth="0" w:num="1">
            <w:col w:w="11220"/>
          </w:cols>
          <w:pgMar w:left="320" w:top="140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3" w:right="359" w:bottom="1440" w:gutter="0" w:footer="0" w:header="0"/>
          <w:type w:val="continuous"/>
        </w:sectPr>
      </w:pPr>
    </w:p>
    <w:bookmarkStart w:id="55" w:name="page56"/>
    <w:bookmarkEnd w:id="55"/>
    <w:p>
      <w:pPr>
        <w:spacing w:after="0" w:line="16" w:lineRule="exact"/>
        <w:rPr>
          <w:sz w:val="20"/>
          <w:szCs w:val="20"/>
          <w:color w:val="auto"/>
        </w:rPr>
      </w:pPr>
    </w:p>
    <w:p>
      <w:pPr>
        <w:ind w:left="20"/>
        <w:spacing w:after="0"/>
        <w:tabs>
          <w:tab w:leader="none" w:pos="2560" w:val="left"/>
        </w:tabs>
        <w:rPr>
          <w:sz w:val="20"/>
          <w:szCs w:val="20"/>
          <w:color w:val="auto"/>
        </w:rPr>
      </w:pPr>
      <w:r>
        <w:rPr>
          <w:rFonts w:ascii="Times New Roman" w:cs="Times New Roman" w:eastAsia="Times New Roman" w:hAnsi="Times New Roman"/>
          <w:sz w:val="18"/>
          <w:szCs w:val="18"/>
          <w:i w:val="1"/>
          <w:iCs w:val="1"/>
          <w:color w:val="auto"/>
        </w:rPr>
        <w:t>How We Addressed the Matter in</w:t>
      </w:r>
      <w:r>
        <w:rPr>
          <w:sz w:val="20"/>
          <w:szCs w:val="20"/>
          <w:color w:val="auto"/>
        </w:rPr>
        <w:tab/>
      </w:r>
      <w:r>
        <w:rPr>
          <w:rFonts w:ascii="Arial" w:cs="Arial" w:eastAsia="Arial" w:hAnsi="Arial"/>
          <w:sz w:val="18"/>
          <w:szCs w:val="18"/>
          <w:color w:val="auto"/>
        </w:rPr>
        <w:t>We obtained an understanding, evaluated the design, and tested the operating effectiveness of controls over</w:t>
      </w:r>
    </w:p>
    <w:p>
      <w:pPr>
        <w:sectPr>
          <w:pgSz w:w="11900" w:h="16838" w:orient="portrait"/>
          <w:cols w:equalWidth="0" w:num="1">
            <w:col w:w="11220"/>
          </w:cols>
          <w:pgMar w:left="320" w:top="1440" w:right="359" w:bottom="1440" w:gutter="0" w:footer="0" w:header="0"/>
        </w:sectPr>
      </w:pPr>
    </w:p>
    <w:p>
      <w:pPr>
        <w:ind w:left="20"/>
        <w:spacing w:after="0" w:line="237" w:lineRule="auto"/>
        <w:rPr>
          <w:sz w:val="20"/>
          <w:szCs w:val="20"/>
          <w:color w:val="auto"/>
        </w:rPr>
      </w:pPr>
      <w:r>
        <w:rPr>
          <w:rFonts w:ascii="Times New Roman" w:cs="Times New Roman" w:eastAsia="Times New Roman" w:hAnsi="Times New Roman"/>
          <w:sz w:val="18"/>
          <w:szCs w:val="18"/>
          <w:i w:val="1"/>
          <w:iCs w:val="1"/>
          <w:color w:val="auto"/>
        </w:rPr>
        <w:t>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Company’s process to determine the accrual for trade receivables. This included testing controls over</w:t>
      </w:r>
    </w:p>
    <w:p>
      <w:pPr>
        <w:spacing w:after="0" w:line="1" w:lineRule="exact"/>
        <w:rPr>
          <w:sz w:val="20"/>
          <w:szCs w:val="20"/>
          <w:color w:val="auto"/>
        </w:rPr>
      </w:pPr>
    </w:p>
    <w:p>
      <w:pPr>
        <w:sectPr>
          <w:pgSz w:w="11900" w:h="16838" w:orient="portrait"/>
          <w:cols w:equalWidth="0" w:num="2">
            <w:col w:w="1860" w:space="720"/>
            <w:col w:w="8640"/>
          </w:cols>
          <w:pgMar w:left="320" w:top="1440" w:right="359" w:bottom="1440" w:gutter="0" w:footer="0" w:header="0"/>
          <w:type w:val="continuous"/>
        </w:sectPr>
      </w:pPr>
    </w:p>
    <w:p>
      <w:pPr>
        <w:ind w:left="2580"/>
        <w:spacing w:after="0" w:line="226" w:lineRule="auto"/>
        <w:rPr>
          <w:sz w:val="20"/>
          <w:szCs w:val="20"/>
          <w:color w:val="auto"/>
        </w:rPr>
      </w:pPr>
      <w:r>
        <w:rPr>
          <w:rFonts w:ascii="Arial" w:cs="Arial" w:eastAsia="Arial" w:hAnsi="Arial"/>
          <w:sz w:val="18"/>
          <w:szCs w:val="18"/>
          <w:color w:val="auto"/>
        </w:rPr>
        <w:t>the Company’s review of the significant inputs underlying the accrual estimate, which include those mentioned above.</w:t>
      </w:r>
    </w:p>
    <w:p>
      <w:pPr>
        <w:spacing w:after="0" w:line="100" w:lineRule="exact"/>
        <w:rPr>
          <w:sz w:val="20"/>
          <w:szCs w:val="20"/>
          <w:color w:val="auto"/>
        </w:rPr>
      </w:pPr>
    </w:p>
    <w:p>
      <w:pPr>
        <w:jc w:val="both"/>
        <w:ind w:left="2580"/>
        <w:spacing w:after="0" w:line="231" w:lineRule="auto"/>
        <w:rPr>
          <w:sz w:val="20"/>
          <w:szCs w:val="20"/>
          <w:color w:val="auto"/>
        </w:rPr>
      </w:pPr>
      <w:r>
        <w:rPr>
          <w:rFonts w:ascii="Arial" w:cs="Arial" w:eastAsia="Arial" w:hAnsi="Arial"/>
          <w:sz w:val="18"/>
          <w:szCs w:val="18"/>
          <w:color w:val="auto"/>
        </w:rPr>
        <w:t>To test the Company’s accrual for trade receivables, we performed substantive audit procedures that included, among others, testing the accuracy and completeness of the underlying data used in the calculations and evaluating the Company’s methodology for estimating the probability of collection. We</w:t>
      </w:r>
    </w:p>
    <w:p>
      <w:pPr>
        <w:spacing w:after="0" w:line="1" w:lineRule="exact"/>
        <w:rPr>
          <w:sz w:val="20"/>
          <w:szCs w:val="20"/>
          <w:color w:val="auto"/>
        </w:rPr>
      </w:pPr>
    </w:p>
    <w:p>
      <w:pPr>
        <w:jc w:val="both"/>
        <w:ind w:left="2580"/>
        <w:spacing w:after="0" w:line="223" w:lineRule="auto"/>
        <w:rPr>
          <w:sz w:val="20"/>
          <w:szCs w:val="20"/>
          <w:color w:val="auto"/>
        </w:rPr>
      </w:pPr>
      <w:r>
        <w:rPr>
          <w:rFonts w:ascii="Arial" w:cs="Arial" w:eastAsia="Arial" w:hAnsi="Arial"/>
          <w:sz w:val="18"/>
          <w:szCs w:val="18"/>
          <w:color w:val="auto"/>
        </w:rPr>
        <w:t>evaluated significant assumptions, including those mentioned above, that were used in management’s calculation of the accrual for trade receivables. We also performed a look-back analysis to compare the Company’s estimate for expected collections to the actual outcome for certain past due aging categories. Among our other procedures, we performed sensitivity analyses over significant assumptions to evaluate the</w:t>
      </w:r>
    </w:p>
    <w:p>
      <w:pPr>
        <w:ind w:left="2580"/>
        <w:spacing w:after="0" w:line="237" w:lineRule="auto"/>
        <w:rPr>
          <w:sz w:val="20"/>
          <w:szCs w:val="20"/>
          <w:color w:val="auto"/>
        </w:rPr>
      </w:pPr>
      <w:r>
        <w:rPr>
          <w:rFonts w:ascii="Arial" w:cs="Arial" w:eastAsia="Arial" w:hAnsi="Arial"/>
          <w:sz w:val="18"/>
          <w:szCs w:val="18"/>
          <w:color w:val="auto"/>
        </w:rPr>
        <w:t>changes in the estimated accrual for trade receivables resulting from changes in the Company's significant assumptions.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 Liabilities</w:t>
      </w:r>
    </w:p>
    <w:p>
      <w:pPr>
        <w:sectPr>
          <w:pgSz w:w="11900" w:h="16838" w:orient="portrait"/>
          <w:cols w:equalWidth="0" w:num="1">
            <w:col w:w="11220"/>
          </w:cols>
          <w:pgMar w:left="320" w:top="1440" w:right="359" w:bottom="1440" w:gutter="0" w:footer="0" w:header="0"/>
          <w:type w:val="continuous"/>
        </w:sectPr>
      </w:pP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described in Note A to the consolidated financial statements, the Company recorded liabilities totaling $81.2 million associated with its self-insured retentions for workers’ compensation, general liability and vehicle liability insurance (collectively, the self-insurance liabilities). The self-insurance liabilities are</w:t>
      </w:r>
    </w:p>
    <w:p>
      <w:pPr>
        <w:spacing w:after="0" w:line="2" w:lineRule="exact"/>
        <w:rPr>
          <w:sz w:val="20"/>
          <w:szCs w:val="20"/>
          <w:color w:val="auto"/>
        </w:rPr>
      </w:pPr>
    </w:p>
    <w:p>
      <w:pPr>
        <w:sectPr>
          <w:pgSz w:w="11900" w:h="16838" w:orient="portrait"/>
          <w:cols w:equalWidth="0" w:num="2">
            <w:col w:w="1860" w:space="720"/>
            <w:col w:w="8640"/>
          </w:cols>
          <w:pgMar w:left="320" w:top="1440" w:right="359" w:bottom="1440" w:gutter="0" w:footer="0" w:header="0"/>
          <w:type w:val="continuous"/>
        </w:sectPr>
      </w:pPr>
    </w:p>
    <w:p>
      <w:pPr>
        <w:ind w:left="2580"/>
        <w:spacing w:after="0" w:line="226" w:lineRule="auto"/>
        <w:rPr>
          <w:sz w:val="20"/>
          <w:szCs w:val="20"/>
          <w:color w:val="auto"/>
        </w:rPr>
      </w:pPr>
      <w:r>
        <w:rPr>
          <w:rFonts w:ascii="Arial" w:cs="Arial" w:eastAsia="Arial" w:hAnsi="Arial"/>
          <w:sz w:val="18"/>
          <w:szCs w:val="18"/>
          <w:color w:val="auto"/>
        </w:rPr>
        <w:t>established by obtaining forecasts for the ultimate expected losses and estimating amounts needed to pay losses within the self-insured retentions.</w:t>
      </w:r>
    </w:p>
    <w:p>
      <w:pPr>
        <w:spacing w:after="0" w:line="100" w:lineRule="exact"/>
        <w:rPr>
          <w:sz w:val="20"/>
          <w:szCs w:val="20"/>
          <w:color w:val="auto"/>
        </w:rPr>
      </w:pPr>
    </w:p>
    <w:p>
      <w:pPr>
        <w:jc w:val="both"/>
        <w:ind w:left="2580"/>
        <w:spacing w:after="0" w:line="231" w:lineRule="auto"/>
        <w:rPr>
          <w:sz w:val="20"/>
          <w:szCs w:val="20"/>
          <w:color w:val="auto"/>
        </w:rPr>
      </w:pPr>
      <w:r>
        <w:rPr>
          <w:rFonts w:ascii="Arial" w:cs="Arial" w:eastAsia="Arial" w:hAnsi="Arial"/>
          <w:sz w:val="18"/>
          <w:szCs w:val="18"/>
          <w:color w:val="auto"/>
        </w:rPr>
        <w:t>Auditing the Company's self-insurance liabilities is complex and required us to use our actuarial specialists due to the significant measurement uncertainty associated with the estimates, management’s application of judgment, and the use of various actuarial methods. The Company’s analyses of the self-insurance liabilities</w:t>
      </w:r>
    </w:p>
    <w:p>
      <w:pPr>
        <w:spacing w:after="0" w:line="1" w:lineRule="exact"/>
        <w:rPr>
          <w:sz w:val="20"/>
          <w:szCs w:val="20"/>
          <w:color w:val="auto"/>
        </w:rPr>
      </w:pPr>
    </w:p>
    <w:p>
      <w:pPr>
        <w:jc w:val="both"/>
        <w:ind w:left="2580"/>
        <w:spacing w:after="0" w:line="231" w:lineRule="auto"/>
        <w:rPr>
          <w:sz w:val="20"/>
          <w:szCs w:val="20"/>
          <w:color w:val="auto"/>
        </w:rPr>
      </w:pPr>
      <w:r>
        <w:rPr>
          <w:rFonts w:ascii="Arial" w:cs="Arial" w:eastAsia="Arial" w:hAnsi="Arial"/>
          <w:sz w:val="18"/>
          <w:szCs w:val="18"/>
          <w:color w:val="auto"/>
        </w:rPr>
        <w:t>consider a variety of factors, including the actuarial loss forecasts, company-specific development factors, general industry loss development factors and third-party claim administrator loss estimates of individual claims. The self-insurance liabilities are sensitive to changes in these factors.</w:t>
      </w:r>
    </w:p>
    <w:p>
      <w:pPr>
        <w:sectPr>
          <w:pgSz w:w="11900" w:h="16838" w:orient="portrait"/>
          <w:cols w:equalWidth="0" w:num="1">
            <w:col w:w="11220"/>
          </w:cols>
          <w:pgMar w:left="320" w:top="1440" w:right="359" w:bottom="1440" w:gutter="0" w:footer="0" w:header="0"/>
          <w:type w:val="continuous"/>
        </w:sectPr>
      </w:pPr>
    </w:p>
    <w:p>
      <w:pPr>
        <w:spacing w:after="0" w:line="139" w:lineRule="exact"/>
        <w:rPr>
          <w:sz w:val="20"/>
          <w:szCs w:val="20"/>
          <w:color w:val="auto"/>
        </w:rPr>
      </w:pPr>
    </w:p>
    <w:p>
      <w:pPr>
        <w:ind w:left="20"/>
        <w:spacing w:after="0" w:line="238"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We obtained an understanding, evaluated the design, and tested the operating effectiveness of the Company’s controls over the self-insurance liabilities processes. For example, we tested controls over the factors mentioned above that management used in the calculations and the completeness and accuracy of the data underlying the ultimate expected losses.</w:t>
      </w:r>
    </w:p>
    <w:p>
      <w:pPr>
        <w:spacing w:after="0" w:line="101" w:lineRule="exact"/>
        <w:rPr>
          <w:sz w:val="20"/>
          <w:szCs w:val="20"/>
          <w:color w:val="auto"/>
        </w:rPr>
      </w:pPr>
    </w:p>
    <w:p>
      <w:pPr>
        <w:sectPr>
          <w:pgSz w:w="11900" w:h="16838" w:orient="portrait"/>
          <w:cols w:equalWidth="0" w:num="2">
            <w:col w:w="2400" w:space="180"/>
            <w:col w:w="8640"/>
          </w:cols>
          <w:pgMar w:left="320" w:top="1440" w:right="359" w:bottom="1440" w:gutter="0" w:footer="0" w:header="0"/>
          <w:type w:val="continuous"/>
        </w:sectPr>
      </w:pPr>
    </w:p>
    <w:p>
      <w:pPr>
        <w:ind w:left="2580"/>
        <w:spacing w:after="0"/>
        <w:rPr>
          <w:sz w:val="20"/>
          <w:szCs w:val="20"/>
          <w:color w:val="auto"/>
        </w:rPr>
      </w:pPr>
      <w:r>
        <w:rPr>
          <w:rFonts w:ascii="Arial" w:cs="Arial" w:eastAsia="Arial" w:hAnsi="Arial"/>
          <w:sz w:val="18"/>
          <w:szCs w:val="18"/>
          <w:color w:val="auto"/>
        </w:rPr>
        <w:t>To evaluate the reserve for self-insurance liabilities, we performed audit procedures that included, among</w:t>
      </w:r>
    </w:p>
    <w:p>
      <w:pPr>
        <w:spacing w:after="0" w:line="14" w:lineRule="exact"/>
        <w:rPr>
          <w:sz w:val="20"/>
          <w:szCs w:val="20"/>
          <w:color w:val="auto"/>
        </w:rPr>
      </w:pPr>
    </w:p>
    <w:p>
      <w:pPr>
        <w:jc w:val="both"/>
        <w:ind w:left="2580"/>
        <w:spacing w:after="0" w:line="223" w:lineRule="auto"/>
        <w:rPr>
          <w:sz w:val="20"/>
          <w:szCs w:val="20"/>
          <w:color w:val="auto"/>
        </w:rPr>
      </w:pPr>
      <w:r>
        <w:rPr>
          <w:rFonts w:ascii="Arial" w:cs="Arial" w:eastAsia="Arial" w:hAnsi="Arial"/>
          <w:sz w:val="18"/>
          <w:szCs w:val="18"/>
          <w:color w:val="auto"/>
        </w:rPr>
        <w:t>others, testing the completeness and accuracy of the underlying claims data provided to management's actuarial specialist. Additionally, we involved our actuarial specialists to assist in our evaluation of the key factors mentioned above and the methodologies applied by management's specialist to establish the actuarially determined ultimate expected losses and develop a range for ultimate expected loss estimates</w:t>
      </w:r>
    </w:p>
    <w:p>
      <w:pPr>
        <w:ind w:left="2580"/>
        <w:spacing w:after="0" w:line="237" w:lineRule="auto"/>
        <w:rPr>
          <w:sz w:val="20"/>
          <w:szCs w:val="20"/>
          <w:color w:val="auto"/>
        </w:rPr>
      </w:pPr>
      <w:r>
        <w:rPr>
          <w:rFonts w:ascii="Arial" w:cs="Arial" w:eastAsia="Arial" w:hAnsi="Arial"/>
          <w:sz w:val="18"/>
          <w:szCs w:val="18"/>
          <w:color w:val="auto"/>
        </w:rPr>
        <w:t>based on independently developed assumptions, which we compared to the Company's recorded reserves for self-insurance liabilities.</w:t>
      </w:r>
    </w:p>
    <w:p>
      <w:pPr>
        <w:sectPr>
          <w:pgSz w:w="11900" w:h="16838" w:orient="portrait"/>
          <w:cols w:equalWidth="0" w:num="1">
            <w:col w:w="11220"/>
          </w:cols>
          <w:pgMar w:left="320" w:top="1440" w:right="359"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2019.</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Dallas, Texas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56" w:name="page57"/>
    <w:bookmarkEnd w:id="56"/>
    <w:p>
      <w:pPr>
        <w:ind w:right="3140" w:firstLine="3132"/>
        <w:spacing w:after="0" w:line="39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Upbound Group, Inc. </w:t>
      </w:r>
      <w:r>
        <w:rPr>
          <w:rFonts w:ascii="Arial" w:cs="Arial" w:eastAsia="Arial" w:hAnsi="Arial"/>
          <w:sz w:val="18"/>
          <w:szCs w:val="18"/>
          <w:b w:val="1"/>
          <w:bCs w:val="1"/>
          <w:color w:val="auto"/>
        </w:rPr>
        <w:t>Opinion on Internal Control Over Financial Reporting</w:t>
      </w:r>
    </w:p>
    <w:p>
      <w:pPr>
        <w:spacing w:after="0" w:line="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have audited Upbound Group, Inc. and subsidiaries’ internal control over financial reporting as of December 31, 2022, based on criteria established in Internal Control—Integrated Framework issued by the Committee of Sponsoring Organizations of the Treadway Commission (2013 framework) (the COSO criteria). In our opinion, Upbound Group, Inc. and subsidiaries (the Company) maintained, in all material respects, effective internal control over financial reporting as of December 31, 2022, based on the COSO criteria.</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operations, comprehensive income, stockholders’ equity and cash flows for each of the three years then ended and the related notes and our report dated February 24, 2023 expressed an unqualified opinion thereon.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 FINANCIAL REPORTING</w:t>
      </w:r>
    </w:p>
    <w:p>
      <w:pPr>
        <w:spacing w:after="0" w:line="200" w:lineRule="exact"/>
        <w:rPr>
          <w:sz w:val="20"/>
          <w:szCs w:val="20"/>
          <w:color w:val="auto"/>
        </w:rPr>
      </w:pPr>
    </w:p>
    <w:p>
      <w:pPr>
        <w:spacing w:after="0" w:line="2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Management of the Company, including the Chief Executive Officer and Chief Financial Officer, is responsible for establishing and maintaining adequate internal control over financial reporting as defined in Rule 13a-15(f) under the Securities Exchange Act of 1934, as amended. The Company’s internal control system was designed to provide reasonable assurance to management and the Company’s Board of Directors regarding the reliability of financial reporting and the preparation of financial statements for external purposes in accordance with generally accepted accounting principles.</w:t>
      </w:r>
    </w:p>
    <w:p>
      <w:pPr>
        <w:spacing w:after="0" w:line="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A system of internal control may become inadequate over time because of changes in conditions, or deterioration in the degree of compliance with the policies or procedures. Therefore, even those systems determined to be effective can provide only reasonable assurance with respect to financial statement preparation and presentation.</w:t>
      </w:r>
    </w:p>
    <w:p>
      <w:pPr>
        <w:spacing w:after="0" w:line="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December 31, 2022, using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 Control - Integrated Framework (2013).</w:t>
      </w:r>
    </w:p>
    <w:p>
      <w:pPr>
        <w:spacing w:after="0" w:line="8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Based on this assessment, management has concluded that, as of December 31, 2022, the Company’s internal control over financial reporting was effective to provide reasonable assurance regarding the reliability of financial reporting and the preparation of financial statements for external purposes in accordance with generally accepted accounting principles based on such criteria.</w:t>
      </w:r>
    </w:p>
    <w:p>
      <w:pPr>
        <w:spacing w:after="0" w:line="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Ernst &amp; Young LLP, the Company’s independent registered public accounting firm, has issued an audit report on the effectiveness of the Company’s internal control over financial reporting, which is included elsewhere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Store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Rentals and fees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3,375,453</w:t>
            </w:r>
          </w:p>
        </w:tc>
        <w:tc>
          <w:tcPr>
            <w:tcW w:w="4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3,522,453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2,263,091</w:t>
            </w:r>
          </w:p>
        </w:tc>
        <w:tc>
          <w:tcPr>
            <w:tcW w:w="0" w:type="dxa"/>
            <w:vAlign w:val="bottom"/>
          </w:tcPr>
          <w:p>
            <w:pPr>
              <w:spacing w:after="0"/>
              <w:rPr>
                <w:sz w:val="1"/>
                <w:szCs w:val="1"/>
                <w:color w:val="auto"/>
              </w:rPr>
            </w:pPr>
          </w:p>
        </w:tc>
      </w:tr>
      <w:tr>
        <w:trPr>
          <w:trHeight w:val="213"/>
        </w:trPr>
        <w:tc>
          <w:tcPr>
            <w:tcW w:w="66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Merchandise sales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675,288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829,222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378,717</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Installment sales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68,500</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3,845</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Total store 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4,128,044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4,429,408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2,714,153</w:t>
            </w: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Franchise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Merchandise sales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80,023</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Royalty income and fees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25,998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27,187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20,015</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Total 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4,245,392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4,583,451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2,814,191</w:t>
            </w: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Cost of rentals and fees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1,268,809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1,260,434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655,612</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Cost of merchandise sold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779,789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935,765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382,182</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Cost of installment sales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25,547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25,637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24,111</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Total cost of store 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2,074,145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2,221,836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1,061,905</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Franchise cost of merchandise sold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91,715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126,603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80,134</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Total cost of revenues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2,165,860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2,348,439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1,142,039</w:t>
            </w:r>
          </w:p>
        </w:tc>
        <w:tc>
          <w:tcPr>
            <w:tcW w:w="0" w:type="dxa"/>
            <w:vAlign w:val="bottom"/>
          </w:tcPr>
          <w:p>
            <w:pPr>
              <w:spacing w:after="0"/>
              <w:rPr>
                <w:sz w:val="1"/>
                <w:szCs w:val="1"/>
                <w:color w:val="auto"/>
              </w:rPr>
            </w:pPr>
          </w:p>
        </w:tc>
      </w:tr>
      <w:tr>
        <w:trPr>
          <w:trHeight w:val="207"/>
        </w:trPr>
        <w:tc>
          <w:tcPr>
            <w:tcW w:w="66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2,079,532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2,235,012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1,672,152</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Store expenses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Labor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634,341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644,763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579,125</w:t>
            </w:r>
          </w:p>
        </w:tc>
        <w:tc>
          <w:tcPr>
            <w:tcW w:w="0" w:type="dxa"/>
            <w:vAlign w:val="bottom"/>
          </w:tcPr>
          <w:p>
            <w:pPr>
              <w:spacing w:after="0"/>
              <w:rPr>
                <w:sz w:val="1"/>
                <w:szCs w:val="1"/>
                <w:color w:val="auto"/>
              </w:rPr>
            </w:pPr>
          </w:p>
        </w:tc>
      </w:tr>
      <w:tr>
        <w:trPr>
          <w:trHeight w:val="213"/>
        </w:trPr>
        <w:tc>
          <w:tcPr>
            <w:tcW w:w="66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Other store expenses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821,821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770,073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609,370</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153,108</w:t>
            </w: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amortization and write-down of intangibles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56,658</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charges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289,913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36,555</w:t>
            </w:r>
          </w:p>
        </w:tc>
        <w:tc>
          <w:tcPr>
            <w:tcW w:w="0" w:type="dxa"/>
            <w:vAlign w:val="bottom"/>
          </w:tcPr>
          <w:p>
            <w:pPr>
              <w:spacing w:after="0"/>
              <w:rPr>
                <w:sz w:val="1"/>
                <w:szCs w:val="1"/>
                <w:color w:val="auto"/>
              </w:rPr>
            </w:pPr>
          </w:p>
        </w:tc>
      </w:tr>
      <w:tr>
        <w:trPr>
          <w:trHeight w:val="207"/>
        </w:trPr>
        <w:tc>
          <w:tcPr>
            <w:tcW w:w="666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1,930,994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1,954,473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1,434,816</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Operating profit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237,336</w:t>
            </w: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refinancing charges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15,325</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222,779</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59,364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14,664</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earnings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134,940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208,115</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declared per common share</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0" w:right="35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200" w:lineRule="exact"/>
        <w:rPr>
          <w:sz w:val="20"/>
          <w:szCs w:val="20"/>
          <w:color w:val="auto"/>
        </w:rPr>
      </w:pPr>
    </w:p>
    <w:p>
      <w:pPr>
        <w:spacing w:after="0" w:line="32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134,940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208,115</w:t>
            </w: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66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Foreign currency translation adjustments, net of tax of $464, $(259), and $(193) for 2022, 2021, and</w:t>
            </w: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2020, respectively</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Comprehensive income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133,965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207,389</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0" w:right="35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8180" w:type="dxa"/>
            <w:vAlign w:val="bottom"/>
          </w:tcPr>
          <w:p>
            <w:pPr>
              <w:ind w:left="3700"/>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9"/>
        </w:trPr>
        <w:tc>
          <w:tcPr>
            <w:tcW w:w="8180" w:type="dxa"/>
            <w:vAlign w:val="bottom"/>
          </w:tcPr>
          <w:p>
            <w:pPr>
              <w:ind w:left="43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 except share and par value data)</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18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0"/>
        </w:trPr>
        <w:tc>
          <w:tcPr>
            <w:tcW w:w="8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108,333</w:t>
            </w:r>
          </w:p>
        </w:tc>
        <w:tc>
          <w:tcPr>
            <w:tcW w:w="0" w:type="dxa"/>
            <w:vAlign w:val="bottom"/>
          </w:tcPr>
          <w:p>
            <w:pPr>
              <w:spacing w:after="0"/>
              <w:rPr>
                <w:sz w:val="1"/>
                <w:szCs w:val="1"/>
                <w:color w:val="auto"/>
              </w:rPr>
            </w:pPr>
          </w:p>
        </w:tc>
      </w:tr>
      <w:tr>
        <w:trPr>
          <w:trHeight w:val="213"/>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Receivables, net of allowance for doubtful accounts of $13,214 and $8,479 in 2022 and 2021, respectively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111,865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126,378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63,468</w:t>
            </w:r>
          </w:p>
        </w:tc>
        <w:tc>
          <w:tcPr>
            <w:tcW w:w="0" w:type="dxa"/>
            <w:vAlign w:val="bottom"/>
          </w:tcPr>
          <w:p>
            <w:pPr>
              <w:spacing w:after="0"/>
              <w:rPr>
                <w:sz w:val="1"/>
                <w:szCs w:val="1"/>
                <w:color w:val="auto"/>
              </w:rPr>
            </w:pPr>
          </w:p>
        </w:tc>
      </w:tr>
      <w:tr>
        <w:trPr>
          <w:trHeight w:val="213"/>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Rental merchandise, net</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On rent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989,869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1,173,024</w:t>
            </w:r>
          </w:p>
        </w:tc>
        <w:tc>
          <w:tcPr>
            <w:tcW w:w="0" w:type="dxa"/>
            <w:vAlign w:val="bottom"/>
          </w:tcPr>
          <w:p>
            <w:pPr>
              <w:spacing w:after="0"/>
              <w:rPr>
                <w:sz w:val="1"/>
                <w:szCs w:val="1"/>
                <w:color w:val="auto"/>
              </w:rPr>
            </w:pPr>
          </w:p>
        </w:tc>
      </w:tr>
      <w:tr>
        <w:trPr>
          <w:trHeight w:val="21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Held for rent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134,959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132,984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Merchandise held for installment sale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6,405</w:t>
            </w:r>
          </w:p>
        </w:tc>
        <w:tc>
          <w:tcPr>
            <w:tcW w:w="0" w:type="dxa"/>
            <w:vAlign w:val="bottom"/>
          </w:tcPr>
          <w:p>
            <w:pPr>
              <w:spacing w:after="0"/>
              <w:rPr>
                <w:sz w:val="1"/>
                <w:szCs w:val="1"/>
                <w:color w:val="auto"/>
              </w:rPr>
            </w:pPr>
          </w:p>
        </w:tc>
      </w:tr>
      <w:tr>
        <w:trPr>
          <w:trHeight w:val="213"/>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Property assets, net of accumulated depreciation of $576,675 and $557,453 in 2022 and 2021, respectively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295,371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308,098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291,338</w:t>
            </w:r>
          </w:p>
        </w:tc>
        <w:tc>
          <w:tcPr>
            <w:tcW w:w="0" w:type="dxa"/>
            <w:vAlign w:val="bottom"/>
          </w:tcPr>
          <w:p>
            <w:pPr>
              <w:spacing w:after="0"/>
              <w:rPr>
                <w:sz w:val="1"/>
                <w:szCs w:val="1"/>
                <w:color w:val="auto"/>
              </w:rPr>
            </w:pPr>
          </w:p>
        </w:tc>
      </w:tr>
      <w:tr>
        <w:trPr>
          <w:trHeight w:val="213"/>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82,886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68,391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289,750</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359,409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425,158</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2,763,619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2,993,327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1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 — trade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155,449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135,666</w:t>
            </w:r>
          </w:p>
        </w:tc>
        <w:tc>
          <w:tcPr>
            <w:tcW w:w="0" w:type="dxa"/>
            <w:vAlign w:val="bottom"/>
          </w:tcPr>
          <w:p>
            <w:pPr>
              <w:spacing w:after="0"/>
              <w:rPr>
                <w:sz w:val="1"/>
                <w:szCs w:val="1"/>
                <w:color w:val="auto"/>
              </w:rPr>
            </w:pPr>
          </w:p>
        </w:tc>
      </w:tr>
      <w:tr>
        <w:trPr>
          <w:trHeight w:val="213"/>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320,624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362,708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296,535</w:t>
            </w:r>
          </w:p>
        </w:tc>
        <w:tc>
          <w:tcPr>
            <w:tcW w:w="0" w:type="dxa"/>
            <w:vAlign w:val="bottom"/>
          </w:tcPr>
          <w:p>
            <w:pPr>
              <w:spacing w:after="0"/>
              <w:rPr>
                <w:sz w:val="1"/>
                <w:szCs w:val="1"/>
                <w:color w:val="auto"/>
              </w:rPr>
            </w:pPr>
          </w:p>
        </w:tc>
      </w:tr>
      <w:tr>
        <w:trPr>
          <w:trHeight w:val="213"/>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87,986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113,943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debt,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930,902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1,135,207</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Senior notes, net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437,956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435,992</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2,238,473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2,480,051</w:t>
            </w:r>
          </w:p>
        </w:tc>
        <w:tc>
          <w:tcPr>
            <w:tcW w:w="0" w:type="dxa"/>
            <w:vAlign w:val="bottom"/>
          </w:tcPr>
          <w:p>
            <w:pPr>
              <w:spacing w:after="0"/>
              <w:rPr>
                <w:sz w:val="1"/>
                <w:szCs w:val="1"/>
                <w:color w:val="auto"/>
              </w:rPr>
            </w:pPr>
          </w:p>
        </w:tc>
      </w:tr>
      <w:tr>
        <w:trPr>
          <w:trHeight w:val="214"/>
        </w:trPr>
        <w:tc>
          <w:tcPr>
            <w:tcW w:w="8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18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Common stock, $0.01 par value; 250,000,000 shares authorized; 125,028,169 and 124,398,373 shares issued in 2022 and</w:t>
            </w:r>
          </w:p>
        </w:tc>
        <w:tc>
          <w:tcPr>
            <w:tcW w:w="3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2021, respectively</w:t>
            </w:r>
          </w:p>
        </w:tc>
        <w:tc>
          <w:tcPr>
            <w:tcW w:w="3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1,298,094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1,146,509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1,077,189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1,143,647</w:t>
            </w:r>
          </w:p>
        </w:tc>
        <w:tc>
          <w:tcPr>
            <w:tcW w:w="0" w:type="dxa"/>
            <w:vAlign w:val="bottom"/>
          </w:tcPr>
          <w:p>
            <w:pPr>
              <w:spacing w:after="0"/>
              <w:rPr>
                <w:sz w:val="1"/>
                <w:szCs w:val="1"/>
                <w:color w:val="auto"/>
              </w:rPr>
            </w:pPr>
          </w:p>
        </w:tc>
      </w:tr>
      <w:tr>
        <w:trPr>
          <w:trHeight w:val="213"/>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Treasury stock at cost, 69,354,651 and 65,790,667 shares in 2022 and 2021, respectively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(1,840,591)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(1,765,574)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(12,371)</w:t>
            </w:r>
          </w:p>
        </w:tc>
        <w:tc>
          <w:tcPr>
            <w:tcW w:w="0" w:type="dxa"/>
            <w:vAlign w:val="bottom"/>
          </w:tcPr>
          <w:p>
            <w:pPr>
              <w:spacing w:after="0"/>
              <w:rPr>
                <w:sz w:val="1"/>
                <w:szCs w:val="1"/>
                <w:color w:val="auto"/>
              </w:rPr>
            </w:pPr>
          </w:p>
        </w:tc>
      </w:tr>
      <w:tr>
        <w:trPr>
          <w:trHeight w:val="207"/>
        </w:trPr>
        <w:tc>
          <w:tcPr>
            <w:tcW w:w="81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525,146</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513,276</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2,763,619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2,993,327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360" w:right="359" w:bottom="1440" w:gutter="0" w:footer="0" w:header="0"/>
        </w:sectPr>
      </w:pPr>
    </w:p>
    <w:bookmarkStart w:id="61" w:name="page62"/>
    <w:bookmarkEnd w:id="6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20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98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5"/>
                <w:szCs w:val="5"/>
                <w:color w:val="auto"/>
              </w:rPr>
            </w:pPr>
          </w:p>
        </w:tc>
        <w:tc>
          <w:tcPr>
            <w:tcW w:w="1000" w:type="dxa"/>
            <w:vAlign w:val="bottom"/>
            <w:gridSpan w:val="2"/>
            <w:vMerge w:val="restart"/>
          </w:tcPr>
          <w:p>
            <w:pPr>
              <w:ind w:left="80"/>
              <w:spacing w:after="0" w:line="13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5"/>
                <w:szCs w:val="5"/>
                <w:color w:val="auto"/>
              </w:rPr>
            </w:pPr>
          </w:p>
        </w:tc>
        <w:tc>
          <w:tcPr>
            <w:tcW w:w="1060" w:type="dxa"/>
            <w:vAlign w:val="bottom"/>
            <w:gridSpan w:val="2"/>
            <w:vMerge w:val="restart"/>
          </w:tcPr>
          <w:p>
            <w:pPr>
              <w:ind w:left="100"/>
              <w:spacing w:after="0" w:line="135"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5"/>
                <w:szCs w:val="5"/>
                <w:color w:val="auto"/>
              </w:rPr>
            </w:pPr>
          </w:p>
        </w:tc>
        <w:tc>
          <w:tcPr>
            <w:tcW w:w="128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4"/>
                <w:szCs w:val="4"/>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98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7"/>
                <w:szCs w:val="17"/>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111,166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869,617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947,875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(1,348,969)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458,963</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ASC 326 adoption</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208,115</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(26,586)</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10,280</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Vesting of restricted share units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9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Tax effect of stock awards vested and</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(5,270)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(5,270)</w:t>
            </w:r>
          </w:p>
        </w:tc>
        <w:tc>
          <w:tcPr>
            <w:tcW w:w="0" w:type="dxa"/>
            <w:vAlign w:val="bottom"/>
          </w:tcPr>
          <w:p>
            <w:pPr>
              <w:spacing w:after="0"/>
              <w:rPr>
                <w:sz w:val="1"/>
                <w:szCs w:val="1"/>
                <w:color w:val="auto"/>
              </w:rPr>
            </w:pPr>
          </w:p>
        </w:tc>
      </w:tr>
      <w:tr>
        <w:trPr>
          <w:trHeight w:val="213"/>
        </w:trPr>
        <w:tc>
          <w:tcPr>
            <w:tcW w:w="2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options exercised</w:t>
            </w: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12,284</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(64,211)</w:t>
            </w:r>
          </w:p>
        </w:tc>
        <w:tc>
          <w:tcPr>
            <w:tcW w:w="0" w:type="dxa"/>
            <w:vAlign w:val="bottom"/>
          </w:tcPr>
          <w:p>
            <w:pPr>
              <w:spacing w:after="0"/>
              <w:rPr>
                <w:sz w:val="1"/>
                <w:szCs w:val="1"/>
                <w:color w:val="auto"/>
              </w:rPr>
            </w:pPr>
          </w:p>
        </w:tc>
      </w:tr>
      <w:tr>
        <w:trPr>
          <w:trHeight w:val="212"/>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112,181</w:t>
            </w: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886,902</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1,091,010</w:t>
            </w: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(1,375,541)</w:t>
            </w: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592,080</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134,940</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(390,033)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(390,112)</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12,054</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Vesting of restricted share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29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Tax effect of stock awards vested and</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(20,903)</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options exercised</w:t>
            </w: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147,554</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(82,303)</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Acima acquisition</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120,941</w:t>
            </w:r>
          </w:p>
        </w:tc>
        <w:tc>
          <w:tcPr>
            <w:tcW w:w="0" w:type="dxa"/>
            <w:vAlign w:val="bottom"/>
          </w:tcPr>
          <w:p>
            <w:pPr>
              <w:spacing w:after="0"/>
              <w:rPr>
                <w:sz w:val="1"/>
                <w:szCs w:val="1"/>
                <w:color w:val="auto"/>
              </w:rPr>
            </w:pPr>
          </w:p>
        </w:tc>
      </w:tr>
      <w:tr>
        <w:trPr>
          <w:trHeight w:val="212"/>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124,398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1,146,509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1,143,647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(1,765,574)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513,276</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12,357</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(75,052)</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Vesting of restricted share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29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Tax effect of stock awards vested and</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(9,509)</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options exercised</w:t>
            </w: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159,358</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(78,815)</w:t>
            </w:r>
          </w:p>
        </w:tc>
        <w:tc>
          <w:tcPr>
            <w:tcW w:w="0" w:type="dxa"/>
            <w:vAlign w:val="bottom"/>
          </w:tcPr>
          <w:p>
            <w:pPr>
              <w:spacing w:after="0"/>
              <w:rPr>
                <w:sz w:val="1"/>
                <w:szCs w:val="1"/>
                <w:color w:val="auto"/>
              </w:rPr>
            </w:pPr>
          </w:p>
        </w:tc>
      </w:tr>
      <w:tr>
        <w:trPr>
          <w:trHeight w:val="204"/>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125,028</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1,298,094</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1,077,189</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(1,840,591)</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(10,626)</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525,146</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360" w:right="379" w:bottom="1440" w:gutter="0" w:footer="0" w:header="0"/>
        </w:sectPr>
      </w:pPr>
    </w:p>
    <w:bookmarkStart w:id="62" w:name="page63"/>
    <w:bookmarkEnd w:id="6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0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2"/>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earnings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134,940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208,115</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Depreciation of rental merchandise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1,229,136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1,216,735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633,695</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Bad debt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14,635</w:t>
            </w:r>
          </w:p>
        </w:tc>
        <w:tc>
          <w:tcPr>
            <w:tcW w:w="0" w:type="dxa"/>
            <w:vAlign w:val="bottom"/>
          </w:tcPr>
          <w:p>
            <w:pPr>
              <w:spacing w:after="0"/>
              <w:rPr>
                <w:sz w:val="1"/>
                <w:szCs w:val="1"/>
                <w:color w:val="auto"/>
              </w:rPr>
            </w:pPr>
          </w:p>
        </w:tc>
      </w:tr>
      <w:tr>
        <w:trPr>
          <w:trHeight w:val="213"/>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12,284</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Depreciation of property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55,597</w:t>
            </w:r>
          </w:p>
        </w:tc>
        <w:tc>
          <w:tcPr>
            <w:tcW w:w="0" w:type="dxa"/>
            <w:vAlign w:val="bottom"/>
          </w:tcPr>
          <w:p>
            <w:pPr>
              <w:spacing w:after="0"/>
              <w:rPr>
                <w:sz w:val="1"/>
                <w:szCs w:val="1"/>
                <w:color w:val="auto"/>
              </w:rPr>
            </w:pPr>
          </w:p>
        </w:tc>
      </w:tr>
      <w:tr>
        <w:trPr>
          <w:trHeight w:val="213"/>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Loss on sale or disposal of property assets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18,215</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0" w:type="dxa"/>
            <w:vAlign w:val="bottom"/>
          </w:tcPr>
          <w:p>
            <w:pPr>
              <w:spacing w:after="0"/>
              <w:rPr>
                <w:sz w:val="1"/>
                <w:szCs w:val="1"/>
                <w:color w:val="auto"/>
              </w:rPr>
            </w:pPr>
          </w:p>
        </w:tc>
      </w:tr>
      <w:tr>
        <w:trPr>
          <w:trHeight w:val="213"/>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Amortization of financing fees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Write-off of debt financing fees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(6,605)</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of acquisitions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Rental merchandise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(1,047,687)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(1,273,734)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(736,444)</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Receivables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(20,674)</w:t>
            </w:r>
          </w:p>
        </w:tc>
        <w:tc>
          <w:tcPr>
            <w:tcW w:w="0" w:type="dxa"/>
            <w:vAlign w:val="bottom"/>
          </w:tcPr>
          <w:p>
            <w:pPr>
              <w:spacing w:after="0"/>
              <w:rPr>
                <w:sz w:val="1"/>
                <w:szCs w:val="1"/>
                <w:color w:val="auto"/>
              </w:rPr>
            </w:pPr>
          </w:p>
        </w:tc>
      </w:tr>
      <w:tr>
        <w:trPr>
          <w:trHeight w:val="213"/>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(3,963)</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Operating lease right-of-use assets and lease liabilities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w:t>
            </w:r>
          </w:p>
        </w:tc>
        <w:tc>
          <w:tcPr>
            <w:tcW w:w="0" w:type="dxa"/>
            <w:vAlign w:val="bottom"/>
          </w:tcPr>
          <w:p>
            <w:pPr>
              <w:spacing w:after="0"/>
              <w:rPr>
                <w:sz w:val="1"/>
                <w:szCs w:val="1"/>
                <w:color w:val="auto"/>
              </w:rPr>
            </w:pPr>
          </w:p>
        </w:tc>
      </w:tr>
      <w:tr>
        <w:trPr>
          <w:trHeight w:val="213"/>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Accounts payable — trade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17,943</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42,600</w:t>
            </w:r>
          </w:p>
        </w:tc>
        <w:tc>
          <w:tcPr>
            <w:tcW w:w="0" w:type="dxa"/>
            <w:vAlign w:val="bottom"/>
          </w:tcPr>
          <w:p>
            <w:pPr>
              <w:spacing w:after="0"/>
              <w:rPr>
                <w:sz w:val="1"/>
                <w:szCs w:val="1"/>
                <w:color w:val="auto"/>
              </w:rPr>
            </w:pPr>
          </w:p>
        </w:tc>
      </w:tr>
      <w:tr>
        <w:trPr>
          <w:trHeight w:val="207"/>
        </w:trPr>
        <w:tc>
          <w:tcPr>
            <w:tcW w:w="7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468,460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392,298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236,502</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 of property assets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(34,545)</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14,477</w:t>
            </w: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Hurricane insurance recovery proceeds</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Acquisitions of businesses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(1,273,528)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07"/>
        </w:trPr>
        <w:tc>
          <w:tcPr>
            <w:tcW w:w="7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(1,335,974)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(20,610)</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Share repurchases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(390,112)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(26,572)</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10,280</w:t>
            </w: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Shares withheld for payment of employee tax withholdings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(5,270)</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Debt issuance costs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debt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198,000</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Repayments of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(369,063)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(240,000)</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Dividends paid</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(79,188)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(71,505)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(63,119)</w:t>
            </w:r>
          </w:p>
        </w:tc>
        <w:tc>
          <w:tcPr>
            <w:tcW w:w="0" w:type="dxa"/>
            <w:vAlign w:val="bottom"/>
          </w:tcPr>
          <w:p>
            <w:pPr>
              <w:spacing w:after="0"/>
              <w:rPr>
                <w:sz w:val="1"/>
                <w:szCs w:val="1"/>
                <w:color w:val="auto"/>
              </w:rPr>
            </w:pPr>
          </w:p>
        </w:tc>
      </w:tr>
      <w:tr>
        <w:trPr>
          <w:trHeight w:val="212"/>
        </w:trPr>
        <w:tc>
          <w:tcPr>
            <w:tcW w:w="7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(370,713)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892,849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(126,681)</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12"/>
        </w:trPr>
        <w:tc>
          <w:tcPr>
            <w:tcW w:w="7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88,955</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108,333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159,449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70,494</w:t>
            </w:r>
          </w:p>
        </w:tc>
        <w:tc>
          <w:tcPr>
            <w:tcW w:w="0" w:type="dxa"/>
            <w:vAlign w:val="bottom"/>
          </w:tcPr>
          <w:p>
            <w:pPr>
              <w:spacing w:after="0"/>
              <w:rPr>
                <w:sz w:val="1"/>
                <w:szCs w:val="1"/>
                <w:color w:val="auto"/>
              </w:rPr>
            </w:pPr>
          </w:p>
        </w:tc>
      </w:tr>
      <w:tr>
        <w:trPr>
          <w:trHeight w:val="235"/>
        </w:trPr>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144,141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108,333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159,449</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paid during the year for:</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71,195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51,071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14,222</w:t>
            </w:r>
          </w:p>
        </w:tc>
        <w:tc>
          <w:tcPr>
            <w:tcW w:w="0" w:type="dxa"/>
            <w:vAlign w:val="bottom"/>
          </w:tcPr>
          <w:p>
            <w:pPr>
              <w:spacing w:after="0"/>
              <w:rPr>
                <w:sz w:val="1"/>
                <w:szCs w:val="1"/>
                <w:color w:val="auto"/>
              </w:rPr>
            </w:pPr>
          </w:p>
        </w:tc>
      </w:tr>
      <w:tr>
        <w:trPr>
          <w:trHeight w:val="165"/>
        </w:trPr>
        <w:tc>
          <w:tcPr>
            <w:tcW w:w="740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Income taxes (excludes $725, $1,571, and $32,318 of income taxes refunded in 2022, 2021, and 2020,</w:t>
            </w: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72,307</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19,340</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51,569</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respectively)</w:t>
            </w:r>
          </w:p>
        </w:tc>
        <w:tc>
          <w:tcPr>
            <w:tcW w:w="26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360" w:right="35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Nature of Operations and Summary of Accounting Policies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significant accounting policies consistently applied in the preparation of the accompanying consolidated financial statements follows: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Nature of Operations</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February 2023, we changed our corporate name from Rent-A-Center, Inc. to Upbound Group, Inc. The financial statements included herein include the accounts of Upbound Group, Inc., and its direct and indirect subsidiaries. All intercompany accounts and transactions have been eliminated. Unless the context indicates otherwise, references to “Upbound Group, Inc.” refer only to Upbound Group, Inc., the parent, and references to the “Company,” “we,” “us” and “our” refer to the consolidated business operations of Upbound Group, Inc. and any or all of its direct and indirect subsidiaries. We report four operating segments: Rent-A-Center Business, Acima (formerly Preferred Lease), Mexico and Franchising.</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Rent-A-Center Business segment consists of company-owned lease-to-own stores in the United States and Puerto Rico that lease household durable goods to customers on a lease-to-own basis. We also offer merchandise on an installment sales basis in certain of our stores under the names “Get It Now” and “Home Choice.” Our Rent-A-Center Business segment operates through our company-owned stores and e-commerce platform through rentacenter.com. At December 31, 2022, we operated 1,851 company-owned stores nationwide and in Puerto Rico, including 48 retail installment sales stores.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Acima segment, which operates in the United States and Puerto Rico, which includes the operations of Acima Holdings (as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defined in Note B below) acquired in February 2021 and our previous Preferred Lease virtual and staffed locations, generally offers the lease-to-own transaction to consumers who do not qualify for financing from the traditional retailer through staffed or unstaffed kiosks located within such retailer’s locations, or other virtual options. Virtual locations employ a virtual solution where customers, either directly or with the assistance of a representative of the third-party retailer, initiate the lease-to-own transaction online in the retailers’ locations using our virtual solutions.</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Mexico segment consists of our company-owned lease-to-own stores in Mexico that lease household durable goods to customers on a lease-to-own basis. At December 31, 2022, we operated 126 stores in Mexico.</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Rent-A-Center Franchising International, Inc., an indirect wholly-owned subsidiary of Rent-A-Center, is a franchisor of lease-to-own stores. At December 31, 2022, Franchising had 447 franchised stores operating in 31 states. Our Franchising segment’s primary source of revenue is the sale of rental merchandise to its franchisees, who in turn offer the merchandise to the general public for rent or purchase under a lease-to-own transaction. The balance of our Franchising segment’s revenue is generated primarily from royalties based on franchisees’ monthly gross revenues.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Rental Merchandise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Rental merchandise is carried at cost, net of accumulated depreciation. Depreciation for merchandise in Rent-A-Center Business, staffed Acima locations and Mexico stores is depreciated using the income forecasting method, which is intended to match as closely as practicable the recognition of depreciation expense with the consumption of the rental merchandise, and assumes no salvage value. The consumption of rental merchandise occurs during periods of rental and directly coincides with the receipt of rental revenue over the rental purchase agreement period. Under the income forecasting method, merchandise held for rent is not depreciated and merchandise on rent is depreciated in the proportion of rents received to total rents provided in the rental contract, which is an activity-based method similar to the units of production method. Lease merchandise in Acima Holdings is depreciated over the lease term using a straight-line depreciation method. Depreciation under the straight-line method is recognized each period over the term of the lease-to-own contract irrespective of receipt of revenue payments from the customer. In addition, we depreciate merchandise that is held for rent for at least 180 consecutive days using the straight-line method over a period generally not to exceed 18 months. Smartphones are depreciated over an 18-month straight-line basis beginning with the earlier of on rent or 90 consecutive days held for rent. Depreciation of merchandise in our virtual business is recognized using a straight-line method over the term of the lease contract.</w:t>
      </w:r>
    </w:p>
    <w:p>
      <w:pPr>
        <w:spacing w:after="0" w:line="8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Rental merchandise that is damaged and inoperable is expensed when such impairment occurs. If a customer does not return the merchandise or make payment, the remaining book value of the rental merchandise associated with delinquent accounts is generally charged off on or before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time the account became past due in the Rent-A-Center Business and Mexico segments, and during the month following the 120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in our Acima virtual business and 150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in our Acima staffed locations. Minor repairs made to rental merchandise are expensed at the time of the repair. In addition, we maintain a reserve for these expected losses, which estimates the merchandise losses incurred but not yet identified by management as of the end of the accounting period based on a combination of historical write-offs and expected future losses. As of December 31, 2022 and 2021, the reserve for merchandise losses was $93.6 million and $98.2 million, respectively. Expenses related to merchandise losses, damaged merchandise, or merchandise repairs are recorded to other store expenses in our Consolidated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406" w:lineRule="auto"/>
        <w:rPr>
          <w:sz w:val="20"/>
          <w:szCs w:val="20"/>
          <w:color w:val="auto"/>
        </w:rPr>
      </w:pPr>
      <w:r>
        <w:rPr>
          <w:rFonts w:ascii="Times New Roman" w:cs="Times New Roman" w:eastAsia="Times New Roman" w:hAnsi="Times New Roman"/>
          <w:sz w:val="18"/>
          <w:szCs w:val="18"/>
          <w:color w:val="auto"/>
        </w:rPr>
        <w:t xml:space="preserve">Statement of Operations and were $375.2 million, $331.9 million, and $205.2 million for the years ended December 31, 2022, 2021, and 2020, respectively. </w:t>
      </w:r>
      <w:r>
        <w:rPr>
          <w:rFonts w:ascii="Times New Roman" w:cs="Times New Roman" w:eastAsia="Times New Roman" w:hAnsi="Times New Roman"/>
          <w:sz w:val="18"/>
          <w:szCs w:val="18"/>
          <w:b w:val="1"/>
          <w:bCs w:val="1"/>
          <w:i w:val="1"/>
          <w:iCs w:val="1"/>
          <w:color w:val="auto"/>
        </w:rPr>
        <w:t>Cash Equivalents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equivalents include all highly liquid investments with an original maturity of three months or less. We maintain cash and cash equivalents at several financial institutions, which at times may not be federally insured or may exceed federally insured limits. We have not experienced any losses in such accounts and believe we are not exposed to any significant credit risks on such accounts.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Rental merchandise is leased to customers pursuant to lease-to-own agreements which provide for weekly, bi-weekly, semi-monthly or monthly terms with non-refundable lease payments. Generally, the customer has the right to acquire title of the merchandise either through a purchase option or through payment of all required lease terms. Rental revenue and fees are recognized over the lease term and merchandise sales revenue is recognized when the customer exercises the purchase option and pays the cash price due. Cash received prior to the period in which it should be recognized is deferred and recognized according to the lease term. Revenue is accrued for uncollected amounts due based on historical collection experience. However, the total amount of the lease-to-own agreement is not accrued because the customer can elect not to renew the lease-to-own agreement at any time and we cannot enforce collection for non-payment of future lease payments.</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Revenues from the sale of merchandise in our retail installment stores are recognized when the installment note is signed, the customer has taken possession of the merchandise and collectability is reasonably assured.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Franchise revenues from the sale of rental merchandise are recognized upon shipment of the merchandise to the franchisee. Franchise royalty income and fee revenue is recognized upon completion of substantially all services and satisfaction of all material conditions required under the terms of the franchise agreement. Initial franchise fees charged to franchisees for new or converted franchise stores are recognized on a straight-line basis over the term of the franchise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Receivables and Allowance for Doubtful Accounts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installment notes receivable associated with the sale of merchandise at our Get It Now and Home Choice stores generally consists of the sales price of the merchandise purchased and any additional fees for services the customer has chosen, less the customer’s down payment. No interest is accrued and interest income is recognized each time a customer makes a payment, generally on a monthly basis.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an allowance for doubtful accounts for our installment notes receivable. Our policy for determining the allowance is based on historical loss experience, as well as the results of management’s review and analysis of the payment and collection of the installment notes receivable within the previous year. We believe our allowance is adequate to absorb any known or probable losses. Our policy is to charge off installment notes receivable that are 120 days or more past due. Charge-offs are applied as a reduction to the allowance for doubtful accounts and any recoveries of previously charged off balances are applied as an increase to the allowance for doubtful accounts.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trade and notes receivables consist primarily of amounts due from our lease-to-own customers for renewal and uncollected rental payments, adjusted for the probability of collection based on our assessment of historical collection rates; amounts owed from our franchisees for inventory purchases, earned royalties and other obligations; and other corporate related receivables. The majority of our Franchising trade and notes receivables relate to amounts due from franchisees for inventory purchases, earned royalties and other obligations. Credit is extended based on an evaluation of a franchisee’s financial condition and collateral is generally not required. Trade receivables are generally due within 30 days and are reported as amounts due from franchisees, net of an allowance for doubtful accounts. Accounts that are outstanding longer than the contractual payment terms are considered past due. Franchising determines its allowance by considering a number of factors, including the length of time receivables are past due, previous loss history, the franchisee’s current ability to pay its obligation, and the condition of the general economy and the industry as a whole. Franchising writes off trade receivables that are 90 or more days past due and payments subsequently received on such receivables are credited to the allowance for doubtful accounts.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Assets and Related Depreciation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Furniture, equipment and vehicles are stated at cost less accumulated depreciation. Depreciation is provided over the estimated useful lives of the respective assets (generally 5 years) on the straight-line method. Leasehold improvements are amortized over the useful life of the asset or the initial term of the applicable leases on the straight-line method, whichever is shorter.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incurred costs to develop computer software for internal use. We capitalize the costs incurred during the application development stage, which includes designing the software configuration and interfaces, coding, installation, and testing. Costs incurred during the preliminary stages along with post-implementation stages of internally developed software are expensed as incurred. Internally developed software costs, once placed in service, are amortized over various periods up to 10 years.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incur repair and maintenance expenses on our vehicles and equipment. These amounts are recognized when incurred, unless such repairs significantly extend the life of the asset, in which case we amortize the cost of the repairs for the remaining useful life of the asset utilizing the straight-line method.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 goodwill when the consideration paid for an acquisition exceeds the fair value of the identifiable net tangible and identifiable intangible assets acquired. Goodwill is not subject to amortization but must be periodically evaluated for impairment for each reporting unit. Impairment occurs when the carrying value of goodwill is not recoverable from future cash flows. We perform an assessment of goodwill for impairment at the reporting unit level annually as of October 1, or when events or circumstances indicate that impairment may have occurred.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reporting units are our reportable operating segments. Factors which could necessitate an interim impairment assessment include a sustained decline in our stock price, prolonged negative industry or economic trends and significant underperformance relative to expected historical or projected future operating results.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our assessment, if the fair value of the reporting unit exceeds its carrying value, then the goodwill is not deemed impaired. If the carrying value of the reporting unit exceeds fair value, goodwill is deemed impaired and the impairment is measured as the difference between the carrying value and the fair value of the respective reporting unit. We determine the fair value of each reporting unit using methodologies which include the present value of estimated future cash flows. The analysis is based upon available information regarding expected future cash flows and discount rates. Discount rates are generally based upon our weighted average cost of capital.</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an alternative to performing a quantitative assessment to measure the fair value of the reporting unit, the Company may perform a qualitative assessment for impairment if it believes it is not more likely than not that the carrying value of the net assets of the reporting unit exceeds its fair value.</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2022, the amount of goodwill attributable to the Rent-A-Center Business and Acima segments was approximately $1.5 million and $288.3 million, respectively. We currently do not have goodwill balances attributable to our Mexico or Franchising segments.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Acquired intangible assets are recorded at their estimated fair value as of the date of acquisition and generally include customer relationships, merchant relationships, non-compete agreements and trade names. Customer relationships are generally amortized over a 21-month period, excluding Relationships with Existing Lessees recently acquired from Acima Holdings which are being amortized over 12 months. Non-compete Agreements are amortized over the contractual life of the agreements, Merchant Relationships are amortized over a 7 to 15 year period, and Trade Names and other intangible assets are amortized over the estimated life of the asset. Intangible assets are amortized using methods that we believe reflect the pattern in which the economic benefits of the related asset are consumed unless such pattern cannot be reliably determined, in which case we amortize using a straight-line amortization method.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Impairment of Long-Lived Assets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all long-lived assets, including intangible assets, excluding goodwill, for impairment whenever events or changes in circumstances indicate that the carrying amounts of the related assets may not be recoverable by the undiscounted net cash flows they will generate. Impairment is recognized when the carrying amounts of such assets exceed their fair value. We determine the fair value of our long-lived assets using methodologies which include the present value of estimated future cash flows of the asset, or related fair market values for similar assets.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 Liabilities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self-insured retentions with respect to losses under our workers’ compensation, general liability, vehicle liability and health insurance programs. We establish reserves for our liabilities associated with these losses by obtaining forecasts for the ultimate expected losses and estimating amounts needed to pay losses within our self-insured retentions. We make assumptions on our liabilities within our self-insured retentions using actuarial loss forecasts, company-specific development factors, general industry loss development factors, and third-party claim administrator loss estimates which are based on known facts surrounding individual claims. These assumptions incorporate expected increases in health care costs. Periodically, we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reevaluate our estimate of liability within our self-insured retentions. At that time, we evaluate the adequacy of our reserves by comparing amounts reserved on our balance sheet for anticipated losses to our updated actuarial loss forecasts and third-party claim administrator loss estimates, and make adjustments to our reserves as needed.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functional currency of our foreign operations is the applicable local currency. Assets and liabilities denominated in a foreign currency are translated into U.S. dollars at the current rate of exchange on the last day of the reporting period. Revenues and expenses are generally translated at a daily exchange rate and equity transactions are translated using the actual rate on the day of the transaction.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(loss) comprehensive income is comprised exclusively of our foreign currency translation adjustment.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record deferred taxes for temporary differences between the tax and financial reporting bases of assets and liabilities at the enacted tax rate expected to be in effect when those temporary differences are expected to be recovered or settled. Income tax accounting requires management to make estimates and apply judgments to events that will be recognized in one period under rules that apply to financial reporting in a different period in our tax returns. In particular, judgment is required when estimating the value of future tax deductions, tax credits and net operating loss carryforwards (NOLs), as represented by deferred tax assets. We evaluate the recoverability of these future tax deductions and credits by assessing the future expected taxable income from all sources, including reversal of taxable temporary differences, forecasted operating earnings and available tax planning strategies. These sources of income rely heavily on estimates. We use our historical experience and our short- and long-range business forecasts to provide insight and assist us in determining recoverability. When it is determined the recovery of all or a portion of a deferred tax asset is not likely, a valuation allowance is established. We include NOLs in the calculation of deferred tax assets. NOLs are utilized to the extent allowable due to the provisions of the Internal Revenue Code of 1986, as amended, and relevant state statutes.</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 the financial statement benefit of a tax position only after determining that the relevant tax authority would more likely than not sustain the position following an audit. For tax positions meeting the more likely-than-not threshold, the amount recognized in the financial statements is the largest benefit that has a greater than 50 percent likelihood of being realized upon the ultimate settlement with the relevant tax authority. A number of years may elapse before a particular matter, for which we have recorded a liability, is audited and effectively settled. We review our tax positions quarterly and adjust our liability for unrecognized tax benefits in the period in which we determine the issue is effectively settled with the tax authorities, the statute of limitations expires for the relevant taxing authority to examine the tax position, or when more information becomes available. We classify accrued interest and penalties related to unrecognized tax benefits as interest expense and general &amp; administrative expense,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apply the net basis for sales taxes imposed on our goods and services in our Consolidated Statements of Operations. We are required by the applicable governmental authorities to collect and remit sales taxes. Accordingly, such amounts are charged to the customer, collected and remitted directly to the appropriate jurisdictional entity.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Common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common share are based upon the weighted average number of common shares outstanding during each period presented. Diluted earnings per common share are based upon the weighted average number of common shares outstanding during the period, plus, if dilutive, the assumed exercise of stock options and vesting of stock awards at the beginning of the year, or for the period outstanding during the year for current year issuances.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incurred for producing and communicating advertising are expensed when incurred. Advertising expense was $53.6 million, $73.9 million, and $50.9 million, for the years ended December 31, 2022, 2021, and 2020, respectively. Advertising expense is net of vendor allowances of $20.0 million, $21.6 million, and $24.8 million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long-term incentive plans for the benefit of certain employees and directors, which are described more fully in Note O. We recognize share-based payment awards to our employees and directors at the estimated fair value on the grant date. Determining the fair value of any share-based award requires information about several variables that include, but are not limited to, expected stock volatility over the term of the award, expected dividend yields, and the risk free interest rate. We base the expected term on historical exercise and post-vesting employment-termination experience, and expected volatility on historical realized volatility trends. In addition, all stock-based compensation expense is recorded net of an estimated forfeiture rate. The forfeiture rate is based upon historical activity and is analyzed at least annually as actual forfeitures occur. Compensation costs are recognized net of estimated forfeitures over the requisite service period on a straight-line basis. We issue new shares to settle stock awards. Stock options are valued using a Black-Scholes pricing model. Time-vesting restricted stock units are valued using the closing price on the Nasdaq Global Select Market on the day before the grant date. Performance-based restricted stock units will vest in accordance with a total shareholder return formula, and are valued by a third-party valuation firm using Monte Carlo simulations.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reclassifications may be made to the reported amounts for prior periods to conform to the current period presentation. These reclassifications have no impact on net earnings or earnings per share in any period. There were no reclassifications of reported amounts for prior periods included in the financial statements of our Annual Report on Form 10-K for the year ended December 31,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preparing financial statements in conformity with U.S. generally accepted accounting principles, we are required to make estimates and assumptions that affect the reported amounts of assets and liabilities, the disclosure of contingent losses and liabilities at the date of the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However, uncertainties, including future unknown impacts from recent macro-economic trends, including related to the COVID-19 pandemic, and consumer spending behavior, may affect certain estimates and assumptions inherent in the financial reporting process, which may impact reported amounts of assets and liabilities in future periods and cause actual results to differ from those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Newly Adopted Accounting Pronouncements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 setting bodies that we adopt as of the specified effective date. As of December 31, 2022, we believe the impact of any recently issued standards that are not yet effective are either not applicable to us at this time, or will not have a material impact on our consolidated financial statements upon adoption.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Acquisitions and Divestitures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Acima Acquisition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17, 2021, we completed the acquisition of Acima Holdings, LLC (“Acima Holdings”). Acima Holdings is a leading platform offering customers virtual lease-to-own solutions at the point-of-sale via web and mobile technology.</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accordance with the agreement and plan of merger entered into in connections with the transaction (the “Merger Agreement”), we issued to the former owners of Acima Holdings an aggregate of 10,779,923 shares of our common stock (the “Aggregate Stock Consideration”) and paid to them aggregate cash consideration of $1.3 billion (the “Aggregate Cash Consideration”). In accordance with the terms of the Merger Agreement, the portion of the Aggregate Stock Consideration issued to employee former owners of Acima Holdings, is subject to restricted stock agreements providing vesting conditions over a 36-month period that began upon closing of the transaction. The portion of the Aggregate Stock Consideration issued to nonemployee former owners of Acima Holdings were previously subject to the terms of an 18-month lockup agreement, which expired on August 17, 2022. Following the expiration of the lock-up agreement, all shares of our common stock received by non-employee former owners in the transaction have now become transferable. We entered into a Registration Rights Agreement at the closing of the transaction pursuant to which certain former owners of Acima are entitled to registration rights in respect of the portion of the Aggregate Stock Consideration received by them in the transaction.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aggregate purchase price calculated in accordance with accounting standards under U.S. GAAP was approximately $1.4 billion, including the Aggregate Cash Consideration, and the 2,683,328 shares of the Aggregate Stock Consideration issued to non-employee former owners of Acima Holdings, valued at $51.14 per share, as of the closing date and discounted for lack of marketability on account of the transfer restrictions described above. The Aggregate Cash Consideration for the acquisition was financed with a combination of cash on hand, borrowings under our ABL Credit Facility and proceeds from issuances under our Term Loan Facility, as defined in Note K, in addition to proceeds from the issuance of new unsecured senior notes. See Note K and Note L for additional information.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purchase price excludes the remaining 8,096,595 shares of the Aggregate Stock Consideration issued to employee former owners of Acima Holdings. Such shares were valued at $414.1 million, based on the per share price of $51.14 as of the date of closing. These shares are instead being recognized as stock-based compensation expense subject to ASC Topic 718, “Stock-based Compensation”, over the required vesting period, and recorded to Other charges in our Consolidated Statements of Operations.</w:t>
      </w:r>
    </w:p>
    <w:p>
      <w:pPr>
        <w:spacing w:after="0" w:line="7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Assets acquired and liabilities assumed in connection with the acquisition have been recorded at their fair values. The following table provides the estimated fair values of the identifiable assets acquired and liabilities assumed as of the acquisition date: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6"/>
                <w:szCs w:val="16"/>
                <w:color w:val="auto"/>
              </w:rPr>
            </w:pPr>
          </w:p>
        </w:tc>
        <w:tc>
          <w:tcPr>
            <w:tcW w:w="15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February 17, 2021</w:t>
            </w:r>
          </w:p>
        </w:tc>
      </w:tr>
      <w:tr>
        <w:trPr>
          <w:trHeight w:val="23"/>
        </w:trPr>
        <w:tc>
          <w:tcPr>
            <w:tcW w:w="9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cash consideration</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1,273,263</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Aggregate stock consideration, subject to lockup agreements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120,929</w:t>
            </w:r>
          </w:p>
        </w:tc>
      </w:tr>
      <w:tr>
        <w:trPr>
          <w:trHeight w:val="223"/>
        </w:trPr>
        <w:tc>
          <w:tcPr>
            <w:tcW w:w="9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Purchase price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1,394,192</w:t>
            </w:r>
          </w:p>
        </w:tc>
      </w:tr>
      <w:tr>
        <w:trPr>
          <w:trHeight w:val="210"/>
        </w:trPr>
        <w:tc>
          <w:tcPr>
            <w:tcW w:w="9480" w:type="dxa"/>
            <w:vAlign w:val="bottom"/>
          </w:tcPr>
          <w:p>
            <w:pPr>
              <w:ind w:left="3920"/>
              <w:spacing w:after="0"/>
              <w:rPr>
                <w:sz w:val="20"/>
                <w:szCs w:val="20"/>
                <w:color w:val="auto"/>
              </w:rPr>
            </w:pPr>
            <w:r>
              <w:rPr>
                <w:rFonts w:ascii="Times New Roman" w:cs="Times New Roman" w:eastAsia="Times New Roman" w:hAnsi="Times New Roman"/>
                <w:sz w:val="18"/>
                <w:szCs w:val="18"/>
                <w:color w:val="auto"/>
              </w:rPr>
              <w:t>ASSETS ACQUIRED</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9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Receivables, net</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25,255</w:t>
            </w:r>
          </w:p>
        </w:tc>
      </w:tr>
      <w:tr>
        <w:trPr>
          <w:trHeight w:val="229"/>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merchandise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9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On rent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340,575</w:t>
            </w:r>
          </w:p>
        </w:tc>
      </w:tr>
      <w:tr>
        <w:trPr>
          <w:trHeight w:val="23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assets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171,455</w:t>
            </w:r>
          </w:p>
        </w:tc>
      </w:tr>
      <w:tr>
        <w:trPr>
          <w:trHeight w:val="23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9,136</w:t>
            </w:r>
          </w:p>
        </w:tc>
      </w:tr>
      <w:tr>
        <w:trPr>
          <w:trHeight w:val="23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28,559</w:t>
            </w:r>
          </w:p>
        </w:tc>
      </w:tr>
      <w:tr>
        <w:trPr>
          <w:trHeight w:val="229"/>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219,530</w:t>
            </w:r>
          </w:p>
        </w:tc>
      </w:tr>
      <w:tr>
        <w:trPr>
          <w:trHeight w:val="23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520,000</w:t>
            </w:r>
          </w:p>
        </w:tc>
      </w:tr>
      <w:tr>
        <w:trPr>
          <w:trHeight w:val="223"/>
        </w:trPr>
        <w:tc>
          <w:tcPr>
            <w:tcW w:w="9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 acquired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1,315,210</w:t>
            </w:r>
          </w:p>
        </w:tc>
      </w:tr>
      <w:tr>
        <w:trPr>
          <w:trHeight w:val="210"/>
        </w:trPr>
        <w:tc>
          <w:tcPr>
            <w:tcW w:w="948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8"/>
                <w:szCs w:val="18"/>
                <w:color w:val="auto"/>
              </w:rPr>
              <w:t>LIABILITIES ASSUMED</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 trade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16,023</w:t>
            </w:r>
          </w:p>
        </w:tc>
      </w:tr>
      <w:tr>
        <w:trPr>
          <w:trHeight w:val="22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11,716</w:t>
            </w:r>
          </w:p>
        </w:tc>
      </w:tr>
      <w:tr>
        <w:trPr>
          <w:trHeight w:val="23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9,689</w:t>
            </w:r>
          </w:p>
        </w:tc>
      </w:tr>
      <w:tr>
        <w:trPr>
          <w:trHeight w:val="23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(116,410)</w:t>
            </w:r>
          </w:p>
        </w:tc>
      </w:tr>
      <w:tr>
        <w:trPr>
          <w:trHeight w:val="223"/>
        </w:trPr>
        <w:tc>
          <w:tcPr>
            <w:tcW w:w="9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(78,982)</w:t>
            </w: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value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1,394,192</w:t>
            </w:r>
          </w:p>
        </w:tc>
      </w:tr>
    </w:tbl>
    <w:p>
      <w:pPr>
        <w:spacing w:after="0" w:line="57" w:lineRule="exact"/>
        <w:rPr>
          <w:sz w:val="20"/>
          <w:szCs w:val="20"/>
          <w:color w:val="auto"/>
        </w:rPr>
      </w:pPr>
    </w:p>
    <w:p>
      <w:pPr>
        <w:ind w:left="140" w:hanging="132"/>
        <w:spacing w:after="0"/>
        <w:tabs>
          <w:tab w:leader="none" w:pos="140" w:val="left"/>
        </w:tabs>
        <w:numPr>
          <w:ilvl w:val="0"/>
          <w:numId w:val="2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gross contractual receivables of $61.6 million related to merchandise lease contracts, of which $34.7 million were estimated to be uncollectible.</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Carrying value for assets and liabilities assumed as part of the acquisition, including receivables, prepaid expenses and other assets, accounts payable and accrued liabilities were recorded as fair value, as of the date of acquisition, due to the short term nature of these balances. Operating lease right-of-use assets and liabilities were recorded as the discounted value of future obligations in accordance with ASC Topic 842, “Leases”. The fair value measurements for acquired intangible assets and developed technology were primarily based on significant unobservable inputs (Level 3) developed using company-specific information. Certain fair values were determined based on an independent valuation of the net assets acquired, including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$340.6 million of rental merchandise and $520 million of identifiable intangible assets with an estimated weighted average useful life of 8 years,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vMerge w:val="restart"/>
          </w:tcPr>
          <w:p>
            <w:pPr>
              <w:ind w:left="300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1780" w:type="dxa"/>
            <w:vAlign w:val="bottom"/>
          </w:tcPr>
          <w:p>
            <w:pPr>
              <w:spacing w:after="0"/>
              <w:rPr>
                <w:sz w:val="13"/>
                <w:szCs w:val="13"/>
                <w:color w:val="auto"/>
              </w:rPr>
            </w:pPr>
          </w:p>
        </w:tc>
        <w:tc>
          <w:tcPr>
            <w:tcW w:w="196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Remaining Useful Life (in</w:t>
            </w:r>
          </w:p>
        </w:tc>
        <w:tc>
          <w:tcPr>
            <w:tcW w:w="0" w:type="dxa"/>
            <w:vAlign w:val="bottom"/>
          </w:tcPr>
          <w:p>
            <w:pPr>
              <w:spacing w:after="0"/>
              <w:rPr>
                <w:sz w:val="1"/>
                <w:szCs w:val="1"/>
                <w:color w:val="auto"/>
              </w:rPr>
            </w:pPr>
          </w:p>
        </w:tc>
      </w:tr>
      <w:tr>
        <w:trPr>
          <w:trHeight w:val="195"/>
        </w:trPr>
        <w:tc>
          <w:tcPr>
            <w:tcW w:w="5200" w:type="dxa"/>
            <w:vAlign w:val="bottom"/>
            <w:tcBorders>
              <w:bottom w:val="single" w:sz="8" w:color="auto"/>
            </w:tcBorders>
            <w:vMerge w:val="continue"/>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0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 relationships</w:t>
            </w:r>
          </w:p>
        </w:tc>
        <w:tc>
          <w:tcPr>
            <w:tcW w:w="1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380,000</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Relationship with existing lessees</w:t>
            </w:r>
          </w:p>
        </w:tc>
        <w:tc>
          <w:tcPr>
            <w:tcW w:w="17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7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7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Developed technology, included in Property assets, net, in line with our accounting policies, was also acquired with a value of $170.0 million and an estimated remaining useful life of 10 years. The fair value for these intangible and property assets were estimated using common industry valuation methods for similar asset types, based primarily on cost inputs and projected cash flows.</w:t>
      </w:r>
    </w:p>
    <w:p>
      <w:pPr>
        <w:spacing w:after="0" w:line="5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we recorded goodwill of $219.5 million in our Acima operating segment, which consists of the excess of the net purchase price over the fair value of the net assets acquired. Goodwill represents expected cost and revenue synergies and other benefits expected to result within our retail partner business from the acquisition of Acima Holdings. The total value of goodwill for tax purposes differs from recorded goodwill as a result of the Aggregate Stock Consideration subject to restricted stock agreements, differences in value assigned to other purchased assets, and acquisition-related expenses. Tax goodwill will be amortized over 15 years.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Acima Holdings' results of operations are reflected in our Consolidated Statements of Operations from the date of acquisition.</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the date of acquisition, we recorded certain adjustments to the purchase price allocation within the measurement period. Total cumulative measurement period adjustments resulted in a decrease to goodwill of approximately $(22.2) million. The purchase price allocation for the Acima Holdings acquisition was complete as of December 31, 2021.</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acquisition, we incurred approximately $23.9 million in acquisition-related expenses including expenses related to legal, professional, and banking transaction fees, which are treated as an addition to goodwill for tax purposes. These costs were included in Other charges in our Consolidated Statements of Operations.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combined results of operations present our financial results as if the acquisition of Acima had been completed on January 1, 2020. These unaudited pro forma results may not necessarily reflect the actual results of operations that would have been achieved, nor are they necessarily indicative of future results of operations. The unaudited pro forma information reflects the step-up and step-down depreciation and amortization adjustments for the fair value of the assets acquired, adjustments to stock compensation expense as a result of Aggregate Stock Consideration subject to restricted stock awards, the adjustments in interest expense due to the elimination of historical debt and placement of the new debt, and the related adjustments to the income tax provision. In addition, the pro forma net income has been adjusted to include transaction expenses and other non-recurring costs as of January 1, 2020. The unaudited pro forma financial information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160" w:type="dxa"/>
            <w:vAlign w:val="bottom"/>
            <w:gridSpan w:val="4"/>
          </w:tcPr>
          <w:p>
            <w:pPr>
              <w:jc w:val="right"/>
              <w:ind w:right="14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8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6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20" w:type="dxa"/>
            <w:vAlign w:val="bottom"/>
          </w:tcPr>
          <w:p>
            <w:pPr>
              <w:jc w:val="right"/>
              <w:ind w:right="617"/>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rPr>
              <w:t>(unaudited)</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total revenues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4,778,055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4,071,990</w:t>
            </w:r>
          </w:p>
        </w:tc>
        <w:tc>
          <w:tcPr>
            <w:tcW w:w="0" w:type="dxa"/>
            <w:vAlign w:val="bottom"/>
          </w:tcPr>
          <w:p>
            <w:pPr>
              <w:spacing w:after="0"/>
              <w:rPr>
                <w:sz w:val="1"/>
                <w:szCs w:val="1"/>
                <w:color w:val="auto"/>
              </w:rPr>
            </w:pPr>
          </w:p>
        </w:tc>
      </w:tr>
      <w:tr>
        <w:trPr>
          <w:trHeight w:val="295"/>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earnings</w:t>
            </w:r>
            <w:r>
              <w:rPr>
                <w:rFonts w:ascii="Times New Roman" w:cs="Times New Roman" w:eastAsia="Times New Roman" w:hAnsi="Times New Roman"/>
                <w:sz w:val="23"/>
                <w:szCs w:val="23"/>
                <w:color w:val="auto"/>
                <w:vertAlign w:val="superscript"/>
              </w:rPr>
              <w:t>(1)</w:t>
            </w:r>
          </w:p>
        </w:tc>
        <w:tc>
          <w:tcPr>
            <w:tcW w:w="4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178,103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66,352</w:t>
            </w:r>
          </w:p>
        </w:tc>
        <w:tc>
          <w:tcPr>
            <w:tcW w:w="0" w:type="dxa"/>
            <w:vAlign w:val="bottom"/>
          </w:tcPr>
          <w:p>
            <w:pPr>
              <w:spacing w:after="0"/>
              <w:rPr>
                <w:sz w:val="1"/>
                <w:szCs w:val="1"/>
                <w:color w:val="auto"/>
              </w:rPr>
            </w:pPr>
          </w:p>
        </w:tc>
      </w:tr>
    </w:tbl>
    <w:p>
      <w:pPr>
        <w:ind w:left="140" w:hanging="132"/>
        <w:spacing w:after="0" w:line="228" w:lineRule="auto"/>
        <w:tabs>
          <w:tab w:leader="none" w:pos="140" w:val="left"/>
        </w:tabs>
        <w:numPr>
          <w:ilvl w:val="0"/>
          <w:numId w:val="2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Total pro forma adjustments to net earnings represented an increase of $16.0 million and a decrease of $356.8 million for the twelve months ended December 31, 2021 and 2020, respectively.</w:t>
      </w:r>
    </w:p>
    <w:p>
      <w:pPr>
        <w:spacing w:after="0" w:line="93" w:lineRule="exact"/>
        <w:rPr>
          <w:sz w:val="20"/>
          <w:szCs w:val="20"/>
          <w:color w:val="auto"/>
        </w:rPr>
      </w:pPr>
    </w:p>
    <w:p>
      <w:pPr>
        <w:ind w:right="600"/>
        <w:spacing w:after="0" w:line="270" w:lineRule="auto"/>
        <w:rPr>
          <w:sz w:val="20"/>
          <w:szCs w:val="20"/>
          <w:color w:val="auto"/>
        </w:rPr>
      </w:pPr>
      <w:r>
        <w:rPr>
          <w:rFonts w:ascii="Times New Roman" w:cs="Times New Roman" w:eastAsia="Times New Roman" w:hAnsi="Times New Roman"/>
          <w:sz w:val="18"/>
          <w:szCs w:val="18"/>
          <w:color w:val="auto"/>
        </w:rPr>
        <w:t>The amounts of revenue and earnings of Acima Holdings included in our Consolidated Statements of Operations as of December 31, 2021 from the acquisition date of February 17th 2021 are as follows:</w:t>
      </w:r>
    </w:p>
    <w:tbl>
      <w:tblPr>
        <w:tblLayout w:type="fixed"/>
        <w:tblInd w:w="0" w:type="dxa"/>
        <w:tblCellMar>
          <w:top w:w="0" w:type="dxa"/>
          <w:left w:w="0" w:type="dxa"/>
          <w:bottom w:w="0" w:type="dxa"/>
          <w:right w:w="0" w:type="dxa"/>
        </w:tblCellMar>
      </w:tblPr>
      <w:tr>
        <w:trPr>
          <w:trHeight w:val="149"/>
        </w:trPr>
        <w:tc>
          <w:tcPr>
            <w:tcW w:w="8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2"/>
                <w:szCs w:val="12"/>
                <w:color w:val="auto"/>
              </w:rPr>
            </w:pPr>
          </w:p>
        </w:tc>
        <w:tc>
          <w:tcPr>
            <w:tcW w:w="196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February 17, 2021 -</w:t>
            </w:r>
          </w:p>
        </w:tc>
        <w:tc>
          <w:tcPr>
            <w:tcW w:w="0" w:type="dxa"/>
            <w:vAlign w:val="bottom"/>
          </w:tcPr>
          <w:p>
            <w:pPr>
              <w:spacing w:after="0"/>
              <w:rPr>
                <w:sz w:val="1"/>
                <w:szCs w:val="1"/>
                <w:color w:val="auto"/>
              </w:rPr>
            </w:pPr>
          </w:p>
        </w:tc>
      </w:tr>
      <w:tr>
        <w:trPr>
          <w:trHeight w:val="195"/>
        </w:trPr>
        <w:tc>
          <w:tcPr>
            <w:tcW w:w="896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8"/>
        </w:trPr>
        <w:tc>
          <w:tcPr>
            <w:tcW w:w="8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tcPr>
          <w:p>
            <w:pPr>
              <w:jc w:val="center"/>
              <w:ind w:right="237"/>
              <w:spacing w:after="0"/>
              <w:rPr>
                <w:sz w:val="20"/>
                <w:szCs w:val="20"/>
                <w:color w:val="auto"/>
              </w:rPr>
            </w:pPr>
            <w:r>
              <w:rPr>
                <w:rFonts w:ascii="Times New Roman" w:cs="Times New Roman" w:eastAsia="Times New Roman" w:hAnsi="Times New Roman"/>
                <w:sz w:val="18"/>
                <w:szCs w:val="18"/>
                <w:color w:val="auto"/>
                <w:w w:val="98"/>
              </w:rPr>
              <w:t>audited</w:t>
            </w:r>
          </w:p>
        </w:tc>
        <w:tc>
          <w:tcPr>
            <w:tcW w:w="0" w:type="dxa"/>
            <w:vAlign w:val="bottom"/>
          </w:tcPr>
          <w:p>
            <w:pPr>
              <w:spacing w:after="0"/>
              <w:rPr>
                <w:sz w:val="1"/>
                <w:szCs w:val="1"/>
                <w:color w:val="auto"/>
              </w:rPr>
            </w:pPr>
          </w:p>
        </w:tc>
      </w:tr>
      <w:tr>
        <w:trPr>
          <w:trHeight w:val="230"/>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1,495,746</w:t>
            </w:r>
          </w:p>
        </w:tc>
        <w:tc>
          <w:tcPr>
            <w:tcW w:w="0" w:type="dxa"/>
            <w:vAlign w:val="bottom"/>
          </w:tcPr>
          <w:p>
            <w:pPr>
              <w:spacing w:after="0"/>
              <w:rPr>
                <w:sz w:val="1"/>
                <w:szCs w:val="1"/>
                <w:color w:val="auto"/>
              </w:rPr>
            </w:pPr>
          </w:p>
        </w:tc>
      </w:tr>
      <w:tr>
        <w:trPr>
          <w:trHeight w:val="305"/>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119,183</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20" w:hanging="112"/>
        <w:spacing w:after="0"/>
        <w:tabs>
          <w:tab w:leader="none" w:pos="120" w:val="left"/>
        </w:tabs>
        <w:numPr>
          <w:ilvl w:val="0"/>
          <w:numId w:val="2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Net Earnings includes amortization of intangible assets acquired upon closing of the Acima Holdings acquisition.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concerning other store acquisitions completed during the years ended December 31, 2022, 2021 and 2020.</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stores acquired remaining open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Number of stores acquired that were merged with existing stores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transactions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purchase price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allocated to:</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10"/>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Rental merchandise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right="1860"/>
        <w:spacing w:after="0" w:line="406" w:lineRule="auto"/>
        <w:rPr>
          <w:sz w:val="20"/>
          <w:szCs w:val="20"/>
          <w:color w:val="auto"/>
        </w:rPr>
      </w:pPr>
      <w:r>
        <w:rPr>
          <w:rFonts w:ascii="Times New Roman" w:cs="Times New Roman" w:eastAsia="Times New Roman" w:hAnsi="Times New Roman"/>
          <w:sz w:val="18"/>
          <w:szCs w:val="18"/>
          <w:color w:val="auto"/>
        </w:rPr>
        <w:t xml:space="preserve">Operating results of the acquired stores and accounts have been included in the financial statements since their date of acquisition. </w:t>
      </w:r>
      <w:r>
        <w:rPr>
          <w:rFonts w:ascii="Times New Roman" w:cs="Times New Roman" w:eastAsia="Times New Roman" w:hAnsi="Times New Roman"/>
          <w:sz w:val="18"/>
          <w:szCs w:val="18"/>
          <w:b w:val="1"/>
          <w:bCs w:val="1"/>
          <w:i w:val="1"/>
          <w:iCs w:val="1"/>
          <w:color w:val="auto"/>
        </w:rPr>
        <w:t>California Refranchise Sale</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5, 2020, we sold all 99 Rent-A-Center Business corporate stores in the state of California to an experienced franchisee. We received cash consideration of approximately $16.0 million, including approximately $1.0 million in respect of related franchise fees. The sale included idle and on-rent inventory of approximately $30.0 million and property assets of approximately $0.8 million, resulting in a total loss on sale of approximately $16.6 million. The loss on sale was recorded to Other charges in our Consolidated Statement of Operations in the twelve months ended December 31, 2020.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disaggregates our revenue: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140" w:type="dxa"/>
            <w:vAlign w:val="bottom"/>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Twelve Months Ended December 31, 2022</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Rent-A-Center</w:t>
            </w:r>
          </w:p>
        </w:tc>
        <w:tc>
          <w:tcPr>
            <w:tcW w:w="260" w:type="dxa"/>
            <w:vAlign w:val="bottom"/>
          </w:tcPr>
          <w:p>
            <w:pPr>
              <w:spacing w:after="0"/>
              <w:rPr>
                <w:sz w:val="11"/>
                <w:szCs w:val="11"/>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Acima</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1"/>
                <w:szCs w:val="11"/>
                <w:color w:val="auto"/>
              </w:rPr>
            </w:pPr>
          </w:p>
        </w:tc>
        <w:tc>
          <w:tcPr>
            <w:tcW w:w="11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220" w:type="dxa"/>
            <w:vAlign w:val="bottom"/>
          </w:tcPr>
          <w:p>
            <w:pPr>
              <w:spacing w:after="0"/>
              <w:rPr>
                <w:sz w:val="11"/>
                <w:szCs w:val="11"/>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Franchising</w:t>
            </w:r>
          </w:p>
        </w:tc>
        <w:tc>
          <w:tcPr>
            <w:tcW w:w="180" w:type="dxa"/>
            <w:vAlign w:val="bottom"/>
          </w:tcPr>
          <w:p>
            <w:pPr>
              <w:spacing w:after="0"/>
              <w:rPr>
                <w:sz w:val="11"/>
                <w:szCs w:val="11"/>
                <w:color w:val="auto"/>
              </w:rPr>
            </w:pPr>
          </w:p>
        </w:tc>
        <w:tc>
          <w:tcPr>
            <w:tcW w:w="118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Rentals and fees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1,724,541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1,589,708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3,375,453</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Merchandise sales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675,288</w:t>
            </w: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Installment sales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72,328</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0" w:type="dxa"/>
            <w:vAlign w:val="bottom"/>
          </w:tcPr>
          <w:p>
            <w:pPr>
              <w:spacing w:after="0"/>
              <w:rPr>
                <w:sz w:val="1"/>
                <w:szCs w:val="1"/>
                <w:color w:val="auto"/>
              </w:rPr>
            </w:pPr>
          </w:p>
        </w:tc>
      </w:tr>
      <w:tr>
        <w:trPr>
          <w:trHeight w:val="223"/>
        </w:trPr>
        <w:tc>
          <w:tcPr>
            <w:tcW w:w="4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store revenues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1,949,864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2,110,320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4,128,044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Merchandise sales</w:t>
            </w: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91,350</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Royalty income and fees</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25,998</w:t>
            </w:r>
          </w:p>
        </w:tc>
        <w:tc>
          <w:tcPr>
            <w:tcW w:w="0" w:type="dxa"/>
            <w:vAlign w:val="bottom"/>
          </w:tcPr>
          <w:p>
            <w:pPr>
              <w:spacing w:after="0"/>
              <w:rPr>
                <w:sz w:val="1"/>
                <w:szCs w:val="1"/>
                <w:color w:val="auto"/>
              </w:rPr>
            </w:pPr>
          </w:p>
        </w:tc>
      </w:tr>
      <w:tr>
        <w:trPr>
          <w:trHeight w:val="223"/>
        </w:trPr>
        <w:tc>
          <w:tcPr>
            <w:tcW w:w="4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1,949,864</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2,110,320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64,880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120,328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4,245,392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20" w:hanging="112"/>
        <w:spacing w:after="0"/>
        <w:tabs>
          <w:tab w:leader="none" w:pos="120" w:val="left"/>
        </w:tabs>
        <w:numPr>
          <w:ilvl w:val="0"/>
          <w:numId w:val="2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revenues for our Acima segment, as defined in Note B.</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140" w:type="dxa"/>
            <w:vAlign w:val="bottom"/>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Twelve Months Ended December 31, 2021</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Rent-A-Center</w:t>
            </w:r>
          </w:p>
        </w:tc>
        <w:tc>
          <w:tcPr>
            <w:tcW w:w="260" w:type="dxa"/>
            <w:vAlign w:val="bottom"/>
          </w:tcPr>
          <w:p>
            <w:pPr>
              <w:spacing w:after="0"/>
              <w:rPr>
                <w:sz w:val="11"/>
                <w:szCs w:val="11"/>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Acima</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1"/>
                <w:szCs w:val="11"/>
                <w:color w:val="auto"/>
              </w:rPr>
            </w:pPr>
          </w:p>
        </w:tc>
        <w:tc>
          <w:tcPr>
            <w:tcW w:w="11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220" w:type="dxa"/>
            <w:vAlign w:val="bottom"/>
          </w:tcPr>
          <w:p>
            <w:pPr>
              <w:spacing w:after="0"/>
              <w:rPr>
                <w:sz w:val="11"/>
                <w:szCs w:val="11"/>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Franchising</w:t>
            </w:r>
          </w:p>
        </w:tc>
        <w:tc>
          <w:tcPr>
            <w:tcW w:w="180" w:type="dxa"/>
            <w:vAlign w:val="bottom"/>
          </w:tcPr>
          <w:p>
            <w:pPr>
              <w:spacing w:after="0"/>
              <w:rPr>
                <w:sz w:val="11"/>
                <w:szCs w:val="11"/>
                <w:color w:val="auto"/>
              </w:rPr>
            </w:pPr>
          </w:p>
        </w:tc>
        <w:tc>
          <w:tcPr>
            <w:tcW w:w="118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0"/>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4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Rentals and fees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1,762,847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1,701,532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58,074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3,522,453</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Merchandise sales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829,222</w:t>
            </w: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Installment sales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73,585</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0" w:type="dxa"/>
            <w:vAlign w:val="bottom"/>
          </w:tcPr>
          <w:p>
            <w:pPr>
              <w:spacing w:after="0"/>
              <w:rPr>
                <w:sz w:val="1"/>
                <w:szCs w:val="1"/>
                <w:color w:val="auto"/>
              </w:rPr>
            </w:pPr>
          </w:p>
        </w:tc>
      </w:tr>
      <w:tr>
        <w:trPr>
          <w:trHeight w:val="223"/>
        </w:trPr>
        <w:tc>
          <w:tcPr>
            <w:tcW w:w="4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store revenues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2,037,849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2,328,089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4,429,408</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Merchandise sales</w:t>
            </w: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126,856</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Royalty income and fees</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27,187</w:t>
            </w:r>
          </w:p>
        </w:tc>
        <w:tc>
          <w:tcPr>
            <w:tcW w:w="0" w:type="dxa"/>
            <w:vAlign w:val="bottom"/>
          </w:tcPr>
          <w:p>
            <w:pPr>
              <w:spacing w:after="0"/>
              <w:rPr>
                <w:sz w:val="1"/>
                <w:szCs w:val="1"/>
                <w:color w:val="auto"/>
              </w:rPr>
            </w:pPr>
          </w:p>
        </w:tc>
      </w:tr>
      <w:tr>
        <w:trPr>
          <w:trHeight w:val="223"/>
        </w:trPr>
        <w:tc>
          <w:tcPr>
            <w:tcW w:w="4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2,037,849</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2,328,089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61,403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156,110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4,583,451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20" w:hanging="112"/>
        <w:spacing w:after="0"/>
        <w:tabs>
          <w:tab w:leader="none" w:pos="120" w:val="left"/>
        </w:tabs>
        <w:numPr>
          <w:ilvl w:val="0"/>
          <w:numId w:val="3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revenues for our Acima segment, as defined in Note B.</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Twelve Months Ended December 31, 2020</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Rent-A-Center</w:t>
            </w:r>
          </w:p>
        </w:tc>
        <w:tc>
          <w:tcPr>
            <w:tcW w:w="280" w:type="dxa"/>
            <w:vAlign w:val="bottom"/>
          </w:tcPr>
          <w:p>
            <w:pPr>
              <w:spacing w:after="0"/>
              <w:rPr>
                <w:sz w:val="11"/>
                <w:szCs w:val="11"/>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Acima</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1"/>
                <w:szCs w:val="11"/>
                <w:color w:val="auto"/>
              </w:rPr>
            </w:pPr>
          </w:p>
        </w:tc>
        <w:tc>
          <w:tcPr>
            <w:tcW w:w="11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220" w:type="dxa"/>
            <w:vAlign w:val="bottom"/>
          </w:tcPr>
          <w:p>
            <w:pPr>
              <w:spacing w:after="0"/>
              <w:rPr>
                <w:sz w:val="11"/>
                <w:szCs w:val="11"/>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Franchising</w:t>
            </w:r>
          </w:p>
        </w:tc>
        <w:tc>
          <w:tcPr>
            <w:tcW w:w="180" w:type="dxa"/>
            <w:vAlign w:val="bottom"/>
          </w:tcPr>
          <w:p>
            <w:pPr>
              <w:spacing w:after="0"/>
              <w:rPr>
                <w:sz w:val="11"/>
                <w:szCs w:val="11"/>
                <w:color w:val="auto"/>
              </w:rPr>
            </w:pPr>
          </w:p>
        </w:tc>
        <w:tc>
          <w:tcPr>
            <w:tcW w:w="118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0"/>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40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Rentals and fees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1,604,615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610,908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2,263,091</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Merchandise sales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378,717</w:t>
            </w:r>
          </w:p>
        </w:tc>
        <w:tc>
          <w:tcPr>
            <w:tcW w:w="0" w:type="dxa"/>
            <w:vAlign w:val="bottom"/>
          </w:tcPr>
          <w:p>
            <w:pPr>
              <w:spacing w:after="0"/>
              <w:rPr>
                <w:sz w:val="1"/>
                <w:szCs w:val="1"/>
                <w:color w:val="auto"/>
              </w:rPr>
            </w:pPr>
          </w:p>
        </w:tc>
      </w:tr>
      <w:tr>
        <w:trPr>
          <w:trHeight w:val="230"/>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Installment sales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68,500</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0" w:type="dxa"/>
            <w:vAlign w:val="bottom"/>
          </w:tcPr>
          <w:p>
            <w:pPr>
              <w:spacing w:after="0"/>
              <w:rPr>
                <w:sz w:val="1"/>
                <w:szCs w:val="1"/>
                <w:color w:val="auto"/>
              </w:rPr>
            </w:pPr>
          </w:p>
        </w:tc>
      </w:tr>
      <w:tr>
        <w:trPr>
          <w:trHeight w:val="223"/>
        </w:trPr>
        <w:tc>
          <w:tcPr>
            <w:tcW w:w="4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store revenues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1,852,641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2,714,153</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Merchandise sales</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80,023</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Royalty income and fees</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20,015</w:t>
            </w:r>
          </w:p>
        </w:tc>
        <w:tc>
          <w:tcPr>
            <w:tcW w:w="0" w:type="dxa"/>
            <w:vAlign w:val="bottom"/>
          </w:tcPr>
          <w:p>
            <w:pPr>
              <w:spacing w:after="0"/>
              <w:rPr>
                <w:sz w:val="1"/>
                <w:szCs w:val="1"/>
                <w:color w:val="auto"/>
              </w:rPr>
            </w:pPr>
          </w:p>
        </w:tc>
      </w:tr>
      <w:tr>
        <w:trPr>
          <w:trHeight w:val="223"/>
        </w:trPr>
        <w:tc>
          <w:tcPr>
            <w:tcW w:w="4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1,852,641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810,151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50,583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100,816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2,814,191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20" w:hanging="112"/>
        <w:spacing w:after="0"/>
        <w:tabs>
          <w:tab w:leader="none" w:pos="120" w:val="left"/>
        </w:tabs>
        <w:numPr>
          <w:ilvl w:val="0"/>
          <w:numId w:val="3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revenues for our Acima segment, as defined in Note B.</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Purchase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Rent-A-Center Business, Acima, and Mexico</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Rentals and Fees. </w:t>
      </w:r>
      <w:r>
        <w:rPr>
          <w:rFonts w:ascii="Times New Roman" w:cs="Times New Roman" w:eastAsia="Times New Roman" w:hAnsi="Times New Roman"/>
          <w:sz w:val="18"/>
          <w:szCs w:val="18"/>
          <w:color w:val="auto"/>
        </w:rPr>
        <w:t>Rental merchandise is leased to customers pursuant to lease-to-own agreements which provide for weekly, bi-weekly, semi-monthly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monthly terms with non-refundable lease payments. At the expiration of each lease term, customers may renew the lease-to-own agreement for the next lease term. Generally, the customer has the right to acquire title of the merchandise either through a purchase option or through payment of all required lease terms. Customers can terminate the lease-to-own agreement at the end of any lease term without penalty. Therefore, lease-to-own agreements are accounted for as operating leases.</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 payments received at our Rent-A-Center Business stores, certain Acima staffed locations formerly operating under the Preferred Lease brand, and Mexico stores must be prepaid in advance of the next lease term. Under the Acima Holdings business model, revenues may be earned prior to the lease payment due date, in which case revenue is accrued prior to receipt of the lease payment, net of estimated returns and uncollectible renewal payments. Under both models, rental revenue is recognized over the lease term. See Note D for additional information regarding accrued lease revenue.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received for rental payments, including fees, prior to the period in which it should be recognized, is deferred and recognized according to the lease term. At December 31, 2022 and 2021, we had $54.9 million and $51.7 million, respectively, in deferred revenue included in accrued liabilities related to our lease-to-own agreements. Revenue related to various payment, reinstatement or late fees is recognized when paid by the customer at the point service is provided. Rental merchandise in our Rent-A-Center Business, former Preferred Lease locations, and Mexico stores is depreciated using the income forecasting method and recognized in cost of rentals and fees in our Consolidated Statement of Operations over the lease term. Lease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merchandise in Acima Holdings is depreciated over the lease term using a straight-line depreciation method. Under the income forecasting method, the consumption of lease merchandise occurs during periods of rental and depreciation directly coincides with the receipt of rental revenue over the lease-to-own contract period. Depreciation under the straight-line method is recognized each period over the term of the lease-to-own contract irrespective of receipt of revenue payments from the customer.</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offer additional product plans along with our rental agreements which provide customers with liability protection against significant damage or loss of a product, and club membership benefits, including various discount programs and product service and replacement benefits in the event merchandise is damaged or lost, and payment insurance in the event eligible customers become unemployed. Customers renew product plans in conjunction with their rental term renewals, and can cancel the plans at any time. Revenue for product plans is recognized over the term of the plan. Costs incurred related to product plans are primarily recognized in cost of sales.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Rent-A-Center Business, Acima, and Mexico</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Merchandise Sales. </w:t>
      </w:r>
      <w:r>
        <w:rPr>
          <w:rFonts w:ascii="Times New Roman" w:cs="Times New Roman" w:eastAsia="Times New Roman" w:hAnsi="Times New Roman"/>
          <w:sz w:val="18"/>
          <w:szCs w:val="18"/>
          <w:color w:val="auto"/>
        </w:rPr>
        <w:t>Merchandise sales include payments received for the exercise of the early purchase options offered through our lease-to-own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or merchandise sold through point of sale transactions. Revenue for merchandise sales is recognized when payment is received and ownership of the merchandise passes to the customer. The remaining net value of merchandise sold is recorded to cost of sales at the time of the transaction.</w:t>
      </w:r>
    </w:p>
    <w:p>
      <w:pPr>
        <w:spacing w:after="0" w:line="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Installment Sales. </w:t>
      </w:r>
      <w:r>
        <w:rPr>
          <w:rFonts w:ascii="Times New Roman" w:cs="Times New Roman" w:eastAsia="Times New Roman" w:hAnsi="Times New Roman"/>
          <w:sz w:val="18"/>
          <w:szCs w:val="18"/>
          <w:color w:val="auto"/>
        </w:rPr>
        <w:t>Revenue from the sale of merchandise in our retail installment stores is recognized when the installment note is signed and control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merchandise has passed to the customer. The cost of merchandise sold through installment agreements is recognized in cost of sales at the time of the transaction. We offer extended service plans with our installment agreements which are administered by third parties and provide customers with product service maintenance beyond the term of the installment agreement. Payments received for extended service plans are deferred and recognized, net of related costs, when the installment payment plan is complete and the service plan goes into effect. Customers can cancel extended service plans at any time during the installment agreement period and receive a refund for payments previously made towards the plan. At December 31, 2022 and 2021, we had $2.0 million and $2.6 million, respectively, in deferred revenue included in accrued liabilities related to extended service plans.</w:t>
      </w:r>
    </w:p>
    <w:p>
      <w:pPr>
        <w:spacing w:after="0" w:line="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Other revenue consists of revenue generated by other miscellaneous product plans offered to our rental and installment customers. Revenue for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plans is recognized in accordance with the terms of the applicable plan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Franchising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Merchandise Sales. </w:t>
      </w:r>
      <w:r>
        <w:rPr>
          <w:rFonts w:ascii="Times New Roman" w:cs="Times New Roman" w:eastAsia="Times New Roman" w:hAnsi="Times New Roman"/>
          <w:sz w:val="18"/>
          <w:szCs w:val="18"/>
          <w:color w:val="auto"/>
        </w:rPr>
        <w:t>Revenue from the sale of rental merchandise is recognized upon shipment of the merchandise to the franchisee.</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Royalty Income and Fees. </w:t>
      </w:r>
      <w:r>
        <w:rPr>
          <w:rFonts w:ascii="Times New Roman" w:cs="Times New Roman" w:eastAsia="Times New Roman" w:hAnsi="Times New Roman"/>
          <w:sz w:val="18"/>
          <w:szCs w:val="18"/>
          <w:color w:val="auto"/>
        </w:rPr>
        <w:t>Franchise royalties, including franchisee contributions to corporate advertising funds, represent sales-based royalties calculated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percentage of gross rental payments and sales. Royalty revenue is accrued and recognized as rental payments and merchandise sales occur. Franchise fees are initial fees charged to franchisees for new or converted franchise stores. Franchise fee revenue is recognized on a straight-line basis over the term of the franchise agreement. At December 31, 2022 and 2021, we had $3.4 million and $4.1 million, respectively, in deferred revenue included in accrued liabilities related to franchise fees.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Receivables and Allowance for Doubtful Accounts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Installment sales receivables consist primarily of receivables due from customers for the sale of merchandise in our retail installment stores. Installment sales receivables associated with the sale of merchandise at our Get It Now and Home Choice stores generally consist of the sales price of the merchandise purchased and any additional fees for services the customer has chosen, less the customer’s down payment. No interest is accrued and interest income is recognized each time a customer makes a payment, generally on a monthly basis. Interest paid on installment agreements for the twelve months ended December 31, 2022, 2021 and 2020 was $12.1 million, $12.2 million, and $11.5 million, respectively.</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Trade and notes receivables consist of amounts due from our lease-to-own customers for renewal and uncollected rental payments, adjusted for the probability of collection based on our assessment of historical collection rates and length of time the receivable is past due; amounts owed from our franchisees for inventory purchases, earned royalties and other obligations; and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other corporate related receivables. Credit is extended to franchisees based on an evaluation of each franchisee’s financial condition and collateral is generally not required. Trade receivables are generally due within 30 days.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Installment sales receivable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69,550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66,276</w:t>
            </w:r>
          </w:p>
        </w:tc>
        <w:tc>
          <w:tcPr>
            <w:tcW w:w="0" w:type="dxa"/>
            <w:vAlign w:val="bottom"/>
          </w:tcPr>
          <w:p>
            <w:pPr>
              <w:spacing w:after="0"/>
              <w:rPr>
                <w:sz w:val="1"/>
                <w:szCs w:val="1"/>
                <w:color w:val="auto"/>
              </w:rPr>
            </w:pPr>
          </w:p>
        </w:tc>
      </w:tr>
      <w:tr>
        <w:trPr>
          <w:trHeight w:val="216"/>
        </w:trPr>
        <w:tc>
          <w:tcPr>
            <w:tcW w:w="824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Trade and notes receivables</w:t>
            </w:r>
            <w:r>
              <w:rPr>
                <w:rFonts w:ascii="Times New Roman" w:cs="Times New Roman" w:eastAsia="Times New Roman" w:hAnsi="Times New Roman"/>
                <w:sz w:val="21"/>
                <w:szCs w:val="21"/>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55,529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68,581</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receivables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125,079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134,857</w:t>
            </w:r>
          </w:p>
        </w:tc>
        <w:tc>
          <w:tcPr>
            <w:tcW w:w="0" w:type="dxa"/>
            <w:vAlign w:val="bottom"/>
          </w:tcPr>
          <w:p>
            <w:pPr>
              <w:spacing w:after="0"/>
              <w:rPr>
                <w:sz w:val="1"/>
                <w:szCs w:val="1"/>
                <w:color w:val="auto"/>
              </w:rPr>
            </w:pPr>
          </w:p>
        </w:tc>
      </w:tr>
      <w:tr>
        <w:trPr>
          <w:trHeight w:val="216"/>
        </w:trPr>
        <w:tc>
          <w:tcPr>
            <w:tcW w:w="824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Less allowance for doubtful accounts</w:t>
            </w:r>
            <w:r>
              <w:rPr>
                <w:rFonts w:ascii="Times New Roman" w:cs="Times New Roman" w:eastAsia="Times New Roman" w:hAnsi="Times New Roman"/>
                <w:sz w:val="21"/>
                <w:szCs w:val="21"/>
                <w:color w:val="auto"/>
                <w:vertAlign w:val="superscript"/>
              </w:rPr>
              <w:t>(2)</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(13,214)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(8,479)</w:t>
            </w:r>
          </w:p>
        </w:tc>
        <w:tc>
          <w:tcPr>
            <w:tcW w:w="0" w:type="dxa"/>
            <w:vAlign w:val="bottom"/>
          </w:tcPr>
          <w:p>
            <w:pPr>
              <w:spacing w:after="0"/>
              <w:rPr>
                <w:sz w:val="1"/>
                <w:szCs w:val="1"/>
                <w:color w:val="auto"/>
              </w:rPr>
            </w:pPr>
          </w:p>
        </w:tc>
      </w:tr>
      <w:tr>
        <w:trPr>
          <w:trHeight w:val="235"/>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receivables, net of allowance for doubtful accounts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111,865</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126,378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ind w:left="140" w:hanging="132"/>
        <w:spacing w:after="0"/>
        <w:tabs>
          <w:tab w:leader="none" w:pos="140" w:val="left"/>
        </w:tabs>
        <w:numPr>
          <w:ilvl w:val="0"/>
          <w:numId w:val="3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Trade and notes receivables includes accrued revenue, adjusted for the probability of collection, related to our lease-to-own agreements of $28.7 million and $44.8 million at December 31, 2022 and 2021.</w:t>
      </w:r>
    </w:p>
    <w:p>
      <w:pPr>
        <w:ind w:left="180" w:hanging="172"/>
        <w:spacing w:after="0" w:line="214" w:lineRule="auto"/>
        <w:tabs>
          <w:tab w:leader="none" w:pos="133" w:val="left"/>
        </w:tabs>
        <w:numPr>
          <w:ilvl w:val="0"/>
          <w:numId w:val="3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Lease receivables are accrued on a net basis, adjusted for the probability of collection based on our assessment of historical collection rates, as described above. Therefore, we do not maintain a separate allowance for doubtful accounts related to our lease receivables.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an allowance for doubtful accounts for our installment notes receivable. Our policy for determining the allowance is primarily based on historical loss experience, as well as the results of management’s review and analysis of the payment and collection of the installment notes receivable within the previous year. We believe our allowance is adequate to absorb all expected losses. Our policy is to charge off installment notes receivable that are 120 days or more past due. Charge-offs are applied as a reduction to the allowance for doubtful accounts and any recoveries of previously charged off balances are applied as an increase to the allowance for doubtful accounts.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our Franchising trade and notes receivables is determined by considering a number of factors, including the length of time receivables are past due, previous loss history, the franchisee’s current ability to pay its obligation, and the condition of the general economy and the industry as a whole. Trade receivables that are more than 90 days past due are either written-off or fully reserved in our allowance for doubtful accounts. Payments subsequently received on such receivables are credited to the allowance for doubtful accounts.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allowance for doubtful accounts related to Franchising trade and notes receivables was $1.2 million and $0.9 million, and the allowance for doubtful accounts related to installment sales receivables was $12.0 million and $7.6 million at December 31, 2022 and 2021,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allowance for doubtful accounts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allowance for doubtful accounts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5,601</w:t>
            </w:r>
          </w:p>
        </w:tc>
        <w:tc>
          <w:tcPr>
            <w:tcW w:w="0" w:type="dxa"/>
            <w:vAlign w:val="bottom"/>
          </w:tcPr>
          <w:p>
            <w:pPr>
              <w:spacing w:after="0"/>
              <w:rPr>
                <w:sz w:val="1"/>
                <w:szCs w:val="1"/>
                <w:color w:val="auto"/>
              </w:rPr>
            </w:pPr>
          </w:p>
        </w:tc>
      </w:tr>
      <w:tr>
        <w:trPr>
          <w:trHeight w:val="216"/>
        </w:trPr>
        <w:tc>
          <w:tcPr>
            <w:tcW w:w="66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Estimated uncollectible payments and returns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24,658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14,636</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written off, net of recoveries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(12,190)</w:t>
            </w:r>
          </w:p>
        </w:tc>
        <w:tc>
          <w:tcPr>
            <w:tcW w:w="0" w:type="dxa"/>
            <w:vAlign w:val="bottom"/>
          </w:tcPr>
          <w:p>
            <w:pPr>
              <w:spacing w:after="0"/>
              <w:rPr>
                <w:sz w:val="1"/>
                <w:szCs w:val="1"/>
                <w:color w:val="auto"/>
              </w:rPr>
            </w:pPr>
          </w:p>
        </w:tc>
      </w:tr>
      <w:tr>
        <w:trPr>
          <w:trHeight w:val="209"/>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allowance for doubtful accounts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13,214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8,047</w:t>
            </w:r>
          </w:p>
        </w:tc>
        <w:tc>
          <w:tcPr>
            <w:tcW w:w="0" w:type="dxa"/>
            <w:vAlign w:val="bottom"/>
          </w:tcPr>
          <w:p>
            <w:pPr>
              <w:spacing w:after="0"/>
              <w:rPr>
                <w:sz w:val="1"/>
                <w:szCs w:val="1"/>
                <w:color w:val="auto"/>
              </w:rPr>
            </w:pPr>
          </w:p>
        </w:tc>
      </w:tr>
      <w:tr>
        <w:trPr>
          <w:trHeight w:val="21"/>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20" w:hanging="112"/>
        <w:spacing w:after="0"/>
        <w:tabs>
          <w:tab w:leader="none" w:pos="120" w:val="left"/>
        </w:tabs>
        <w:numPr>
          <w:ilvl w:val="0"/>
          <w:numId w:val="3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Uncollectible installment payments, franchisee obligations, and other corporate receivables are recognized in other store operating expenses in our consolidated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 Rental Merchandise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 rent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1,629,394</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1,894,247</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(639,525)</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(721,223)</w:t>
            </w:r>
          </w:p>
        </w:tc>
        <w:tc>
          <w:tcPr>
            <w:tcW w:w="0" w:type="dxa"/>
            <w:vAlign w:val="bottom"/>
          </w:tcPr>
          <w:p>
            <w:pPr>
              <w:spacing w:after="0"/>
              <w:rPr>
                <w:sz w:val="1"/>
                <w:szCs w:val="1"/>
                <w:color w:val="auto"/>
              </w:rPr>
            </w:pPr>
          </w:p>
        </w:tc>
      </w:tr>
      <w:tr>
        <w:trPr>
          <w:trHeight w:val="212"/>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book value, on rent</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989,869</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1,173,024</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Held for rent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159,399</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155,832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(24,440)</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(22,848)</w:t>
            </w:r>
          </w:p>
        </w:tc>
        <w:tc>
          <w:tcPr>
            <w:tcW w:w="0" w:type="dxa"/>
            <w:vAlign w:val="bottom"/>
          </w:tcPr>
          <w:p>
            <w:pPr>
              <w:spacing w:after="0"/>
              <w:rPr>
                <w:sz w:val="1"/>
                <w:szCs w:val="1"/>
                <w:color w:val="auto"/>
              </w:rPr>
            </w:pPr>
          </w:p>
        </w:tc>
      </w:tr>
      <w:tr>
        <w:trPr>
          <w:trHeight w:val="212"/>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book value, held for rent</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134,959</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132,984</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Property Assets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479,714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468,011</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 and leasehold improvements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207,613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199,280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158,843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172,418</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Transportation equipment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25,293</w:t>
            </w:r>
          </w:p>
        </w:tc>
        <w:tc>
          <w:tcPr>
            <w:tcW w:w="0" w:type="dxa"/>
            <w:vAlign w:val="bottom"/>
          </w:tcPr>
          <w:p>
            <w:pPr>
              <w:spacing w:after="0"/>
              <w:rPr>
                <w:sz w:val="1"/>
                <w:szCs w:val="1"/>
                <w:color w:val="auto"/>
              </w:rPr>
            </w:pPr>
          </w:p>
        </w:tc>
      </w:tr>
      <w:tr>
        <w:trPr>
          <w:trHeight w:val="207"/>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property assets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872,046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865,551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(576,675)</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(557,453)</w:t>
            </w:r>
          </w:p>
        </w:tc>
        <w:tc>
          <w:tcPr>
            <w:tcW w:w="0" w:type="dxa"/>
            <w:vAlign w:val="bottom"/>
          </w:tcPr>
          <w:p>
            <w:pPr>
              <w:spacing w:after="0"/>
              <w:rPr>
                <w:sz w:val="1"/>
                <w:szCs w:val="1"/>
                <w:color w:val="auto"/>
              </w:rPr>
            </w:pPr>
          </w:p>
        </w:tc>
      </w:tr>
      <w:tr>
        <w:trPr>
          <w:trHeight w:val="212"/>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property assets, net of accumulated depreciation</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295,371</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308,098</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$19.8 million and $21.6 million of capitalized software costs included in construction in progress at December 31, 2022 and 2021, respectively. For the years ended December 31, 2022, 2021, and 2020, we placed in service internally developed software of approximately $20.5 million, $12.3 million, and $9.5 million, respectively, and acquired software assets with an estimated fair value of $170.0 million for the year ended December 31,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Leases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lease space for all of our Rent-A-Center Business and Mexico stores under operating leases expiring at various times through 2032. In addition, we lease space for certain support facilities under operating leases expiring at various times through 2032. Most of our store leases are five year leases and contain renewal options for additional periods ranging from three years to five years at rental rates adjusted according to agreed upon formulas. We evaluate all leases to determine if it is likely that we will exercise future renewal options and in most cases we are not reasonably certain of exercise due to competing market rental rates and lack of significant penalty or business disruption incurred by not exercising the renewal options.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certain situations involving the sale of a Rent-A-Center Business corporate store to a franchisee, we enter into a lease assignment agreement with the buyer, but we remain the primary obligor under the original lease for the remaining active term. These assignments are therefore classified as subleases and the original lease is included in our operating lease right-of-use assets and operating lease liabilities in our Consolidated Balance Sheets.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lease vehicles for all of our Rent-A-Center Business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Consolidated Balance Sheets. We also lease vehicles for all of our Mexico stores which have terms expiring at various times through 2026 with rental rates adjusted periodically for inflation. Finally, we have a minimal number of equipment leases, primarily related to temporary storage containers and certain back office technology hardware assets.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calculation of operating right-of-use assets and operating lease liabilities, we have elected not to separate the lease and non-lease components. Furthermore, operating lease right-of-use assets and operating lease liabilities are discounted using our incremental borrowing rate, since the implicit rate is not readily determinable. We do not currently have any financing leases.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costs are recorded on a straight-line basis within other store expenses in our Consolidated Statements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lease costs by expense type: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tcPr>
          <w:p>
            <w:pPr>
              <w:spacing w:after="0"/>
              <w:rPr>
                <w:sz w:val="16"/>
                <w:szCs w:val="16"/>
                <w:color w:val="auto"/>
              </w:rPr>
            </w:pPr>
          </w:p>
        </w:tc>
        <w:tc>
          <w:tcPr>
            <w:tcW w:w="15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216"/>
        </w:trPr>
        <w:tc>
          <w:tcPr>
            <w:tcW w:w="5780" w:type="dxa"/>
            <w:vAlign w:val="bottom"/>
            <w:tcBorders>
              <w:top w:val="single" w:sz="8" w:color="CCEEFF"/>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Operating lease cost included in other store expenses</w:t>
            </w:r>
            <w:r>
              <w:rPr>
                <w:rFonts w:ascii="Times New Roman" w:cs="Times New Roman" w:eastAsia="Times New Roman" w:hAnsi="Times New Roman"/>
                <w:sz w:val="21"/>
                <w:szCs w:val="21"/>
                <w:color w:val="auto"/>
                <w:vertAlign w:val="superscript"/>
              </w:rPr>
              <w:t>(1)(2)</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124,376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129,217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140,186</w:t>
            </w: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cost included in other charges</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Sublease receipts</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(9,727)</w:t>
            </w:r>
          </w:p>
        </w:tc>
        <w:tc>
          <w:tcPr>
            <w:tcW w:w="0" w:type="dxa"/>
            <w:vAlign w:val="bottom"/>
          </w:tcPr>
          <w:p>
            <w:pPr>
              <w:spacing w:after="0"/>
              <w:rPr>
                <w:sz w:val="1"/>
                <w:szCs w:val="1"/>
                <w:color w:val="auto"/>
              </w:rPr>
            </w:pPr>
          </w:p>
        </w:tc>
      </w:tr>
      <w:tr>
        <w:trPr>
          <w:trHeight w:val="212"/>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lease charges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117,551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117,713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131,695</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20" w:hanging="112"/>
        <w:spacing w:after="0"/>
        <w:tabs>
          <w:tab w:leader="none" w:pos="120" w:val="left"/>
        </w:tabs>
        <w:numPr>
          <w:ilvl w:val="0"/>
          <w:numId w:val="3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short-term lease costs, which are not significant.</w:t>
      </w:r>
    </w:p>
    <w:p>
      <w:pPr>
        <w:spacing w:after="0" w:line="15" w:lineRule="exact"/>
        <w:rPr>
          <w:rFonts w:ascii="Times New Roman" w:cs="Times New Roman" w:eastAsia="Times New Roman" w:hAnsi="Times New Roman"/>
          <w:sz w:val="14"/>
          <w:szCs w:val="14"/>
          <w:color w:val="auto"/>
          <w:vertAlign w:val="superscript"/>
        </w:rPr>
      </w:pPr>
    </w:p>
    <w:p>
      <w:pPr>
        <w:ind w:left="140" w:hanging="132"/>
        <w:spacing w:after="0" w:line="195" w:lineRule="auto"/>
        <w:tabs>
          <w:tab w:leader="none" w:pos="140" w:val="left"/>
        </w:tabs>
        <w:numPr>
          <w:ilvl w:val="0"/>
          <w:numId w:val="3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Excludes variable lease costs of $36.2 million and $33.7 million for the twelve months ended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40" w:type="dxa"/>
            <w:vAlign w:val="bottom"/>
            <w:vMerge w:val="continue"/>
          </w:tcPr>
          <w:p>
            <w:pPr>
              <w:spacing w:after="0"/>
              <w:rPr>
                <w:sz w:val="15"/>
                <w:szCs w:val="15"/>
                <w:color w:val="auto"/>
              </w:rPr>
            </w:pPr>
          </w:p>
        </w:tc>
        <w:tc>
          <w:tcPr>
            <w:tcW w:w="17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7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measurement of operating lease liabilities</w:t>
            </w:r>
          </w:p>
        </w:tc>
        <w:tc>
          <w:tcPr>
            <w:tcW w:w="620" w:type="dxa"/>
            <w:vAlign w:val="bottom"/>
            <w:tcBorders>
              <w:top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104,281</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107,588</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113,243</w:t>
            </w:r>
          </w:p>
        </w:tc>
      </w:tr>
      <w:tr>
        <w:trPr>
          <w:trHeight w:val="21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short-term operating leases not included in operating lease liabilities</w:t>
            </w: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22,339</w:t>
            </w:r>
          </w:p>
        </w:tc>
      </w:tr>
      <w:tr>
        <w:trPr>
          <w:trHeight w:val="21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new operating lease liabilities</w:t>
            </w: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99,952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100,779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104,771</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discount rate and weighted-average remaining lease term:</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9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4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23"/>
        </w:trPr>
        <w:tc>
          <w:tcPr>
            <w:tcW w:w="55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9"/>
        </w:trPr>
        <w:tc>
          <w:tcPr>
            <w:tcW w:w="55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Weighted-average discount rate</w:t>
            </w:r>
            <w:r>
              <w:rPr>
                <w:rFonts w:ascii="Times New Roman" w:cs="Times New Roman" w:eastAsia="Times New Roman" w:hAnsi="Times New Roman"/>
                <w:sz w:val="21"/>
                <w:szCs w:val="21"/>
                <w:color w:val="auto"/>
                <w:vertAlign w:val="superscript"/>
              </w:rPr>
              <w:t>(1)</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r>
      <w:tr>
        <w:trPr>
          <w:trHeight w:val="210"/>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bl>
    <w:p>
      <w:pPr>
        <w:spacing w:after="0" w:line="68" w:lineRule="exact"/>
        <w:rPr>
          <w:sz w:val="20"/>
          <w:szCs w:val="20"/>
          <w:color w:val="auto"/>
        </w:rPr>
      </w:pPr>
    </w:p>
    <w:p>
      <w:pPr>
        <w:ind w:left="120" w:hanging="112"/>
        <w:spacing w:after="0"/>
        <w:tabs>
          <w:tab w:leader="none" w:pos="120" w:val="left"/>
        </w:tabs>
        <w:numPr>
          <w:ilvl w:val="0"/>
          <w:numId w:val="3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January 1, 2019 incremental borrowing rate was used for leases in existence at the time of adoption of ASU 2016-02.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undiscounted operating lease liabilities to the present value operating lease liabilities at December 31, 2022:</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Pr>
          <w:p>
            <w:pPr>
              <w:spacing w:after="0"/>
              <w:rPr>
                <w:sz w:val="16"/>
                <w:szCs w:val="16"/>
                <w:color w:val="auto"/>
              </w:rPr>
            </w:pPr>
          </w:p>
        </w:tc>
        <w:tc>
          <w:tcPr>
            <w:tcW w:w="2380" w:type="dxa"/>
            <w:vAlign w:val="bottom"/>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8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0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104,613</w:t>
            </w: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5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88,771</w:t>
            </w: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70,454</w:t>
            </w: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46,036</w:t>
            </w: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25,381</w:t>
            </w:r>
          </w:p>
        </w:tc>
      </w:tr>
      <w:tr>
        <w:trPr>
          <w:trHeight w:val="213"/>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16,482</w:t>
            </w:r>
          </w:p>
        </w:tc>
      </w:tr>
      <w:tr>
        <w:trPr>
          <w:trHeight w:val="212"/>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undiscounted operating lease liabilities</w:t>
            </w:r>
          </w:p>
        </w:tc>
        <w:tc>
          <w:tcPr>
            <w:tcW w:w="50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351,737</w:t>
            </w:r>
          </w:p>
        </w:tc>
      </w:tr>
      <w:tr>
        <w:trPr>
          <w:trHeight w:val="213"/>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5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(46,181)</w:t>
            </w:r>
          </w:p>
        </w:tc>
      </w:tr>
      <w:tr>
        <w:trPr>
          <w:trHeight w:val="237"/>
        </w:trPr>
        <w:tc>
          <w:tcPr>
            <w:tcW w:w="8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present value of operating lease liabilities</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305,556</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H — Goodwill and Other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2022, we completed a quantitative analysis for impairment of goodwill as of October 1, 2022, concluding that the carrying value of the net assets of our reporting units did not exceed their respective fair values and therefore no impairment of goodwill existed as of December 31, 2022. The fair value measurements of our reporting units derived within our quantitative analysis were primarily based on significant unobservable inputs (Level 3) developed using company-specific information.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2022 and 2021, the amount of goodwill attributable to the Rent-A-Center Business segment was approximately $1.5 million. At December 31, 2022 and 2021, the amount of goodwill attributable to the Acima segment was $288.3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in recorded goodwill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goodwill balance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289,750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70,217</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from acquisitions</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241,774</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Post purchase price allocation adjustments</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(22,241)</w:t>
            </w:r>
          </w:p>
        </w:tc>
        <w:tc>
          <w:tcPr>
            <w:tcW w:w="0" w:type="dxa"/>
            <w:vAlign w:val="bottom"/>
          </w:tcPr>
          <w:p>
            <w:pPr>
              <w:spacing w:after="0"/>
              <w:rPr>
                <w:sz w:val="1"/>
                <w:szCs w:val="1"/>
                <w:color w:val="auto"/>
              </w:rPr>
            </w:pPr>
          </w:p>
        </w:tc>
      </w:tr>
      <w:tr>
        <w:trPr>
          <w:trHeight w:val="212"/>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goodwill balance</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289,750</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289,750</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Amortizable intangible assets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Pr>
          <w:p>
            <w:pPr>
              <w:spacing w:after="0"/>
              <w:rPr>
                <w:sz w:val="16"/>
                <w:szCs w:val="16"/>
                <w:color w:val="auto"/>
              </w:rPr>
            </w:pPr>
          </w:p>
        </w:tc>
        <w:tc>
          <w:tcPr>
            <w:tcW w:w="2720" w:type="dxa"/>
            <w:vAlign w:val="bottom"/>
            <w:gridSpan w:val="4"/>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Avg.</w:t>
            </w: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24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6"/>
        </w:trPr>
        <w:tc>
          <w:tcPr>
            <w:tcW w:w="360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60" w:type="dxa"/>
            <w:vAlign w:val="bottom"/>
          </w:tcPr>
          <w:p>
            <w:pPr>
              <w:spacing w:after="0"/>
              <w:rPr>
                <w:sz w:val="12"/>
                <w:szCs w:val="12"/>
                <w:color w:val="auto"/>
              </w:rPr>
            </w:pPr>
          </w:p>
        </w:tc>
        <w:tc>
          <w:tcPr>
            <w:tcW w:w="128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600" w:type="dxa"/>
            <w:vAlign w:val="bottom"/>
            <w:vMerge w:val="continue"/>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(years)</w:t>
            </w:r>
          </w:p>
        </w:tc>
        <w:tc>
          <w:tcPr>
            <w:tcW w:w="26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24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15"/>
        </w:trPr>
        <w:tc>
          <w:tcPr>
            <w:tcW w:w="3600" w:type="dxa"/>
            <w:vAlign w:val="bottom"/>
            <w:tcBorders>
              <w:top w:val="single" w:sz="8" w:color="CCEEFF"/>
            </w:tcBorders>
            <w:shd w:val="clear" w:color="auto" w:fill="CCEEFF"/>
          </w:tcPr>
          <w:p>
            <w:pPr>
              <w:ind w:left="20"/>
              <w:spacing w:after="0" w:line="215" w:lineRule="exact"/>
              <w:rPr>
                <w:sz w:val="20"/>
                <w:szCs w:val="20"/>
                <w:color w:val="auto"/>
              </w:rPr>
            </w:pPr>
            <w:r>
              <w:rPr>
                <w:rFonts w:ascii="Times New Roman" w:cs="Times New Roman" w:eastAsia="Times New Roman" w:hAnsi="Times New Roman"/>
                <w:sz w:val="16"/>
                <w:szCs w:val="16"/>
                <w:color w:val="auto"/>
              </w:rPr>
              <w:t>Customer relationships</w:t>
            </w:r>
            <w:r>
              <w:rPr>
                <w:rFonts w:ascii="Times New Roman" w:cs="Times New Roman" w:eastAsia="Times New Roman" w:hAnsi="Times New Roman"/>
                <w:sz w:val="21"/>
                <w:szCs w:val="21"/>
                <w:color w:val="auto"/>
                <w:vertAlign w:val="superscript"/>
              </w:rPr>
              <w:t>(1)</w:t>
            </w: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140,180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140,080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140,039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132,127</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Merchant relationships</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389,760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389,760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35,960</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4,966</w:t>
            </w: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Non-compete agreements</w:t>
            </w:r>
          </w:p>
        </w:tc>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46,719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31,640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18,307</w:t>
            </w: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other intangible assets</w:t>
            </w: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616,659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257,250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616,518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191,360</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180" w:right="120" w:hanging="172"/>
        <w:spacing w:after="0" w:line="247" w:lineRule="auto"/>
        <w:tabs>
          <w:tab w:leader="none" w:pos="142" w:val="left"/>
        </w:tabs>
        <w:numPr>
          <w:ilvl w:val="0"/>
          <w:numId w:val="3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4"/>
          <w:szCs w:val="14"/>
          <w:color w:val="auto"/>
        </w:rPr>
        <w:t>Includes acquired Relationships with Existing Lessees from Acima Holdings with a remaining useful life of 1 year from the date of acquisition, February 17, 2021, completely amortized as of December 31, 2022.</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amortization expense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Year Ended December 31, 2022</w:t>
            </w:r>
          </w:p>
        </w:tc>
        <w:tc>
          <w:tcPr>
            <w:tcW w:w="4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65,890</w:t>
            </w:r>
          </w:p>
        </w:tc>
      </w:tr>
      <w:tr>
        <w:trPr>
          <w:trHeight w:val="213"/>
        </w:trPr>
        <w:tc>
          <w:tcPr>
            <w:tcW w:w="6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Year Ended December 31, 2021</w:t>
            </w:r>
          </w:p>
        </w:tc>
        <w:tc>
          <w:tcPr>
            <w:tcW w:w="4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102,742</w:t>
            </w:r>
          </w:p>
        </w:tc>
      </w:tr>
      <w:tr>
        <w:trPr>
          <w:trHeight w:val="219"/>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Year Ended December 31, 2020</w:t>
            </w:r>
          </w:p>
        </w:tc>
        <w:tc>
          <w:tcPr>
            <w:tcW w:w="4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amortization expense, assuming current intangible balances and no new acquisitions, for each of the years ending December 31,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3"/>
                <w:szCs w:val="13"/>
                <w:color w:val="auto"/>
              </w:rPr>
            </w:pPr>
          </w:p>
        </w:tc>
        <w:tc>
          <w:tcPr>
            <w:tcW w:w="178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92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Amortization Expense</w:t>
            </w:r>
          </w:p>
        </w:tc>
        <w:tc>
          <w:tcPr>
            <w:tcW w:w="0" w:type="dxa"/>
            <w:vAlign w:val="bottom"/>
          </w:tcPr>
          <w:p>
            <w:pPr>
              <w:spacing w:after="0"/>
              <w:rPr>
                <w:sz w:val="1"/>
                <w:szCs w:val="1"/>
                <w:color w:val="auto"/>
              </w:rPr>
            </w:pPr>
          </w:p>
        </w:tc>
      </w:tr>
      <w:tr>
        <w:trPr>
          <w:trHeight w:val="214"/>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58,017</w:t>
            </w:r>
          </w:p>
        </w:tc>
        <w:tc>
          <w:tcPr>
            <w:tcW w:w="0" w:type="dxa"/>
            <w:vAlign w:val="bottom"/>
          </w:tcPr>
          <w:p>
            <w:pPr>
              <w:spacing w:after="0"/>
              <w:rPr>
                <w:sz w:val="1"/>
                <w:szCs w:val="1"/>
                <w:color w:val="auto"/>
              </w:rPr>
            </w:pPr>
          </w:p>
        </w:tc>
      </w:tr>
      <w:tr>
        <w:trPr>
          <w:trHeight w:val="213"/>
        </w:trPr>
        <w:tc>
          <w:tcPr>
            <w:tcW w:w="9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46,372</w:t>
            </w:r>
          </w:p>
        </w:tc>
        <w:tc>
          <w:tcPr>
            <w:tcW w:w="0" w:type="dxa"/>
            <w:vAlign w:val="bottom"/>
          </w:tcPr>
          <w:p>
            <w:pPr>
              <w:spacing w:after="0"/>
              <w:rPr>
                <w:sz w:val="1"/>
                <w:szCs w:val="1"/>
                <w:color w:val="auto"/>
              </w:rPr>
            </w:pPr>
          </w:p>
        </w:tc>
      </w:tr>
      <w:tr>
        <w:trPr>
          <w:trHeight w:val="21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44,604</w:t>
            </w:r>
          </w:p>
        </w:tc>
        <w:tc>
          <w:tcPr>
            <w:tcW w:w="0" w:type="dxa"/>
            <w:vAlign w:val="bottom"/>
          </w:tcPr>
          <w:p>
            <w:pPr>
              <w:spacing w:after="0"/>
              <w:rPr>
                <w:sz w:val="1"/>
                <w:szCs w:val="1"/>
                <w:color w:val="auto"/>
              </w:rPr>
            </w:pPr>
          </w:p>
        </w:tc>
      </w:tr>
      <w:tr>
        <w:trPr>
          <w:trHeight w:val="213"/>
        </w:trPr>
        <w:tc>
          <w:tcPr>
            <w:tcW w:w="9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44,604</w:t>
            </w:r>
          </w:p>
        </w:tc>
        <w:tc>
          <w:tcPr>
            <w:tcW w:w="0" w:type="dxa"/>
            <w:vAlign w:val="bottom"/>
          </w:tcPr>
          <w:p>
            <w:pPr>
              <w:spacing w:after="0"/>
              <w:rPr>
                <w:sz w:val="1"/>
                <w:szCs w:val="1"/>
                <w:color w:val="auto"/>
              </w:rPr>
            </w:pPr>
          </w:p>
        </w:tc>
      </w:tr>
      <w:tr>
        <w:trPr>
          <w:trHeight w:val="21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44,604</w:t>
            </w:r>
          </w:p>
        </w:tc>
        <w:tc>
          <w:tcPr>
            <w:tcW w:w="0" w:type="dxa"/>
            <w:vAlign w:val="bottom"/>
          </w:tcPr>
          <w:p>
            <w:pPr>
              <w:spacing w:after="0"/>
              <w:rPr>
                <w:sz w:val="1"/>
                <w:szCs w:val="1"/>
                <w:color w:val="auto"/>
              </w:rPr>
            </w:pPr>
          </w:p>
        </w:tc>
      </w:tr>
      <w:tr>
        <w:trPr>
          <w:trHeight w:val="213"/>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121,208</w:t>
            </w:r>
          </w:p>
        </w:tc>
        <w:tc>
          <w:tcPr>
            <w:tcW w:w="0" w:type="dxa"/>
            <w:vAlign w:val="bottom"/>
          </w:tcPr>
          <w:p>
            <w:pPr>
              <w:spacing w:after="0"/>
              <w:rPr>
                <w:sz w:val="1"/>
                <w:szCs w:val="1"/>
                <w:color w:val="auto"/>
              </w:rPr>
            </w:pPr>
          </w:p>
        </w:tc>
      </w:tr>
      <w:tr>
        <w:trPr>
          <w:trHeight w:val="237"/>
        </w:trPr>
        <w:tc>
          <w:tcPr>
            <w:tcW w:w="9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amortization expense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359,409</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 — Accrued Liabilities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insurance costs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87,298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89,621</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73,953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71,376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other than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32,519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49,708</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compensation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46,750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dividends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27,801</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legal settlement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22,500</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Accrued other</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28,528</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32,610</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320,624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362,708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J —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financial statement purposes, earnings before income taxes by source was comprised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43,977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176,042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212,859</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17,494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18,262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9,920</w:t>
            </w:r>
          </w:p>
        </w:tc>
        <w:tc>
          <w:tcPr>
            <w:tcW w:w="0" w:type="dxa"/>
            <w:vAlign w:val="bottom"/>
          </w:tcPr>
          <w:p>
            <w:pPr>
              <w:spacing w:after="0"/>
              <w:rPr>
                <w:sz w:val="1"/>
                <w:szCs w:val="1"/>
                <w:color w:val="auto"/>
              </w:rPr>
            </w:pPr>
          </w:p>
        </w:tc>
      </w:tr>
      <w:tr>
        <w:trPr>
          <w:trHeight w:val="234"/>
        </w:trPr>
        <w:tc>
          <w:tcPr>
            <w:tcW w:w="6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61,471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194,304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222,779</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 reconciliation of the federal statutory rate of 21% to the effective rate follows: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6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4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at statutory rate</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0" w:type="dxa"/>
            <w:vAlign w:val="bottom"/>
          </w:tcPr>
          <w:p>
            <w:pPr>
              <w:spacing w:after="0"/>
              <w:rPr>
                <w:sz w:val="1"/>
                <w:szCs w:val="1"/>
                <w:color w:val="auto"/>
              </w:rPr>
            </w:pPr>
          </w:p>
        </w:tc>
      </w:tr>
      <w:tr>
        <w:trPr>
          <w:trHeight w:val="21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 compensation</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income taxes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1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 of foreign operations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9"/>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current and prior year credits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Change in unrecognized tax benefits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19"/>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permanent differences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Prior year return to provision adjustments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19"/>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of CARES Act</w:t>
            </w:r>
          </w:p>
        </w:tc>
        <w:tc>
          <w:tcPr>
            <w:tcW w:w="2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9"/>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7"/>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2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79.9 %</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30.6 %</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r>
        <w:trPr>
          <w:trHeight w:val="23"/>
        </w:trPr>
        <w:tc>
          <w:tcPr>
            <w:tcW w:w="6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income tax expense (benefit) are as follows: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2"/>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expense (benefit)</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62,878</w:t>
            </w:r>
          </w:p>
        </w:tc>
        <w:tc>
          <w:tcPr>
            <w:tcW w:w="3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(7,398)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14,354</w:t>
            </w:r>
          </w:p>
        </w:tc>
        <w:tc>
          <w:tcPr>
            <w:tcW w:w="0" w:type="dxa"/>
            <w:vAlign w:val="bottom"/>
          </w:tcPr>
          <w:p>
            <w:pPr>
              <w:spacing w:after="0"/>
              <w:rPr>
                <w:sz w:val="1"/>
                <w:szCs w:val="1"/>
                <w:color w:val="auto"/>
              </w:rPr>
            </w:pPr>
          </w:p>
        </w:tc>
      </w:tr>
      <w:tr>
        <w:trPr>
          <w:trHeight w:val="219"/>
        </w:trPr>
        <w:tc>
          <w:tcPr>
            <w:tcW w:w="6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2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21,473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15,106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4,735</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4,570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3,690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0" w:type="dxa"/>
            <w:vAlign w:val="bottom"/>
          </w:tcPr>
          <w:p>
            <w:pPr>
              <w:spacing w:after="0"/>
              <w:rPr>
                <w:sz w:val="1"/>
                <w:szCs w:val="1"/>
                <w:color w:val="auto"/>
              </w:rPr>
            </w:pPr>
          </w:p>
        </w:tc>
      </w:tr>
      <w:tr>
        <w:trPr>
          <w:trHeight w:val="212"/>
        </w:trPr>
        <w:tc>
          <w:tcPr>
            <w:tcW w:w="6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88,921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11,398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20,697</w:t>
            </w:r>
          </w:p>
        </w:tc>
        <w:tc>
          <w:tcPr>
            <w:tcW w:w="0" w:type="dxa"/>
            <w:vAlign w:val="bottom"/>
          </w:tcPr>
          <w:p>
            <w:pPr>
              <w:spacing w:after="0"/>
              <w:rPr>
                <w:sz w:val="1"/>
                <w:szCs w:val="1"/>
                <w:color w:val="auto"/>
              </w:rPr>
            </w:pPr>
          </w:p>
        </w:tc>
      </w:tr>
      <w:tr>
        <w:trPr>
          <w:trHeight w:val="19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(benefit) expense</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2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(25,923)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56,716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12,576</w:t>
            </w:r>
          </w:p>
        </w:tc>
        <w:tc>
          <w:tcPr>
            <w:tcW w:w="0" w:type="dxa"/>
            <w:vAlign w:val="bottom"/>
          </w:tcPr>
          <w:p>
            <w:pPr>
              <w:spacing w:after="0"/>
              <w:rPr>
                <w:sz w:val="1"/>
                <w:szCs w:val="1"/>
                <w:color w:val="auto"/>
              </w:rPr>
            </w:pPr>
          </w:p>
        </w:tc>
      </w:tr>
      <w:tr>
        <w:trPr>
          <w:trHeight w:val="213"/>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22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(13,321)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w:t>
            </w:r>
          </w:p>
        </w:tc>
        <w:tc>
          <w:tcPr>
            <w:tcW w:w="0" w:type="dxa"/>
            <w:vAlign w:val="bottom"/>
          </w:tcPr>
          <w:p>
            <w:pPr>
              <w:spacing w:after="0"/>
              <w:rPr>
                <w:sz w:val="1"/>
                <w:szCs w:val="1"/>
                <w:color w:val="auto"/>
              </w:rPr>
            </w:pPr>
          </w:p>
        </w:tc>
      </w:tr>
      <w:tr>
        <w:trPr>
          <w:trHeight w:val="219"/>
        </w:trPr>
        <w:tc>
          <w:tcPr>
            <w:tcW w:w="6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(563)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(15,653)</w:t>
            </w:r>
          </w:p>
        </w:tc>
        <w:tc>
          <w:tcPr>
            <w:tcW w:w="0" w:type="dxa"/>
            <w:vAlign w:val="bottom"/>
          </w:tcPr>
          <w:p>
            <w:pPr>
              <w:spacing w:after="0"/>
              <w:rPr>
                <w:sz w:val="1"/>
                <w:szCs w:val="1"/>
                <w:color w:val="auto"/>
              </w:rPr>
            </w:pPr>
          </w:p>
        </w:tc>
      </w:tr>
      <w:tr>
        <w:trPr>
          <w:trHeight w:val="207"/>
        </w:trPr>
        <w:tc>
          <w:tcPr>
            <w:tcW w:w="66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Total deferred</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(39,807)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47,966</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(6,033)</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income tax expense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49,114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59,364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14,664</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(liabilities)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27,059</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35,834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55,527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48,659</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155,238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165,135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obligations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81,412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73,819</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assets including credits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tax credit carryforwards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7,696</w:t>
            </w:r>
          </w:p>
        </w:tc>
        <w:tc>
          <w:tcPr>
            <w:tcW w:w="0" w:type="dxa"/>
            <w:vAlign w:val="bottom"/>
          </w:tcPr>
          <w:p>
            <w:pPr>
              <w:spacing w:after="0"/>
              <w:rPr>
                <w:sz w:val="1"/>
                <w:szCs w:val="1"/>
                <w:color w:val="auto"/>
              </w:rPr>
            </w:pPr>
          </w:p>
        </w:tc>
      </w:tr>
      <w:tr>
        <w:trPr>
          <w:trHeight w:val="207"/>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331,031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343,300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(7,688)</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327,873</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335,612</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Rental merchandise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(236,381)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(288,504)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(20,094)</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(79,725)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(72,458)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(332,973)</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(381,164)</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deferred taxes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(45,552)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2022, we had net operating loss carryforwards of approximately $194 million for state, none for federal and $58 million for foreign jurisdictions. State net operating losses were partially offset by a valuation allowance. We also had federal, state and foreign tax credit carryforwards of approximately $8.3 million of which a portion has been offset by a valuation allowance. The net operating losses and credits will expire in various years between 2023 and 2041.</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file income tax returns in the U.S. and multiple foreign jurisdictions with varying statutes of limitations. In the normal course of business, we are subject to examination by various taxing authorities. We are currently under examination by certain Federal and state revenue authorities for the fiscal years 2012 through 2020. The following is a summary of all tax years that are open to examination.</w:t>
      </w:r>
    </w:p>
    <w:p>
      <w:pPr>
        <w:spacing w:after="0" w:line="14"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- 2013 and forward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States - 2011 and forward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- 2013 and forward</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anticipate that adjustments as a result of these audits, if any, will have a material impact to our Consolidated Statement of Operations, Consolidated Balance Sheets, and statement of cash flows or earnings per share.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each reporting date, our management considers new evidence, both positive and negative, that could impact management’s view with regard to future realization of deferred tax assets. After review of the positive evidence generated during the year, we have determined no valuation allowance is required against Mexico net operating losses. A valuation allowance is still required related to certain tax credits and certain state net operating losses.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unrecognized tax benefit balance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24,208</w:t>
            </w: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(reductions) based on tax positions related to current year</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Additions for tax positions of prior years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Reductions for tax positions of prior years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(2,086)</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Settlements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0" w:type="dxa"/>
            <w:vAlign w:val="bottom"/>
          </w:tcPr>
          <w:p>
            <w:pPr>
              <w:spacing w:after="0"/>
              <w:rPr>
                <w:sz w:val="1"/>
                <w:szCs w:val="1"/>
                <w:color w:val="auto"/>
              </w:rPr>
            </w:pPr>
          </w:p>
        </w:tc>
      </w:tr>
      <w:tr>
        <w:trPr>
          <w:trHeight w:val="210"/>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unrecognized tax benefit balance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22,184</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the balance of unrecognized tax benefits at December 31, 2022, is $1.4 million, net of federal benefit, which, if ultimately recognized, will affect our annual effective tax rate.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we recorded $0.3 million of interest income primarily related to the reversal of the accrual of interest for matters settled during the year in our favor, partially offset by interest expense of $0.3 million for remaining uncertain tax positions, both of which are excluded from the reconciliation of unrecognized tax benefits presented above.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 of the tax rate change for items originally recognized in other comprehensive income was properly recorded in tax expense from continuing operations. This results in stranded tax effects in accumulated other comprehensive income at December 31, 2022. Companies can make a policy election to reclassify from accumulated other comprehensive income to retained earnings the stranded tax effects directly arising from the change in the federal corporate tax rate. We did not exercise the option to reclassify stranded tax effects within accumulated other comprehensive income in each period in which the effect of the change in the U.S. federal corporate income tax rate resulting from the Tax Cuts and Jobs Act of 2017 was recorded.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K— Senior Debt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17, 2021, we entered into a credit agreement with JPMorgan Chase Bank, N.A., as administrative agent, and lenders party thereto, providing for a seven-year $875 million senior secured term loan facility (the “Term Loan Facility”) and an Asset Based Loan Credit Facility (the “ABL Credit Facility”) providing for a five-year asset-based revolving credit facility with commitments of $550 million and a letter of credit sublimit of $150 million. Commitments under the ABL Credit Facility may be increased, at our option and under certain conditions, by up to an additional $125 million in the aggregate.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Proceeds from the Term Loan Facility were net of original issue discount of $4.4 million upon issuance from the lenders. In addition, in connection with the closing of the Term Loan Facility and the ABL Credit Facility, we incurred approximately $30.2 million in debt issuance costs, including bank financing fees and third party legal and other professional fees, of which $25.3 million was capitalized in accordance with ASC Topic 470, “Debt” and recorded as a reduction of our outstanding senior debt, net in our Consolidated Balance Sheets. Remaining debt issuance costs incurred of $4.9 million were expensed and recorded to Other charges in our Consolidated Statement of Operations.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21, 2021 we entered into a First Amendment to the Term Loan Facility, effective as of September 21, 2021. The amendment effected a repricing of the applicable margin under the Term Loan Facility by reducing the LIBOR floor by 25 basis points from 0.75% to 0.50%, and the applicable margin, with respect to any initial term loans, by 75 basis points from 4.00% to 3.25%.</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execution of the First Amendment, we incurred approximately $1.5 million in debt issuance costs, including third party arrangement and other professional fees, of which approximately $1.4 million were expensed as debt refinance charges in our Consolidated Statement of Operations, and approximately $0.1 million were capitalized and recorded as a reduction to our outstanding senior debt in our Consolidated Balance Sheets. In addition, in accordance with ASC Topic 470, “Debt”, we recorded approximately $5.4 million in write-offs of unamortized debt issuance costs and original issue discount previously capitalized upon the issuance of the Term Loan Facility on February 17, 2021. The write-offs were recorded as debt refinance charges in our Consolidated Statement of Operations.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10, 2022, we entered into a First Amendment to the ABL Credit Facility, effective as of August 10, 2022. The amendment effected the replacement of LIBOR with Term Secured Overnight Financing Rate (“Term SOFR”) as the benchmark rate of interest thereunder.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the total remaining balance of unamortized debt issuance costs and original issue discount related to our senior debt reported in the Consolidated Balance Sheets were approximately $16.4 million and $2.4 million, respectively. Remaining unamortized debt issuance costs and original issue discount will be amortized to interest expense over the remaining term of the Term Loan Facility.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outstanding under the Term Loan Facility was $859.7 million at December 31, 2022. We had $90.0 million outstanding borrowings under our ABL Credit Facility at December 31, 2022 and borrowing capacity of $395.6 million.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utilize the ABL Credit Facility for the issuance of letters of credit. As of December 31, 2022, we have issued letters of credit in the aggregate outstanding amount of $64.4 million primarily relating to workers compensation insurance claims.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senior debt facilities as of December 31, 2022 and 2021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1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gridSpan w:val="2"/>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23"/>
              <w:spacing w:after="0" w:line="131"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103"/>
              <w:spacing w:after="0" w:line="131"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23"/>
              <w:spacing w:after="0" w:line="131"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83"/>
              <w:spacing w:after="0" w:line="131"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5"/>
        </w:trPr>
        <w:tc>
          <w:tcPr>
            <w:tcW w:w="2660" w:type="dxa"/>
            <w:vAlign w:val="bottom"/>
            <w:vMerge w:val="continue"/>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6"/>
                <w:szCs w:val="16"/>
                <w:color w:val="auto"/>
              </w:rPr>
            </w:pP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Available</w:t>
            </w:r>
          </w:p>
        </w:tc>
        <w:tc>
          <w:tcPr>
            <w:tcW w:w="160" w:type="dxa"/>
            <w:vAlign w:val="bottom"/>
          </w:tcPr>
          <w:p>
            <w:pPr>
              <w:spacing w:after="0"/>
              <w:rPr>
                <w:sz w:val="16"/>
                <w:szCs w:val="16"/>
                <w:color w:val="auto"/>
              </w:rPr>
            </w:pPr>
          </w:p>
        </w:tc>
        <w:tc>
          <w:tcPr>
            <w:tcW w:w="90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6"/>
                <w:szCs w:val="16"/>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0" w:type="dxa"/>
            <w:vAlign w:val="bottom"/>
          </w:tcPr>
          <w:p>
            <w:pPr>
              <w:spacing w:after="0"/>
              <w:rPr>
                <w:sz w:val="1"/>
                <w:szCs w:val="1"/>
                <w:color w:val="auto"/>
              </w:rPr>
            </w:pPr>
          </w:p>
        </w:tc>
      </w:tr>
      <w:tr>
        <w:trPr>
          <w:trHeight w:val="201"/>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Debt:</w:t>
            </w:r>
          </w:p>
        </w:tc>
        <w:tc>
          <w:tcPr>
            <w:tcW w:w="1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Term Loan Facility</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February 17, 2028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859,688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868,438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ABL Credit Facility</w:t>
            </w:r>
            <w:r>
              <w:rPr>
                <w:rFonts w:ascii="Times New Roman" w:cs="Times New Roman" w:eastAsia="Times New Roman" w:hAnsi="Times New Roman"/>
                <w:sz w:val="21"/>
                <w:szCs w:val="21"/>
                <w:color w:val="auto"/>
                <w:vertAlign w:val="superscript"/>
              </w:rPr>
              <w:t>(1)</w:t>
            </w:r>
          </w:p>
        </w:tc>
        <w:tc>
          <w:tcPr>
            <w:tcW w:w="1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February 17, 2026</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395,621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173,616</w:t>
            </w:r>
          </w:p>
        </w:tc>
        <w:tc>
          <w:tcPr>
            <w:tcW w:w="0" w:type="dxa"/>
            <w:vAlign w:val="bottom"/>
          </w:tcPr>
          <w:p>
            <w:pPr>
              <w:spacing w:after="0"/>
              <w:rPr>
                <w:sz w:val="1"/>
                <w:szCs w:val="1"/>
                <w:color w:val="auto"/>
              </w:rPr>
            </w:pPr>
          </w:p>
        </w:tc>
      </w:tr>
      <w:tr>
        <w:trPr>
          <w:trHeight w:val="209"/>
        </w:trPr>
        <w:tc>
          <w:tcPr>
            <w:tcW w:w="26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949,688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395,621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1,158,438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173,616</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Unamortized debt issuance costs</w:t>
            </w: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6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senior debt, net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930,902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1,135,207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(1 )</w:t>
      </w:r>
      <w:r>
        <w:rPr>
          <w:rFonts w:ascii="Times New Roman" w:cs="Times New Roman" w:eastAsia="Times New Roman" w:hAnsi="Times New Roman"/>
          <w:sz w:val="14"/>
          <w:szCs w:val="14"/>
          <w:color w:val="auto"/>
        </w:rPr>
        <w:t>Borrowing availability is net of issued letters of credit of approximately $64.4 million and $86.4 million for the years ended December 31, 2022 and 2021, respectively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Credit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Facility, which matures on February 17, 2028, amortizes in equal quarterly installments at a rate of 1.00% per annum of the original principal amount thereof, with the remaining balance due at final maturity. Subject in each case to certain restrictions and conditions, we may add up to $500 million of incremental term loan facilities to the Term Loan Facility or utilize incremental capacity under the Term Loan Facility at any time by issuing or incurring incremental equivalent term debt.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on borrowings under the Term Loan Facility is payable at a fluctuating rate of interest determined by reference to the eurodollar rate plus an applicable margin of 3.25%, subject to a 0.50% LIBOR floor. The total interest rate on the Term Loan Facility was 7.69% at December 31, 2022. Borrowings under the Term Loan Facility amortize in equal quarterly installments in an amount equal to 1.000% per annum of the original aggregate principal amount thereof, with the remaining balance due at final maturity.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Facility is secured by a first-priority security interest in substantially all of our present and future tangible and intangible personal property, including our subsidiary guarantors, other than the ABL Priority Collateral (as defined below), and by a second-priority security interest in the ABL Priority Collateral, subject to certain exceptions. The obligations under the Term Loan Facility are guaranteed by us and our material wholly-owned domestic restricted subsidiaries that also guarantee the ABL Credit Facility.</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 Loan Facility contains covenants that are usual and customary for similar facilities and transactions and that, among other things, restrict our ability and our restricted subsidiaries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 The Term Loan Facility also includes mandatory prepayment requirements related to asset sales (subject to reinvestment), debt incurrence (other than permitted debt) and excess cash flow, subject to certain limitations described therein. These covenants are subject to a number of limitations and exceptions set forth in the documentation governing the Term Loan.</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provides for customary events of default, including, but not limited to, failure to pay principal and interest, failure to comply with covenants, agreements or conditions, and certain events of bankruptcy or insolvency involving us and our significant subsidiaries.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was fully drawn at the closing of the Acima Holdings acquisition to fund a portion of the Aggregate Cash Consideration payable in the transaction, repay certain of our outstanding indebtedness and that of our subsidiaries, repay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outstanding indebtedness of Acima Holdings and its subsidiaries and pay certain fees and expenses incurred in connection with the transaction. A portion of such proceeds were used to repay $197.5 million outstanding under the prior term loan facility, dated as of August 5, 2019, among us, JPMorgan Chase Bank, N.A., as administrative agent, and the lenders party thereto (the “Prior Term Loan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ABL Credit Agreement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ABL Credit Facility will mature on February 17, 2026. We may borrow only up to the lesser of the level of the then-current borrowing base and the aggregate amount of commitments under the ABL Credit Facility. The borrowing base is tied to the amount of eligible installment sales accounts, inventory and eligible rental contracts, reduced by certain reserves.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ABL Credit Facility bears interest at a fluctuating rate determined by reference to Term SOFR plus an applicable margin of 1.50% to 2.00%. The total interest rate on the ABL Credit Facility at December 31, 2022 was 5.82%. A commitment fee equal to 0.250% to 0.375% of the unused portion of the ABL Credit Facility fluctuates dependent upon average utilization for the prior month as defined by a pricing grid included in the documentation governing the ABL Credit Facility. The commitment fee at December 31, 2022 was 0.375%. We paid $3.0 million of commitment fees during the twelve months ended December 31, 2022.</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Loans under the ABL Credit Facility may be borrowed, repaid and re-borrowed until February 17, 2026, at which time all amounts borrowed must be repaid. The obligations under the ABL Credit Facility are guaranteed by us and certain of our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ABL Credit Facility contains covenants that are usual and customary for similar facilities and transactions and that, among other things, restrict our ability and our restricted subsidiaries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ABL Credit Facility also requires the maintenance of a consolidated fixed charge coverage ratio of at least 1.10 to 1.00 at the end of each fiscal quarter only in the event either (i) certain specified events of default have occurred and are continuing or (ii) availability is less than or equal to the greater of $56.25 million and 15% of the line cap then in effect. These covenants are subject to a number of limitations and exceptions set forth in the documentation governing the ABL Credit Facility. The fixed charge coverage ratio as of December 31, 2022 was 1.17 to 1.00.</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documentation governing the ABL Credit Facility provides for customary events of default, including, but not limited to, failure to pay principal and interest, failure to comply with covenants, agreements or conditions, and certain events of bankruptcy or insolvency involving us and our significant subsidiaries. As of December 31, 2022, we were in compliance with all requirements and conditions set forth in our ABL Credit Facility governing documents.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scheduled maturity dates of our outstanding debt at December 31, 2022 for each of the years ending December 31: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Term Loan</w:t>
            </w:r>
          </w:p>
        </w:tc>
        <w:tc>
          <w:tcPr>
            <w:tcW w:w="18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ABL Credit</w:t>
            </w:r>
          </w:p>
        </w:tc>
        <w:tc>
          <w:tcPr>
            <w:tcW w:w="260" w:type="dxa"/>
            <w:vAlign w:val="bottom"/>
          </w:tcPr>
          <w:p>
            <w:pPr>
              <w:spacing w:after="0"/>
              <w:rPr>
                <w:sz w:val="13"/>
                <w:szCs w:val="13"/>
                <w:color w:val="auto"/>
              </w:rPr>
            </w:pPr>
          </w:p>
        </w:tc>
        <w:tc>
          <w:tcPr>
            <w:tcW w:w="940" w:type="dxa"/>
            <w:vAlign w:val="bottom"/>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73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8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8,750</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98,750</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815,938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815,938</w:t>
            </w:r>
          </w:p>
        </w:tc>
        <w:tc>
          <w:tcPr>
            <w:tcW w:w="0" w:type="dxa"/>
            <w:vAlign w:val="bottom"/>
          </w:tcPr>
          <w:p>
            <w:pPr>
              <w:spacing w:after="0"/>
              <w:rPr>
                <w:sz w:val="1"/>
                <w:szCs w:val="1"/>
                <w:color w:val="auto"/>
              </w:rPr>
            </w:pPr>
          </w:p>
        </w:tc>
      </w:tr>
      <w:tr>
        <w:trPr>
          <w:trHeight w:val="235"/>
        </w:trPr>
        <w:tc>
          <w:tcPr>
            <w:tcW w:w="7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senior debt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859,688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949,688</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L — Senior Notes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17, 2021, we issued $450 million in senior unsecured notes due February 15, 2029, at par value, bearing interest at 6.375% (the “Notes”), the proceeds of which were used to fund a portion of the Aggregate Cash Consideration upon closing of the Acima Holdings acquisition. Interest on the Notes is payable in arrears on February 15 and August 15 of each year, beginning on August 15, 2021. In connection with the issuance of the Notes, we incurred approximately $15.7 million in debt issuance costs, including bank financing fees and third party legal and other professional fees, which were capitalized in accordance with ASC Topic 470, “Debt” and recorded as a reduction of our outstanding Notes in our Consolidated Balance Sheets. Debt issuance costs are amortized as interest expense over the term of the Notes. As of December 31, 2022, the total remaining balance of unamortized debt issuance costs related to our senior notes reported in the Consolidated Balance Sheets was approximately $12.0 million.</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redeem some or all of the Notes at any time on or after February 15, 2024 for cash at the redemption prices set forth in the indenture governing the Notes, plus accrued and unpaid interest to, but not including, the redemption date. Prior to February 15, 2024, we may redeem up to 40% of the aggregate principal amount of the Notes with the proceeds of certain equity offerings at a redemption price of 106.375% plus accrued and unpaid interest to, but not including, the redemption date. In addition, we may redeem some or all of the Notes prior to February 15, 2024, at a redemption price of 100% of the principal amount of the Notes plus accrued and unpaid interest to, but not including, the redemption date, plus a “make-whole” premium. If we experience specific kinds of change of control, we will be required to offer to purchase the Notes at a price equal to 101% of the principal amount thereof plus accrued and unpaid interest.</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Notes are our general unsecured senior obligations, and are effectively subordinated to all of our existing and future secured indebtedness to the extent of the value of the collateral securing such indebtedness, structurally subordinated to all existing and future indebtedness and other liabilities of our non-guarantor subsidiaries, equal in right of payment to all of our and our guarantor subsidiaries’ existing and future senior indebtedness and senior in right of payment to all of our future subordinated indebtedness, if any. The Notes are jointly and severally guaranteed on a senior unsecured basis by certain of our domestic subsidiaries that have outstanding indebtedness or guarantee other specified indebtedness, including the ABL Credit Facility and the Term Loan Facility.</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indenture governing the Notes contains covenants that limit, among other things, our ability and the ability of some of our restricted subsidiaries to create liens, transfer or sell assets, incur indebtedness or issue certain preferred stock, pay dividends, redeem stock or make other distributions, make other restricted payments or investments, create restrictions on payment of dividends or other amounts to us by our restricted subsidiaries, merge or consolidate with other entities, engage in certain transactions with affiliates and designate our subsidiaries as unrestricted subsidiaries. These covenants are subject to a number of exceptions and qualifications. The covenants limiting restricted payments, restrictions on payment of dividends or other amounts to us by our restricted subsidiaries, the ability to incur indebtedness, asset dispositions and transactions with affiliates will be suspended if and while the Notes have investment grade ratings from any two of Standard &amp; Poor’s Ratings Services, Moody’s Investors Service, Inc. and Fitch, Inc.</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governing the Notes also provides for events of default, which, if any of them occurs, would permit or require the principal, premium, if any, and interest on all the then outstanding Notes to be due and payable.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M — Contingencies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along with our subsidiaries, are party to various legal proceedings and governmental inquiries arising in the ordinary course of business. We reserve for loss contingencies that are both probable and reasonably estimable. We regularly monitor developments related to these legal proceedings, and review the adequacy of our legal reserves on a quarterly basis. We do not currently expect these losses to have a material impact on our consolidated financial statements if and when such losses are incurred. Nevertheless, we cannot predict the impact of future developments affecting our claims and lawsuits, and any resolution of a claim or lawsuit or reserve within a particular fiscal period may materially and adversely impact our results of operations for that period. In addition, claims and lawsuits against us may seek injunctive or other relief that requires changes to our business practices or operations and it is possible that any required changes may materially and adversely impact our business, financial condition, results of operations or reputation.</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Unclaimed Property. </w:t>
      </w:r>
      <w:r>
        <w:rPr>
          <w:rFonts w:ascii="Times New Roman" w:cs="Times New Roman" w:eastAsia="Times New Roman" w:hAnsi="Times New Roman"/>
          <w:sz w:val="18"/>
          <w:szCs w:val="18"/>
          <w:color w:val="auto"/>
        </w:rPr>
        <w:t>We are subject to unclaimed property audits by states in the ordinary course of business. The property subject to review in the audit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includes unclaimed wages, vendor payments and customer refunds.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We routinely remit escheat payments to states and believe we are in compliance with applicable escheat laws.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Acima Consumer Financial Protection Bureau investigation. </w:t>
      </w:r>
      <w:r>
        <w:rPr>
          <w:rFonts w:ascii="Times New Roman" w:cs="Times New Roman" w:eastAsia="Times New Roman" w:hAnsi="Times New Roman"/>
          <w:sz w:val="18"/>
          <w:szCs w:val="18"/>
          <w:color w:val="auto"/>
        </w:rPr>
        <w:t>Prior to the execution of the definitive agreement to acquire Acima Holdings, Acima Holdings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a Civil Investigative Demand dated October 1, 2020 (the “CID”) from the Consumer Financial Protection Bureau (the “CFPB”) requesting certain information, documents and data relating to Acima Holding’s products, services and practices for the period from January 1, 2015 to the date on which responses to the CID are provided in full. The purpose of the CID is to determine whether Acima Holdings extends credit, offers leases, or otherwise offers or provides a consumer financial product or service and whether Acima Holdings complies with certain consumer financial protection laws. We are fully cooperating with the CFPB investigation. The CFPB has not made any allegations in the investigation, and we are currently unable to predict the eventual scope, ultimate timing or outcome of the CFPB investigation.</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terms and subject to the conditions set forth in the definitive agreement to acquire Acima Holdings, the former owners of Acima Holdings agreed to indemnify Upbound Group, Inc. for certain losses arising after the consummation of the transaction with respect to the CID and certain pre-closing taxes. The indemnification obligations of the former owners of Acima Holdings are limited to an indemnity holdback in the aggregate amount of $50 million, which was escrowed at the closing of the transaction, and will be Upbound Group, Inc.’s sole recourse against the former owners of Acima Holdings with respect to all of the indemnifiable claims under the definitive transaction agreement. In respect of certain pre-closing taxes, a portion of the escrowed funds were released to Acima Holdings’ former owners on the first business day following the date that was 18 months after the closing date of the transaction, in accordance with the definitive agreement. In respect of the CID, other than with respect to any then-pending or unresolved claims for indemnification submitted by Upbound Group, Inc., remaining escrowed funds of $45 million will be released on the earlier of February 17, 2024 and the date on which a final determination is entered providing for a resolution of the matters regarding the CID.</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CID will be finally resolved prior to the release to the former owners of Acima Holdings of the escrowed funds reserved therefor, or that such escrowed amount will be sufficient to address all covered losses or that the CFPB’s ongoing investigation or future exercise of its enforcement, regulatory, discretionary or other powers will not result in findings or alleged violations of consumer financial protection laws that could lead to enforcement actions, proceedings or litigation, whether by the CFPB, other state or federal agencies, or other parties, and the imposition of damages, fines, penalties, restitution, other monetary liabilities, sanctions, settlements or changes to Acima Holdings’ business practices or operations that could materially and adversely affect our business, financial condition, results of operations or reputation.</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California Attorney General. </w:t>
      </w:r>
      <w:r>
        <w:rPr>
          <w:rFonts w:ascii="Times New Roman" w:cs="Times New Roman" w:eastAsia="Times New Roman" w:hAnsi="Times New Roman"/>
          <w:sz w:val="18"/>
          <w:szCs w:val="18"/>
          <w:color w:val="auto"/>
        </w:rPr>
        <w:t>The California Attorney General (the “CAG”) issued an investigative subpoena in 2018 seeking information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of our Acceptance Now business practices (now part of the Acima segment). In November 2021, the parties reached an agreement in principle regarding the resolution of this matter. On August 2, 2022, the parties finalized the settlement of this matter, which includes a proposed final judgment for approval by the Superior Court of the State of California. In the agreement and in consideration of the final resolution of this matter, we agreed to pay a total of $15.5 million in restitution to consumers and civil penalties along with certain injunctive provisions, including (1) in the case of rental-purchase transactions in California originating through a third-party host retailer, not to charge a cash price on the rental-purchase agreement that is greater than the cash price offered to the consumer by the host retailer, and (2) to implement certain additional customer disclosures, employee training and other compliance requirements and restrictions as set forth in the stipulated agreement. We did not admit to any violations of law or any wrongdoing. Although we disagree with the CAG’s interpretation of the relevant California statutory language regarding the definition of “cash price”, we entered into the agreement to avoid the expense, risk and distractions associated with potential protracted litigation. The agreed upon settlement amount of $15.5 million was paid in August 2022.</w:t>
      </w:r>
    </w:p>
    <w:p>
      <w:pPr>
        <w:spacing w:after="0" w:line="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Massachusetts Attorney General. </w:t>
      </w:r>
      <w:r>
        <w:rPr>
          <w:rFonts w:ascii="Times New Roman" w:cs="Times New Roman" w:eastAsia="Times New Roman" w:hAnsi="Times New Roman"/>
          <w:sz w:val="18"/>
          <w:szCs w:val="18"/>
          <w:color w:val="auto"/>
        </w:rPr>
        <w:t>The Massachusetts Attorney General (the “MAG”) issued a civil investigative demand in 2018 seeking information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certain of our business practices, including regarding account management and certain other business practices in connection with our lease-to-own transactions. Since receiving such demand, we have cooperated with the MAG in connection with its investigation. In June 2021, the MAG provided us with proposed settlement terms including a monetary payment, injunctive provisions regarding certain business practices and compliance requirements. We are continuing to cooperate and discuss resolution of the inquiry with the MAG. We are currently unable to predict the ultimate timing or outcome of the MAG investigation.</w:t>
      </w:r>
    </w:p>
    <w:p>
      <w:pPr>
        <w:spacing w:after="0" w:line="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State Attorneys General Investigation. </w:t>
      </w:r>
      <w:r>
        <w:rPr>
          <w:rFonts w:ascii="Times New Roman" w:cs="Times New Roman" w:eastAsia="Times New Roman" w:hAnsi="Times New Roman"/>
          <w:sz w:val="18"/>
          <w:szCs w:val="18"/>
          <w:color w:val="auto"/>
        </w:rPr>
        <w:t>On November 1, 2021, Acima received a letter from the Nebraska Attorney General’s office stating that the Attorney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of Nebraska, along with a coalition of thirty-eight state Attorneys General, initiated a multi-state investigation into the business acts and practices of Acima and that a civil investigative demand(s) and/or subpoena(s) pursuant to respective state consumer protection laws will be forthcoming. Since receiving the letter, we have held multiple discussions with officials at the lead attorneys general offices and, based on those discussions, it is our understanding that the investigation is looking at business practices within the virtual lease-to-own industry and includes or will include multiple companies. In April 2022, we received a request for information and documents. Acima is cooperating with the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investigation and is currently in the process of producing requested information. No specific allegations have been made against Acima pursuant to the investigation. We are currently unable to predict the eventual scope, timing or outcome of this matter.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N — Other Charges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Acima Holdings Acquisition. </w:t>
      </w:r>
      <w:r>
        <w:rPr>
          <w:rFonts w:ascii="Times New Roman" w:cs="Times New Roman" w:eastAsia="Times New Roman" w:hAnsi="Times New Roman"/>
          <w:sz w:val="18"/>
          <w:szCs w:val="18"/>
          <w:color w:val="auto"/>
        </w:rPr>
        <w:t>As described in Note B, on February 17, 2021, we completed the acquisition of Acima Holdings, a leading provider of virtual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lease-to-own solutions. Included in the aggregate consideration issued to the former owners of Acima Holdings were 8,096,595 common shares, valued at $414.1 million, subject to 36-month vesting conditions under restricted stock agreements, which will be recognized over the vesting term as stock compensation expense. During the twelve months ended December 31, 2022 and 2021, we recognized approximately $143.2 million and $127.1 million in stock compensation expense related to these restricted stock agreements, respectively.</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assets acquired as part of the transaction included $520 million in intangible assets and $170 million in developed technology. During the twelve months ended December 31, 2022 and 2021, we recognized approximately $64.9 million and $101.7 million in amortization expense and $15.9 million and $13.2 million in incremental depreciation expense related to these assets, respectively.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twelve months ended December 31, 2022 and 2021 we recognized approximately $0.2 million and $17.7 million in transaction costs associated with the closing of the transaction, respectively.</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twelve months ended December 31, 2021 we recognized approximately $10.3 million in post-acquisition integration costs, including $5.1 million in inventory losses, $3.7 million in employee severance, and $1.5 million in other integration costs, including reorganization advisory fees.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Activity  with  respect  to  Other</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charges  for</w:t>
            </w: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years  ended</w:t>
            </w:r>
          </w:p>
        </w:tc>
        <w:tc>
          <w:tcPr>
            <w:tcW w:w="138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December  31,</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2022  and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9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is  summarized  in  the</w:t>
            </w:r>
          </w:p>
        </w:tc>
        <w:tc>
          <w:tcPr>
            <w:tcW w:w="72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rPr>
              <w:t>below</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table:</w:t>
            </w:r>
          </w:p>
        </w:tc>
        <w:tc>
          <w:tcPr>
            <w:tcW w:w="0" w:type="dxa"/>
            <w:vAlign w:val="bottom"/>
          </w:tcPr>
          <w:p>
            <w:pPr>
              <w:spacing w:after="0"/>
              <w:rPr>
                <w:sz w:val="1"/>
                <w:szCs w:val="1"/>
                <w:color w:val="auto"/>
              </w:rPr>
            </w:pPr>
          </w:p>
        </w:tc>
      </w:tr>
      <w:tr>
        <w:trPr>
          <w:trHeight w:val="164"/>
        </w:trPr>
        <w:tc>
          <w:tcPr>
            <w:tcW w:w="2620" w:type="dxa"/>
            <w:vAlign w:val="bottom"/>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Accrued Charges</w:t>
            </w:r>
          </w:p>
        </w:tc>
        <w:tc>
          <w:tcPr>
            <w:tcW w:w="1100" w:type="dxa"/>
            <w:vAlign w:val="bottom"/>
            <w:gridSpan w:val="2"/>
            <w:vMerge w:val="restart"/>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Charges &amp;</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Payments &amp;</w:t>
            </w: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Accrued Charges</w:t>
            </w:r>
          </w:p>
        </w:tc>
        <w:tc>
          <w:tcPr>
            <w:tcW w:w="1140" w:type="dxa"/>
            <w:vAlign w:val="bottom"/>
            <w:gridSpan w:val="2"/>
            <w:vMerge w:val="restart"/>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Charges &amp;</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Payments &amp;</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Accrued Charges</w:t>
            </w:r>
          </w:p>
        </w:tc>
        <w:tc>
          <w:tcPr>
            <w:tcW w:w="0" w:type="dxa"/>
            <w:vAlign w:val="bottom"/>
          </w:tcPr>
          <w:p>
            <w:pPr>
              <w:spacing w:after="0"/>
              <w:rPr>
                <w:sz w:val="1"/>
                <w:szCs w:val="1"/>
                <w:color w:val="auto"/>
              </w:rPr>
            </w:pPr>
          </w:p>
        </w:tc>
      </w:tr>
      <w:tr>
        <w:trPr>
          <w:trHeight w:val="146"/>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4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at December 31,</w:t>
            </w: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6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at December 31,</w:t>
            </w: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at December 31,</w:t>
            </w:r>
          </w:p>
        </w:tc>
        <w:tc>
          <w:tcPr>
            <w:tcW w:w="0" w:type="dxa"/>
            <w:vAlign w:val="bottom"/>
          </w:tcPr>
          <w:p>
            <w:pPr>
              <w:spacing w:after="0"/>
              <w:rPr>
                <w:sz w:val="1"/>
                <w:szCs w:val="1"/>
                <w:color w:val="auto"/>
              </w:rPr>
            </w:pPr>
          </w:p>
        </w:tc>
      </w:tr>
      <w:tr>
        <w:trPr>
          <w:trHeight w:val="198"/>
        </w:trPr>
        <w:tc>
          <w:tcPr>
            <w:tcW w:w="2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7"/>
                <w:szCs w:val="17"/>
                <w:color w:val="auto"/>
              </w:rPr>
            </w:pPr>
          </w:p>
        </w:tc>
        <w:tc>
          <w:tcPr>
            <w:tcW w:w="1100" w:type="dxa"/>
            <w:vAlign w:val="bottom"/>
            <w:gridSpan w:val="2"/>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tcPr>
          <w:p>
            <w:pPr>
              <w:spacing w:after="0"/>
              <w:rPr>
                <w:sz w:val="17"/>
                <w:szCs w:val="17"/>
                <w:color w:val="auto"/>
              </w:rPr>
            </w:pPr>
          </w:p>
        </w:tc>
        <w:tc>
          <w:tcPr>
            <w:tcW w:w="86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7"/>
                <w:szCs w:val="17"/>
                <w:color w:val="auto"/>
              </w:rPr>
            </w:pPr>
          </w:p>
        </w:tc>
        <w:tc>
          <w:tcPr>
            <w:tcW w:w="1140" w:type="dxa"/>
            <w:vAlign w:val="bottom"/>
            <w:gridSpan w:val="2"/>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20" w:type="dxa"/>
            <w:vAlign w:val="bottom"/>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Acima Holdings transaction costs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5,005</w:t>
            </w:r>
          </w:p>
        </w:tc>
        <w:tc>
          <w:tcPr>
            <w:tcW w:w="10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17,680</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(22,685)</w:t>
            </w:r>
          </w:p>
        </w:tc>
        <w:tc>
          <w:tcPr>
            <w:tcW w:w="100" w:type="dxa"/>
            <w:vAlign w:val="bottom"/>
          </w:tcPr>
          <w:p>
            <w:pPr>
              <w:spacing w:after="0"/>
              <w:rPr>
                <w:sz w:val="18"/>
                <w:szCs w:val="18"/>
                <w:color w:val="auto"/>
              </w:rPr>
            </w:pP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18"/>
                <w:szCs w:val="18"/>
                <w:color w:val="auto"/>
              </w:rPr>
            </w:pPr>
          </w:p>
        </w:tc>
        <w:tc>
          <w:tcPr>
            <w:tcW w:w="720" w:type="dxa"/>
            <w:vAlign w:val="bottom"/>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Acima Holdings integration costs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2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Labor reduction costs</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2,202</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cash charges</w:t>
            </w:r>
            <w:r>
              <w:rPr>
                <w:rFonts w:ascii="Times New Roman" w:cs="Times New Roman" w:eastAsia="Times New Roman" w:hAnsi="Times New Roman"/>
                <w:sz w:val="21"/>
                <w:szCs w:val="21"/>
                <w:color w:val="auto"/>
                <w:vertAlign w:val="superscript"/>
              </w:rPr>
              <w:t>(2)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cash charges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28,661</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(32,417)</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(4,967)</w:t>
            </w: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2,202</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Acima Holdings restricted stock</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127,060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143,210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60"/>
              <w:spacing w:after="0" w:line="216" w:lineRule="exact"/>
              <w:rPr>
                <w:sz w:val="20"/>
                <w:szCs w:val="20"/>
                <w:color w:val="auto"/>
              </w:rPr>
            </w:pPr>
            <w:r>
              <w:rPr>
                <w:rFonts w:ascii="Times New Roman" w:cs="Times New Roman" w:eastAsia="Times New Roman" w:hAnsi="Times New Roman"/>
                <w:sz w:val="16"/>
                <w:szCs w:val="16"/>
                <w:color w:val="auto"/>
              </w:rPr>
              <w:t>agreements</w:t>
            </w:r>
            <w:r>
              <w:rPr>
                <w:rFonts w:ascii="Times New Roman" w:cs="Times New Roman" w:eastAsia="Times New Roman" w:hAnsi="Times New Roman"/>
                <w:sz w:val="21"/>
                <w:szCs w:val="21"/>
                <w:color w:val="auto"/>
                <w:vertAlign w:val="superscript"/>
              </w:rPr>
              <w:t>(3)</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Depreciation and amortization of</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114,959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80,792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60"/>
              <w:spacing w:after="0" w:line="216" w:lineRule="exact"/>
              <w:rPr>
                <w:sz w:val="20"/>
                <w:szCs w:val="20"/>
                <w:color w:val="auto"/>
              </w:rPr>
            </w:pPr>
            <w:r>
              <w:rPr>
                <w:rFonts w:ascii="Times New Roman" w:cs="Times New Roman" w:eastAsia="Times New Roman" w:hAnsi="Times New Roman"/>
                <w:sz w:val="16"/>
                <w:szCs w:val="16"/>
                <w:color w:val="auto"/>
              </w:rPr>
              <w:t>acquired assets</w:t>
            </w:r>
            <w:r>
              <w:rPr>
                <w:rFonts w:ascii="Times New Roman" w:cs="Times New Roman" w:eastAsia="Times New Roman" w:hAnsi="Times New Roman"/>
                <w:sz w:val="21"/>
                <w:szCs w:val="21"/>
                <w:color w:val="auto"/>
                <w:vertAlign w:val="superscript"/>
              </w:rPr>
              <w:t>(4)</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Asset impairments</w:t>
            </w:r>
            <w:r>
              <w:rPr>
                <w:rFonts w:ascii="Times New Roman" w:cs="Times New Roman" w:eastAsia="Times New Roman" w:hAnsi="Times New Roman"/>
                <w:sz w:val="21"/>
                <w:szCs w:val="21"/>
                <w:color w:val="auto"/>
                <w:vertAlign w:val="superscript"/>
              </w:rPr>
              <w:t>(5)</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40"/>
              <w:spacing w:after="0" w:line="216"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other charges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289,913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235,283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20" w:hanging="112"/>
        <w:spacing w:after="0"/>
        <w:tabs>
          <w:tab w:leader="none" w:pos="120" w:val="left"/>
        </w:tabs>
        <w:numPr>
          <w:ilvl w:val="0"/>
          <w:numId w:val="3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charges incurred for employee severance.</w:t>
      </w:r>
    </w:p>
    <w:p>
      <w:pPr>
        <w:spacing w:after="0" w:line="1" w:lineRule="exact"/>
        <w:rPr>
          <w:rFonts w:ascii="Times New Roman" w:cs="Times New Roman" w:eastAsia="Times New Roman" w:hAnsi="Times New Roman"/>
          <w:sz w:val="14"/>
          <w:szCs w:val="14"/>
          <w:color w:val="auto"/>
          <w:vertAlign w:val="superscript"/>
        </w:rPr>
      </w:pPr>
    </w:p>
    <w:p>
      <w:pPr>
        <w:ind w:left="120" w:hanging="112"/>
        <w:spacing w:after="0" w:line="221" w:lineRule="auto"/>
        <w:tabs>
          <w:tab w:leader="none" w:pos="120" w:val="left"/>
        </w:tabs>
        <w:numPr>
          <w:ilvl w:val="0"/>
          <w:numId w:val="3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shutdown and holding expenses related to store closures.</w:t>
      </w:r>
    </w:p>
    <w:p>
      <w:pPr>
        <w:ind w:left="180" w:hanging="172"/>
        <w:spacing w:after="0" w:line="213" w:lineRule="auto"/>
        <w:tabs>
          <w:tab w:leader="none" w:pos="133" w:val="left"/>
        </w:tabs>
        <w:numPr>
          <w:ilvl w:val="0"/>
          <w:numId w:val="3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Represents stock compensation expense related to common stock issued to Acima Holdings employees under restricted stock agreements as part of the acquisition proceeds subject to vesting restrictions, as described in Note B and Note O.</w:t>
      </w:r>
    </w:p>
    <w:p>
      <w:pPr>
        <w:spacing w:after="0" w:line="1" w:lineRule="exact"/>
        <w:rPr>
          <w:rFonts w:ascii="Times New Roman" w:cs="Times New Roman" w:eastAsia="Times New Roman" w:hAnsi="Times New Roman"/>
          <w:sz w:val="16"/>
          <w:szCs w:val="16"/>
          <w:color w:val="auto"/>
          <w:vertAlign w:val="superscript"/>
        </w:rPr>
      </w:pPr>
    </w:p>
    <w:p>
      <w:pPr>
        <w:ind w:left="180" w:hanging="172"/>
        <w:spacing w:after="0" w:line="223" w:lineRule="auto"/>
        <w:tabs>
          <w:tab w:leader="none" w:pos="146" w:val="left"/>
        </w:tabs>
        <w:numPr>
          <w:ilvl w:val="0"/>
          <w:numId w:val="3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Represents amortization of the total fair value of acquired intangible assets and incremental depreciation related to the fair value increase over net book value of acquired software assets in connection with the acquisition of Acima Holdings as described in Note B.</w:t>
      </w:r>
    </w:p>
    <w:p>
      <w:pPr>
        <w:ind w:left="140" w:hanging="132"/>
        <w:spacing w:after="0" w:line="193" w:lineRule="auto"/>
        <w:tabs>
          <w:tab w:leader="none" w:pos="140" w:val="left"/>
        </w:tabs>
        <w:numPr>
          <w:ilvl w:val="0"/>
          <w:numId w:val="3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Asset impairments primarily represent impairment of software assets 2022. Asset impairments in 2021 includes store damage related to Hurricane Ida.</w:t>
      </w:r>
    </w:p>
    <w:p>
      <w:pPr>
        <w:ind w:left="180" w:hanging="172"/>
        <w:spacing w:after="0" w:line="222" w:lineRule="auto"/>
        <w:tabs>
          <w:tab w:leader="none" w:pos="133" w:val="left"/>
        </w:tabs>
        <w:numPr>
          <w:ilvl w:val="0"/>
          <w:numId w:val="3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$17.5 million in legal settlement reserves and $0.2 million in state sales tax assessment reserves for 2021. Amounts accrued for potential settlements do not represent our maximum loss exposure. The amount of any loss ultimately incurred in relation to matters for which an accrual has been established may be significantly different than the amounts accrued for such matters due to the inherent uncertainty in litigation, regulatory and similar adversarial proceedings.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O — Stock-Based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long-term incentive plans for the benefit of certain employees and directors. Our plans consist of the 2021 Long-Term Incentive Plan (the “2021 Plan”), the 2016 Long-Term Incentive Plan (the “2016 Plan”), the 2006 Long-Term Incentive Plan (the “2006 Plan”), and the 2006 Equity Incentive Plan (the “Equity Incentive Plan”), which are collectively known as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“Plans.” All Plans prior to the 2021 Plan were previously expired upon approval of the superseding Plan, and any shares available for grant under the respective plans were canceled at the time of expiration.</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8, 2021, at the 2021 Annual Meeting of Stockholders, the stockholders approved the 2021 Plan. The 2021 Plan authorizes the issuance of a total of 5,000,000 shares of common stock. Any shares of common stock granted in connection with 2021 Plan awards will be counted against this limit as one share. No shares of common stock will be deemed to have been issued if (1) such shares covered by the unexercised portion of an option that terminates, expires, or is cancelled or settled in cash or (2) such shares are forfeited or subject to awards that are forfeited, canceled, terminated or settled in cash. In any calendar year, (1) no employee will be granted options and/or stock appreciation rights for more than 800,000 shares of common stock; (2) no employee will be granted performance-based equity awards under the 2021 Plan (other than options and stock appreciation rights), covering more than 800,000 shares of common stock. As of December 31, 2022 and 2021, there were 1,002,638 and 100,822 shares allocated to equity awards outstanding in the 2021 Plan, respectively.</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previously expired 2016 Plan, there were 1,226,875 and 2,184,396 shares, respectively, allocated to equity awards outstanding as of December 31, 2022 and 2021, respectively, in the 2016 Plan. The 2016 Plan expired on June 8, 2021 upon approval of the 2021 Plan.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previously expired 2006 Plan and Equity Incentive Plan (formerly known as the Rent-Way, Inc. 2006 Equity Incentive Plan) there were 63,156 and 83,757 shares as of December 31, 2022 and 2021, respectively, allocated to outstanding equity awards under the 2006 Plan, and 47,827 and 63,065 shares as of December 31, 2022 and 2021, respectively, allocated to outstanding equity awards under the Equity Incentive Plan. The 2006 Plan and Equity Incentive Plan previously expired in 2016. Outstanding equity awards under these plans represent vested options that will expire at various times through 2026, unless exercised or canceled prior to the expiration date.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Options granted to our employees generally become exercisable over a period of 1 to 4 years from the date of grant and may be exercised up to a maximum of 10 years from the date of grant. Options granted to directors are immediately exercisable.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grant restricted stock units to certain employees that vest ratably over a three-year service period. We recognize expense for these awards using the straight-line method over the requisite service period based on the number of awards expected to vest. We also grant performance-based restricted stock units that vest between 0% and 200% depending on our stock performance against an index using a total shareholder return formula established at the date of grant for the subsequent three-year period. We record expense for these awards over the requisite service period, net of the expected forfeiture rate, since the employee must maintain employment to vest in the award.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for the years ended December 31, 2022, 2021 and 2020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1,878</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Restricted share units</w:t>
            </w:r>
            <w:r>
              <w:rPr>
                <w:rFonts w:ascii="Times New Roman" w:cs="Times New Roman" w:eastAsia="Times New Roman" w:hAnsi="Times New Roman"/>
                <w:sz w:val="21"/>
                <w:szCs w:val="21"/>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158,031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145,553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10,406</w:t>
            </w: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159,358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12,284</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Tax benefit recognized in the statements of earnings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3,062</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net of tax</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155,967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143,250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9,222</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both"/>
        <w:ind w:left="180" w:hanging="172"/>
        <w:spacing w:after="0" w:line="231" w:lineRule="auto"/>
        <w:tabs>
          <w:tab w:leader="none" w:pos="151" w:val="left"/>
        </w:tabs>
        <w:numPr>
          <w:ilvl w:val="0"/>
          <w:numId w:val="3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expense of $143.2 million and $127.1 million for the twelve months ended December 31, 2022 and 2021, respectively in stock compensation expense related to 8,096,595 common shares issued to the former owners of Acima, as part of the Aggregate Stock Consideration subject to restricted stock agreements, and recorded to Other charges in our Consolidated Statements of Operations. Shares issued as part of the Aggregate Stock Consideration for the acquisition of Acima Holdings were not issued under the authorization of the 2021 Plan or any prior approved long-term incentive plan described above. See Note B and Note N for additional information.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issue new shares of stock to satisfy option exercises and the vesting of restricted stock units.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 of unvested options that we expect to result in compensation expense was approximately $1.3 million with a weighted average number of years to vesting of 1.52 at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with respect to stock option activity related to the Plans for the year ended December 31, 2022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44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Equity Awards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5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340" w:type="dxa"/>
            <w:vAlign w:val="bottom"/>
          </w:tcPr>
          <w:p>
            <w:pPr>
              <w:jc w:val="center"/>
              <w:ind w:right="44"/>
              <w:spacing w:after="0" w:line="146"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8"/>
        </w:trPr>
        <w:tc>
          <w:tcPr>
            <w:tcW w:w="5120" w:type="dxa"/>
            <w:vAlign w:val="bottom"/>
          </w:tcPr>
          <w:p>
            <w:pPr>
              <w:spacing w:after="0"/>
              <w:rPr>
                <w:sz w:val="17"/>
                <w:szCs w:val="17"/>
                <w:color w:val="auto"/>
              </w:rPr>
            </w:pPr>
          </w:p>
        </w:tc>
        <w:tc>
          <w:tcPr>
            <w:tcW w:w="144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20" w:type="dxa"/>
            <w:vAlign w:val="bottom"/>
          </w:tcPr>
          <w:p>
            <w:pPr>
              <w:spacing w:after="0"/>
              <w:rPr>
                <w:sz w:val="17"/>
                <w:szCs w:val="17"/>
                <w:color w:val="auto"/>
              </w:rPr>
            </w:pPr>
          </w:p>
        </w:tc>
        <w:tc>
          <w:tcPr>
            <w:tcW w:w="13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4"/>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outstanding at January 1, 2022</w:t>
            </w:r>
          </w:p>
        </w:tc>
        <w:tc>
          <w:tcPr>
            <w:tcW w:w="14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1,121,489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28.64</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Expired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outstanding at December 31, 2022</w:t>
            </w:r>
          </w:p>
        </w:tc>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854,339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3,594</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at December 31, 2022</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610,844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3,453</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intrinsic value of options exercised during the years ended December 31, 2022, 2021, and 2020 was $1.4 million, $14.3 million, and $5.8 million, respectively, resulting in tax benefits of $0.5 million, $5.0 million, and $2.0 million, respectively, which are reflected as an outflow from operating activities and an inflow from financing activities in the Consolidated Statements of Cash Flows.</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weighted average fair values of the options granted under the Plans were calculated using the Black-Scholes method. There were no options granted in 2022. The weighted average grant date fair value and weighted average assumptions used in the option pricing models for 2021 and 2020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600" w:type="dxa"/>
            <w:vAlign w:val="bottom"/>
            <w:gridSpan w:val="4"/>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grant date fair value</w:t>
            </w:r>
          </w:p>
        </w:tc>
        <w:tc>
          <w:tcPr>
            <w:tcW w:w="940" w:type="dxa"/>
            <w:vAlign w:val="bottom"/>
            <w:shd w:val="clear" w:color="auto" w:fill="CCEEFF"/>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14.94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7.28</w:t>
            </w: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risk free interest rate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0.49 %</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0.93 %</w:t>
            </w: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expected dividend yield</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4.75 %</w:t>
            </w: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expected volatility</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50.29 %</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49.44 %</w:t>
            </w: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expected life (in years)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with respect to non-vested restricted stock unit activity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182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Restricted Awards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5"/>
        </w:trPr>
        <w:tc>
          <w:tcPr>
            <w:tcW w:w="748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14"/>
        </w:trPr>
        <w:tc>
          <w:tcPr>
            <w:tcW w:w="748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6"/>
                <w:szCs w:val="16"/>
                <w:color w:val="auto"/>
              </w:rPr>
              <w:t>Balance outstanding at January 1, 2022</w:t>
            </w:r>
            <w:r>
              <w:rPr>
                <w:rFonts w:ascii="Times New Roman" w:cs="Times New Roman" w:eastAsia="Times New Roman" w:hAnsi="Times New Roman"/>
                <w:sz w:val="21"/>
                <w:szCs w:val="21"/>
                <w:color w:val="auto"/>
                <w:vertAlign w:val="superscript"/>
              </w:rPr>
              <w:t>(1)</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9,209,257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50.33</w:t>
            </w:r>
          </w:p>
        </w:tc>
      </w:tr>
      <w:tr>
        <w:trPr>
          <w:trHeight w:val="213"/>
        </w:trPr>
        <w:tc>
          <w:tcPr>
            <w:tcW w:w="7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1,224,764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w:t>
            </w:r>
          </w:p>
        </w:tc>
      </w:tr>
      <w:tr>
        <w:trPr>
          <w:trHeight w:val="219"/>
        </w:trPr>
        <w:tc>
          <w:tcPr>
            <w:tcW w:w="74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Vested</w:t>
            </w:r>
            <w:r>
              <w:rPr>
                <w:rFonts w:ascii="Times New Roman" w:cs="Times New Roman" w:eastAsia="Times New Roman" w:hAnsi="Times New Roman"/>
                <w:sz w:val="21"/>
                <w:szCs w:val="21"/>
                <w:color w:val="auto"/>
                <w:vertAlign w:val="superscript"/>
              </w:rPr>
              <w:t>(2)</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(4,711,403)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48.99</w:t>
            </w:r>
          </w:p>
        </w:tc>
      </w:tr>
      <w:tr>
        <w:trPr>
          <w:trHeight w:val="216"/>
        </w:trPr>
        <w:tc>
          <w:tcPr>
            <w:tcW w:w="748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Forfeited </w:t>
            </w:r>
            <w:r>
              <w:rPr>
                <w:rFonts w:ascii="Times New Roman" w:cs="Times New Roman" w:eastAsia="Times New Roman" w:hAnsi="Times New Roman"/>
                <w:sz w:val="21"/>
                <w:szCs w:val="21"/>
                <w:color w:val="auto"/>
                <w:vertAlign w:val="superscript"/>
              </w:rPr>
              <w:t>(3)</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(545,133)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41.41</w:t>
            </w:r>
          </w:p>
        </w:tc>
      </w:tr>
      <w:tr>
        <w:trPr>
          <w:trHeight w:val="235"/>
        </w:trPr>
        <w:tc>
          <w:tcPr>
            <w:tcW w:w="748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Balance outstanding at December 31, 2022</w:t>
            </w:r>
            <w:r>
              <w:rPr>
                <w:rFonts w:ascii="Times New Roman" w:cs="Times New Roman" w:eastAsia="Times New Roman" w:hAnsi="Times New Roman"/>
                <w:sz w:val="21"/>
                <w:szCs w:val="21"/>
                <w:color w:val="auto"/>
                <w:vertAlign w:val="superscript"/>
              </w:rPr>
              <w:t>(1)</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5,177,485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46.63</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ind w:left="180" w:hanging="172"/>
        <w:spacing w:after="0" w:line="223" w:lineRule="auto"/>
        <w:tabs>
          <w:tab w:leader="none" w:pos="152" w:val="left"/>
        </w:tabs>
        <w:numPr>
          <w:ilvl w:val="0"/>
          <w:numId w:val="4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7,898,706 and 3,691,328 outstanding shares at January 1, 2022 and December 31, 2022 related to RSA agreements issued as part of the Aggregate Stock Consideration for the acquisition of Acima Holdings, described further in Note B, which were not issued under the authorization of the 2021 Plan or any previously approved long-term incentive plan described above.</w:t>
      </w:r>
    </w:p>
    <w:p>
      <w:pPr>
        <w:spacing w:after="0" w:line="1" w:lineRule="exact"/>
        <w:rPr>
          <w:rFonts w:ascii="Times New Roman" w:cs="Times New Roman" w:eastAsia="Times New Roman" w:hAnsi="Times New Roman"/>
          <w:sz w:val="16"/>
          <w:szCs w:val="16"/>
          <w:color w:val="auto"/>
          <w:vertAlign w:val="superscript"/>
        </w:rPr>
      </w:pPr>
    </w:p>
    <w:p>
      <w:pPr>
        <w:ind w:left="140" w:hanging="132"/>
        <w:spacing w:after="0" w:line="195" w:lineRule="auto"/>
        <w:tabs>
          <w:tab w:leader="none" w:pos="140" w:val="left"/>
        </w:tabs>
        <w:numPr>
          <w:ilvl w:val="0"/>
          <w:numId w:val="4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4,180,193 shares vested during 2022 as part of RSA agreements issued as part of the Aggregate Stock Consideration for the acquisition of Acima Holdings, as described above.</w:t>
      </w:r>
    </w:p>
    <w:p>
      <w:pPr>
        <w:spacing w:after="0" w:line="12" w:lineRule="exact"/>
        <w:rPr>
          <w:rFonts w:ascii="Times New Roman" w:cs="Times New Roman" w:eastAsia="Times New Roman" w:hAnsi="Times New Roman"/>
          <w:sz w:val="16"/>
          <w:szCs w:val="16"/>
          <w:color w:val="auto"/>
          <w:vertAlign w:val="superscript"/>
        </w:rPr>
      </w:pPr>
    </w:p>
    <w:p>
      <w:pPr>
        <w:ind w:left="140" w:hanging="132"/>
        <w:spacing w:after="0" w:line="195" w:lineRule="auto"/>
        <w:tabs>
          <w:tab w:leader="none" w:pos="140" w:val="left"/>
        </w:tabs>
        <w:numPr>
          <w:ilvl w:val="0"/>
          <w:numId w:val="4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27,185 shares forfeited during 2022 as part of RSA agreements issued as part of the Aggregate Stock Consideration for the acquisition of Acima Holdings, as described above.</w:t>
      </w:r>
    </w:p>
    <w:p>
      <w:pPr>
        <w:spacing w:after="0" w:line="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stock units are valued using the closing price reported by the Nasdaq Global Select Market on the trading day immediately preceding the day of the grant. Unrecognized compensation expense for unvested restricted stock units at December 31, 2022, was approximately $169.2 million expected to be recognized over a weighted average period of 1.24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 — Deferred Compensation Plan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Deferred Compensation Plan is an unfunded, nonqualified deferred compensation plan for a select group of our key management personnel and highly compensated employees. The Deferred Compensation Plan first became available to eligible employees in July 2007, with deferral elections taking effect as of August 3, 2007.</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Deferred Compensation Plan allows participants to defer up to 50% of their base compensation and up to 100% of any bonus compensation. Participants may invest the amounts deferred in measurement funds that are the same funds offered as the investment options in their 401(k) Retirement Savings Plan ("the "401(k) Plan"). We may make discretionary contributions to the Deferred Compensation Plan, which are subject to a two-year vesting schedule based on the participant’s years of service with us. We are obligated to pay the deferred compensation amounts in the future in accordance with the terms of the Deferred Compensation Plan. Assets and associated liabilities of the Deferred Compensation Plan are included in prepaid and other assets and accrued liabilities in our Consolidated Balance Sheets. For the years ended December 31, 2022, 2021 and 2020, we made matching cash contributions of approximately $120 thousand, $170 thousand, and $160 thousand, respectively, which represents 50% of the employees’ contributions to the Deferred Compensation Plan up to an amount not to exceed 6% of each employee's respective compensation. No other discretionary contributions were made for the years ended December 31, 2022, 2021 and 2020. The deferred compensation plan assets and liabilities were approximately $8.0 million and $10.4 million as of December 31, 2022 and 2021,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Q — 401(k) Plan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sponsor a defined contribution plan under Section 401(k) of the Internal Revenue Code for certain employees who have completed at least three months of service. Employees may elect to contribute up to 50% of their eligible compensation on a pre-tax basis, subject to limitations. We may make discretionary contributions to the 401(k) Plan. Employer matching contributions are subject to a two-year vesting schedule based on the participant's years of service with us. For the years ended December 31, 2022, 2021 and 2020, we made matching cash contributions of $6.0 million, $6.4 million, and $5.5 million, respectively, which represents 50% of the employees’ contributions to the 401(k) Plan up to an amount not to exceed 6% of each employee's respective compensation. Employees are permitted to elect to purchase our common stock as part of their 401(k) Plan, up to specified limitations and in accordance with applicable law. As of December 31, 2022 and 2021, 3.7% and 6.9%, respectively, of the total plan assets consisted of our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 — Fair Value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follow a three-tier fair value hierarchy, which classifies the inputs used in measuring fair values, in determining the fair value of our non-financial assets and non-financial liabilities, which consist primarily of goodwill. These tiers include: Level 1, defined as observable inputs such as quoted prices for identical instruments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receivables, payables, borrowings against our ABL Credit Facility and Term Loan Facility, and outstanding Notes. The carrying amount of cash and cash equivalents, receivables and payables approximates fair value at December 31, 2022 and December 31, 2021, because of the short maturities of these instruments. In addition, the interest rates on our Term Loan Facility and ABL Credit Facility are variable and, therefore, we believe the carrying value of outstanding borrowings approximates their fair value.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our Notes is based on Level 1 inputs and was as follows at December 31, 2022:</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16"/>
                <w:szCs w:val="16"/>
                <w:color w:val="auto"/>
              </w:rPr>
            </w:pPr>
          </w:p>
        </w:tc>
        <w:tc>
          <w:tcPr>
            <w:tcW w:w="1800" w:type="dxa"/>
            <w:vAlign w:val="bottom"/>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480" w:type="dxa"/>
            <w:vAlign w:val="bottom"/>
          </w:tcPr>
          <w:p>
            <w:pPr>
              <w:spacing w:after="0"/>
              <w:rPr>
                <w:sz w:val="16"/>
                <w:szCs w:val="16"/>
                <w:color w:val="auto"/>
              </w:rPr>
            </w:pPr>
          </w:p>
        </w:tc>
        <w:tc>
          <w:tcPr>
            <w:tcW w:w="164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Difference</w:t>
            </w:r>
          </w:p>
        </w:tc>
        <w:tc>
          <w:tcPr>
            <w:tcW w:w="0" w:type="dxa"/>
            <w:vAlign w:val="bottom"/>
          </w:tcPr>
          <w:p>
            <w:pPr>
              <w:spacing w:after="0"/>
              <w:rPr>
                <w:sz w:val="1"/>
                <w:szCs w:val="1"/>
                <w:color w:val="auto"/>
              </w:rPr>
            </w:pPr>
          </w:p>
        </w:tc>
      </w:tr>
      <w:tr>
        <w:trPr>
          <w:trHeight w:val="216"/>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365,040</w:t>
            </w:r>
          </w:p>
        </w:tc>
        <w:tc>
          <w:tcPr>
            <w:tcW w:w="48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(84,960)</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S — Stock Repurchase Plan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early December 2021, our Board of Directors authorized a new stock repurchase program for up to $500.0 million (the “December 2021 Program”), which superseded our previous stock repurchase program. Under the December 2021 Program, we may purchase shares of our common stock from time to time in the open market or privately negotiated transactions. We are not obligated to acquire any shares under the program, and the program may be suspended or discontinued at any time. During 2022, 3,536,799 shares of our common stock were repurchased for an aggregate purchase price of approximately $75.1 million under the December 2021 Program, which has approximately $285.0 million remaining under the current authorization available for repurchases. During 2021, 2,829,700 shares of our common stock were repurchased for an aggregate purchase price of approximately $140.0 million under the December 2021 Program. Under previous repurchase programs, 5,069,108 shares of our common stock were repurchased for an aggregate purchase price of $250.0 million during 2021. During 2020, 1,463,377 shares of our common stock were repurchased for an aggregate purchase prices of $26.6 million under previous repurchase programs.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T — Segment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operating segments reported below are the segments for which separate financial information is available and for which segment results are evaluated by the chief operating decision makers. Our operating segments are organized based on factors including, but not limited to, type of business transactions, geographic location and store ownership. Within our operating segments, we offer merchandise for lease from certain basic product categories: furniture, including mattresses, tires, consumer electronics, appliances, tools, handbags, computers, smartphones, and accessories.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report financial operating performance under four operating segments. To better reflect our current strategic focus, our retail partner business operations are now reported as the Acima segment (formerly Preferred Lease), which includes our virtual and staffed business models; and our Rent-A-Center Business segment</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which operates our company-owned stores and e-commerce platform through rentacenter.com. In addition, we report operating results for our Mexico and Franchising segments. Reportable segments and their respective operations are defined as follows.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Rent-A-Center Business segment primarily operates lease-to-own stores in the United States and Puerto Rico whose customers enter into weekly, semi-monthly or monthly rental purchase agreements, which renew automatically upon receipt of each payment. We retain the title to the merchandise during the term of the rental purchase agreement and ownership passes to the customer if the customer has continuously renewed the rental purchase agreement through the end of the term or exercises a specified early purchase option. This segment also includes the 48 stores operating in two states that utilize a retail model which generates installment credit sales through a retail sale transaction. Segment assets include cash, receivables, rental merchandise, property assets and other intangible assets.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Acima segment, which primarily operates in the United States and Puerto Rico, and which includes the operations of Acima Holdings acquired in February 2021 and our former Preferred Lease virtual and staffed locations, generally offers the lease-to-own transaction to consumers who do not qualify for financing from the traditional retailer. The Acima segment offers the lease-to-own transaction through our virtual offering solutions across e-commerce, digital, and mobile channels, and through staffed and unstaffed kiosks located within such retailer’s locations.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Mexico segment currently consists of our company-owned lease-to-own stores in Mexico. The nature of this segment's operations and assets are the same as our Rent-A-Center Business segment.</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stores in our Franchising segment use Rent-A-Center’s, ColorTyme’s or RimTyme’s trade names, service marks, trademarks and logos, and operate under distinctive operating procedures and standards. Franchising’s primary source of revenue is the sale of rental merchandise to its franchisees who, in turn, offer the merchandise to the general public for rent or purchase under a lease-to-own program. As franchisor, Franchising receives royalties of 2.0% to 6.0% of the franchisees' monthly gross revenue and initial fees for new locations. Segment assets include cash, trade receivables, property assets and intangible assets.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as of and for the years ended December 31, 2022, 2021, and 2020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Rent-A-Center Business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1,949,864</w:t>
            </w:r>
          </w:p>
        </w:tc>
        <w:tc>
          <w:tcPr>
            <w:tcW w:w="4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2,037,849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1,852,641</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Acima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2,110,320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2,328,089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810,151</w:t>
            </w: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Mexico</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50,583</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Franchising</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120,328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100,816</w:t>
            </w:r>
          </w:p>
        </w:tc>
        <w:tc>
          <w:tcPr>
            <w:tcW w:w="0" w:type="dxa"/>
            <w:vAlign w:val="bottom"/>
          </w:tcPr>
          <w:p>
            <w:pPr>
              <w:spacing w:after="0"/>
              <w:rPr>
                <w:sz w:val="1"/>
                <w:szCs w:val="1"/>
                <w:color w:val="auto"/>
              </w:rPr>
            </w:pPr>
          </w:p>
        </w:tc>
      </w:tr>
      <w:tr>
        <w:trPr>
          <w:trHeight w:val="209"/>
        </w:trPr>
        <w:tc>
          <w:tcPr>
            <w:tcW w:w="66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revenues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4,245,392</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4,583,451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2,814,191</w:t>
            </w:r>
          </w:p>
        </w:tc>
        <w:tc>
          <w:tcPr>
            <w:tcW w:w="0" w:type="dxa"/>
            <w:vAlign w:val="bottom"/>
          </w:tcPr>
          <w:p>
            <w:pPr>
              <w:spacing w:after="0"/>
              <w:rPr>
                <w:sz w:val="1"/>
                <w:szCs w:val="1"/>
                <w:color w:val="auto"/>
              </w:rPr>
            </w:pPr>
          </w:p>
        </w:tc>
      </w:tr>
      <w:tr>
        <w:trPr>
          <w:trHeight w:val="21"/>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6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Rent-A-Center Business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1,372,863</w:t>
            </w:r>
          </w:p>
        </w:tc>
        <w:tc>
          <w:tcPr>
            <w:tcW w:w="4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1,433,536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1,294,695</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Acima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632,244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728,852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321,110</w:t>
            </w: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Mexico</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35,665</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Franchising</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20,682</w:t>
            </w:r>
          </w:p>
        </w:tc>
        <w:tc>
          <w:tcPr>
            <w:tcW w:w="0" w:type="dxa"/>
            <w:vAlign w:val="bottom"/>
          </w:tcPr>
          <w:p>
            <w:pPr>
              <w:spacing w:after="0"/>
              <w:rPr>
                <w:sz w:val="1"/>
                <w:szCs w:val="1"/>
                <w:color w:val="auto"/>
              </w:rPr>
            </w:pPr>
          </w:p>
        </w:tc>
      </w:tr>
      <w:tr>
        <w:trPr>
          <w:trHeight w:val="210"/>
        </w:trPr>
        <w:tc>
          <w:tcPr>
            <w:tcW w:w="66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gross profit</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2,079,532</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2,235,012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1,672,152</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9" w:name="page90"/>
    <w:bookmarkEnd w:id="89"/>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2"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Rent-A-Center Business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334,525</w:t>
            </w:r>
          </w:p>
        </w:tc>
        <w:tc>
          <w:tcPr>
            <w:tcW w:w="4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448,905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333,379</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Acima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57,847</w:t>
            </w: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Mexico</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5,798</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Franchising</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12,570</w:t>
            </w:r>
          </w:p>
        </w:tc>
        <w:tc>
          <w:tcPr>
            <w:tcW w:w="0" w:type="dxa"/>
            <w:vAlign w:val="bottom"/>
          </w:tcPr>
          <w:p>
            <w:pPr>
              <w:spacing w:after="0"/>
              <w:rPr>
                <w:sz w:val="1"/>
                <w:szCs w:val="1"/>
                <w:color w:val="auto"/>
              </w:rPr>
            </w:pPr>
          </w:p>
        </w:tc>
      </w:tr>
      <w:tr>
        <w:trPr>
          <w:trHeight w:val="207"/>
        </w:trPr>
        <w:tc>
          <w:tcPr>
            <w:tcW w:w="66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segments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511,217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653,580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409,594</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Corporate</w:t>
            </w:r>
            <w:r>
              <w:rPr>
                <w:rFonts w:ascii="Times New Roman" w:cs="Times New Roman" w:eastAsia="Times New Roman" w:hAnsi="Times New Roman"/>
                <w:sz w:val="21"/>
                <w:szCs w:val="21"/>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(362,679)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(373,041)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(172,258)</w:t>
            </w:r>
          </w:p>
        </w:tc>
        <w:tc>
          <w:tcPr>
            <w:tcW w:w="0" w:type="dxa"/>
            <w:vAlign w:val="bottom"/>
          </w:tcPr>
          <w:p>
            <w:pPr>
              <w:spacing w:after="0"/>
              <w:rPr>
                <w:sz w:val="1"/>
                <w:szCs w:val="1"/>
                <w:color w:val="auto"/>
              </w:rPr>
            </w:pPr>
          </w:p>
        </w:tc>
      </w:tr>
      <w:tr>
        <w:trPr>
          <w:trHeight w:val="209"/>
        </w:trPr>
        <w:tc>
          <w:tcPr>
            <w:tcW w:w="66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operating profit</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148,538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280,539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237,336</w:t>
            </w:r>
          </w:p>
        </w:tc>
        <w:tc>
          <w:tcPr>
            <w:tcW w:w="0" w:type="dxa"/>
            <w:vAlign w:val="bottom"/>
          </w:tcPr>
          <w:p>
            <w:pPr>
              <w:spacing w:after="0"/>
              <w:rPr>
                <w:sz w:val="1"/>
                <w:szCs w:val="1"/>
                <w:color w:val="auto"/>
              </w:rPr>
            </w:pPr>
          </w:p>
        </w:tc>
      </w:tr>
      <w:tr>
        <w:trPr>
          <w:trHeight w:val="21"/>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72" w:hanging="172"/>
        <w:spacing w:after="0" w:line="225" w:lineRule="auto"/>
        <w:tabs>
          <w:tab w:leader="none" w:pos="125" w:val="left"/>
        </w:tabs>
        <w:numPr>
          <w:ilvl w:val="0"/>
          <w:numId w:val="4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stock compensation expense of $143.2 million and $127.1 million for the twelve months ended December 31, 2022 and 2021, related to common stock issued to Acima Holdings employees under restricted stock agreements as part of the acquisition consideration subject to vesting restrictions as described in Note N.</w:t>
      </w:r>
    </w:p>
    <w:p>
      <w:pPr>
        <w:spacing w:after="0" w:line="18" w:lineRule="exact"/>
        <w:rPr>
          <w:sz w:val="20"/>
          <w:szCs w:val="20"/>
          <w:color w:val="auto"/>
        </w:rPr>
      </w:pPr>
    </w:p>
    <w:tbl>
      <w:tblPr>
        <w:tblLayout w:type="fixed"/>
        <w:tblInd w:w="12"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write-down of intangibles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Rent-A-Center Business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20,526</w:t>
            </w:r>
          </w:p>
        </w:tc>
        <w:tc>
          <w:tcPr>
            <w:tcW w:w="4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19,912</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Acima</w:t>
            </w:r>
            <w:r>
              <w:rPr>
                <w:rFonts w:ascii="Times New Roman" w:cs="Times New Roman" w:eastAsia="Times New Roman" w:hAnsi="Times New Roman"/>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w:t>
            </w: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Mexico</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Franchising</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7"/>
        </w:trPr>
        <w:tc>
          <w:tcPr>
            <w:tcW w:w="66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segments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22,431</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Corporate</w:t>
            </w:r>
            <w:r>
              <w:rPr>
                <w:rFonts w:ascii="Times New Roman" w:cs="Times New Roman" w:eastAsia="Times New Roman" w:hAnsi="Times New Roman"/>
                <w:sz w:val="21"/>
                <w:szCs w:val="21"/>
                <w:color w:val="auto"/>
                <w:vertAlign w:val="superscript"/>
              </w:rPr>
              <w:t>(2)</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34,227</w:t>
            </w:r>
          </w:p>
        </w:tc>
        <w:tc>
          <w:tcPr>
            <w:tcW w:w="0" w:type="dxa"/>
            <w:vAlign w:val="bottom"/>
          </w:tcPr>
          <w:p>
            <w:pPr>
              <w:spacing w:after="0"/>
              <w:rPr>
                <w:sz w:val="1"/>
                <w:szCs w:val="1"/>
                <w:color w:val="auto"/>
              </w:rPr>
            </w:pPr>
          </w:p>
        </w:tc>
      </w:tr>
      <w:tr>
        <w:trPr>
          <w:trHeight w:val="210"/>
        </w:trPr>
        <w:tc>
          <w:tcPr>
            <w:tcW w:w="66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depreciation, amortization and write-down of intangibles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53,079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54,830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56,658</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72" w:hanging="172"/>
        <w:spacing w:after="0" w:line="223" w:lineRule="auto"/>
        <w:tabs>
          <w:tab w:leader="none" w:pos="125" w:val="left"/>
        </w:tabs>
        <w:numPr>
          <w:ilvl w:val="0"/>
          <w:numId w:val="4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Excludes amortization expense of approximately $64.9 million and $101.7 million for the twelve months ended December 31, 2022 and 2021, respectively, recorded to Other charges in the Consolidated Statement of Operations, related to intangible assets acquired upon closing of the Acima Holdings acquisition. See Note N for additional information.</w:t>
      </w:r>
    </w:p>
    <w:p>
      <w:pPr>
        <w:spacing w:after="0" w:line="1" w:lineRule="exact"/>
        <w:rPr>
          <w:rFonts w:ascii="Times New Roman" w:cs="Times New Roman" w:eastAsia="Times New Roman" w:hAnsi="Times New Roman"/>
          <w:sz w:val="16"/>
          <w:szCs w:val="16"/>
          <w:color w:val="auto"/>
          <w:vertAlign w:val="superscript"/>
        </w:rPr>
      </w:pPr>
    </w:p>
    <w:p>
      <w:pPr>
        <w:ind w:left="172" w:hanging="172"/>
        <w:spacing w:after="0" w:line="214" w:lineRule="auto"/>
        <w:tabs>
          <w:tab w:leader="none" w:pos="125" w:val="left"/>
        </w:tabs>
        <w:numPr>
          <w:ilvl w:val="0"/>
          <w:numId w:val="4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Excludes depreciation expense of approximately $15.9 million and $13.2 million for the twelve months ended December 31, 2022 and 2021, respectively, recorded to Other charges in the Consolidated Statement of Operations, related to software acquired upon closing of the Acima Holdings acquisition. See Note N for additional information.</w:t>
      </w:r>
    </w:p>
    <w:p>
      <w:pPr>
        <w:spacing w:after="0" w:line="20" w:lineRule="exact"/>
        <w:rPr>
          <w:sz w:val="20"/>
          <w:szCs w:val="20"/>
          <w:color w:val="auto"/>
        </w:rPr>
      </w:pPr>
    </w:p>
    <w:tbl>
      <w:tblPr>
        <w:tblLayout w:type="fixed"/>
        <w:tblInd w:w="12"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Rent-A-Center Business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36,682</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23,139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14,869</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Acima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Mexico</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6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segments</w:t>
            </w: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38,848</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25,216</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15,422</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37,234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19,123</w:t>
            </w:r>
          </w:p>
        </w:tc>
        <w:tc>
          <w:tcPr>
            <w:tcW w:w="0" w:type="dxa"/>
            <w:vAlign w:val="bottom"/>
          </w:tcPr>
          <w:p>
            <w:pPr>
              <w:spacing w:after="0"/>
              <w:rPr>
                <w:sz w:val="1"/>
                <w:szCs w:val="1"/>
                <w:color w:val="auto"/>
              </w:rPr>
            </w:pPr>
          </w:p>
        </w:tc>
      </w:tr>
      <w:tr>
        <w:trPr>
          <w:trHeight w:val="209"/>
        </w:trPr>
        <w:tc>
          <w:tcPr>
            <w:tcW w:w="66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61,387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62,450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34,545</w:t>
            </w:r>
          </w:p>
        </w:tc>
        <w:tc>
          <w:tcPr>
            <w:tcW w:w="0" w:type="dxa"/>
            <w:vAlign w:val="bottom"/>
          </w:tcPr>
          <w:p>
            <w:pPr>
              <w:spacing w:after="0"/>
              <w:rPr>
                <w:sz w:val="1"/>
                <w:szCs w:val="1"/>
                <w:color w:val="auto"/>
              </w:rPr>
            </w:pPr>
          </w:p>
        </w:tc>
      </w:tr>
      <w:tr>
        <w:trPr>
          <w:trHeight w:val="21"/>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6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 rent rental merchandise, net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Rent-A-Center Business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465,095</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477,901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444,945</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Acima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503,795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676,279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299,660</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Mexico</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18,844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18,281</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on rent rental merchandise, net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989,869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1,173,024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762,886</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225" w:right="33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640" w:type="dxa"/>
            <w:vAlign w:val="bottom"/>
            <w:tcBorders>
              <w:bottom w:val="single" w:sz="8" w:color="CCEEFF"/>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2"/>
        </w:trPr>
        <w:tc>
          <w:tcPr>
            <w:tcW w:w="40" w:type="dxa"/>
            <w:vAlign w:val="bottom"/>
            <w:tcBorders>
              <w:right w:val="single" w:sz="8" w:color="CCEEFF"/>
            </w:tcBorders>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Held for rent rental merchandise, net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Rent-A-Center Business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124,117</w:t>
            </w:r>
          </w:p>
        </w:tc>
        <w:tc>
          <w:tcPr>
            <w:tcW w:w="20" w:type="dxa"/>
            <w:vAlign w:val="bottom"/>
          </w:tcPr>
          <w:p>
            <w:pPr>
              <w:spacing w:after="0"/>
              <w:rPr>
                <w:sz w:val="18"/>
                <w:szCs w:val="18"/>
                <w:color w:val="auto"/>
              </w:rPr>
            </w:pPr>
          </w:p>
        </w:tc>
        <w:tc>
          <w:tcPr>
            <w:tcW w:w="3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136,219</w:t>
            </w:r>
          </w:p>
        </w:tc>
        <w:tc>
          <w:tcPr>
            <w:tcW w:w="0" w:type="dxa"/>
            <w:vAlign w:val="bottom"/>
          </w:tcPr>
          <w:p>
            <w:pPr>
              <w:spacing w:after="0"/>
              <w:rPr>
                <w:sz w:val="1"/>
                <w:szCs w:val="1"/>
                <w:color w:val="auto"/>
              </w:rPr>
            </w:pPr>
          </w:p>
        </w:tc>
      </w:tr>
      <w:tr>
        <w:trPr>
          <w:trHeight w:val="219"/>
        </w:trPr>
        <w:tc>
          <w:tcPr>
            <w:tcW w:w="40" w:type="dxa"/>
            <w:vAlign w:val="bottom"/>
            <w:tcBorders>
              <w:right w:val="single" w:sz="8" w:color="CCEEFF"/>
            </w:tcBorders>
          </w:tcPr>
          <w:p>
            <w:pPr>
              <w:spacing w:after="0"/>
              <w:rPr>
                <w:sz w:val="19"/>
                <w:szCs w:val="19"/>
                <w:color w:val="auto"/>
              </w:rPr>
            </w:pPr>
          </w:p>
        </w:tc>
        <w:tc>
          <w:tcPr>
            <w:tcW w:w="6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Acima</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6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Mexico</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9,247</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7,819</w:t>
            </w:r>
          </w:p>
        </w:tc>
        <w:tc>
          <w:tcPr>
            <w:tcW w:w="0" w:type="dxa"/>
            <w:vAlign w:val="bottom"/>
          </w:tcPr>
          <w:p>
            <w:pPr>
              <w:spacing w:after="0"/>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664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Total held for rent rental merchandise, net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134,959</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132,984</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146,266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6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Borders>
              <w:bottom w:val="single" w:sz="8" w:color="CCEEFF"/>
            </w:tcBorders>
          </w:tcPr>
          <w:p>
            <w:pPr>
              <w:spacing w:after="0"/>
              <w:rPr>
                <w:sz w:val="16"/>
                <w:szCs w:val="16"/>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2"/>
        </w:trPr>
        <w:tc>
          <w:tcPr>
            <w:tcW w:w="40" w:type="dxa"/>
            <w:vAlign w:val="bottom"/>
            <w:tcBorders>
              <w:right w:val="single" w:sz="8" w:color="CCEEFF"/>
            </w:tcBorders>
            <w:shd w:val="clear" w:color="auto" w:fill="CCEEFF"/>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 by segment</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Rent-A-Center Business</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1,067,875</w:t>
            </w:r>
          </w:p>
        </w:tc>
        <w:tc>
          <w:tcPr>
            <w:tcW w:w="20" w:type="dxa"/>
            <w:vAlign w:val="bottom"/>
          </w:tcPr>
          <w:p>
            <w:pPr>
              <w:spacing w:after="0"/>
              <w:rPr>
                <w:sz w:val="18"/>
                <w:szCs w:val="18"/>
                <w:color w:val="auto"/>
              </w:rPr>
            </w:pPr>
          </w:p>
        </w:tc>
        <w:tc>
          <w:tcPr>
            <w:tcW w:w="3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1,026,886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999,252</w:t>
            </w:r>
          </w:p>
        </w:tc>
        <w:tc>
          <w:tcPr>
            <w:tcW w:w="0" w:type="dxa"/>
            <w:vAlign w:val="bottom"/>
          </w:tcPr>
          <w:p>
            <w:pPr>
              <w:spacing w:after="0"/>
              <w:rPr>
                <w:sz w:val="1"/>
                <w:szCs w:val="1"/>
                <w:color w:val="auto"/>
              </w:rPr>
            </w:pPr>
          </w:p>
        </w:tc>
      </w:tr>
      <w:tr>
        <w:trPr>
          <w:trHeight w:val="219"/>
        </w:trPr>
        <w:tc>
          <w:tcPr>
            <w:tcW w:w="40" w:type="dxa"/>
            <w:vAlign w:val="bottom"/>
            <w:tcBorders>
              <w:right w:val="single" w:sz="8" w:color="CCEEFF"/>
            </w:tcBorders>
            <w:shd w:val="clear" w:color="auto" w:fill="CCEEFF"/>
          </w:tcPr>
          <w:p>
            <w:pPr>
              <w:spacing w:after="0"/>
              <w:rPr>
                <w:sz w:val="19"/>
                <w:szCs w:val="19"/>
                <w:color w:val="auto"/>
              </w:rPr>
            </w:pPr>
          </w:p>
        </w:tc>
        <w:tc>
          <w:tcPr>
            <w:tcW w:w="6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Acima</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1,198,879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1,476,752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389,650</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Mexico</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42,278</w:t>
            </w:r>
          </w:p>
        </w:tc>
        <w:tc>
          <w:tcPr>
            <w:tcW w:w="0" w:type="dxa"/>
            <w:vAlign w:val="bottom"/>
          </w:tcPr>
          <w:p>
            <w:pPr>
              <w:spacing w:after="0"/>
              <w:rPr>
                <w:sz w:val="1"/>
                <w:szCs w:val="1"/>
                <w:color w:val="auto"/>
              </w:rPr>
            </w:pPr>
          </w:p>
        </w:tc>
      </w:tr>
      <w:tr>
        <w:trPr>
          <w:trHeight w:val="219"/>
        </w:trPr>
        <w:tc>
          <w:tcPr>
            <w:tcW w:w="40" w:type="dxa"/>
            <w:vAlign w:val="bottom"/>
            <w:tcBorders>
              <w:right w:val="single" w:sz="8" w:color="CCEEFF"/>
            </w:tcBorders>
            <w:shd w:val="clear" w:color="auto" w:fill="CCEEFF"/>
          </w:tcPr>
          <w:p>
            <w:pPr>
              <w:spacing w:after="0"/>
              <w:rPr>
                <w:sz w:val="19"/>
                <w:szCs w:val="19"/>
                <w:color w:val="auto"/>
              </w:rPr>
            </w:pPr>
          </w:p>
        </w:tc>
        <w:tc>
          <w:tcPr>
            <w:tcW w:w="6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Franchising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14,729</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66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segments</w:t>
            </w: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2,336,173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2,560,719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1,445,909</w:t>
            </w:r>
          </w:p>
        </w:tc>
        <w:tc>
          <w:tcPr>
            <w:tcW w:w="0" w:type="dxa"/>
            <w:vAlign w:val="bottom"/>
          </w:tcPr>
          <w:p>
            <w:pPr>
              <w:spacing w:after="0"/>
              <w:rPr>
                <w:sz w:val="1"/>
                <w:szCs w:val="1"/>
                <w:color w:val="auto"/>
              </w:rPr>
            </w:pPr>
          </w:p>
        </w:tc>
      </w:tr>
      <w:tr>
        <w:trPr>
          <w:trHeight w:val="232"/>
        </w:trPr>
        <w:tc>
          <w:tcPr>
            <w:tcW w:w="40" w:type="dxa"/>
            <w:vAlign w:val="bottom"/>
            <w:tcBorders>
              <w:right w:val="single" w:sz="8" w:color="CCEEFF"/>
            </w:tcBorders>
            <w:shd w:val="clear" w:color="auto" w:fill="CCEEFF"/>
          </w:tcPr>
          <w:p>
            <w:pPr>
              <w:spacing w:after="0"/>
              <w:rPr>
                <w:sz w:val="20"/>
                <w:szCs w:val="20"/>
                <w:color w:val="auto"/>
              </w:rPr>
            </w:pPr>
          </w:p>
        </w:tc>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Corporate</w:t>
            </w:r>
          </w:p>
        </w:tc>
        <w:tc>
          <w:tcPr>
            <w:tcW w:w="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427,446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432,608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305,071</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assets</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2,763,619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2,993,327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1,750,980</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640" w:type="dxa"/>
            <w:vAlign w:val="bottom"/>
            <w:tcBorders>
              <w:bottom w:val="single" w:sz="8" w:color="CCEEFF"/>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 by country</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United States</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2,712,394</w:t>
            </w:r>
          </w:p>
        </w:tc>
        <w:tc>
          <w:tcPr>
            <w:tcW w:w="20" w:type="dxa"/>
            <w:vAlign w:val="bottom"/>
          </w:tcPr>
          <w:p>
            <w:pPr>
              <w:spacing w:after="0"/>
              <w:rPr>
                <w:sz w:val="18"/>
                <w:szCs w:val="18"/>
                <w:color w:val="auto"/>
              </w:rPr>
            </w:pPr>
          </w:p>
        </w:tc>
        <w:tc>
          <w:tcPr>
            <w:tcW w:w="3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2,951,658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1,708,702</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6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Mexico</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51,225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41,669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42,278</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6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2,763,619</w:t>
            </w:r>
          </w:p>
        </w:tc>
        <w:tc>
          <w:tcPr>
            <w:tcW w:w="20" w:type="dxa"/>
            <w:vAlign w:val="bottom"/>
            <w:tcBorders>
              <w:bottom w:val="single" w:sz="8" w:color="auto"/>
            </w:tcBorders>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2,993,327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1,750,980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4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6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Borders>
              <w:bottom w:val="single" w:sz="8" w:color="CCEEFF"/>
            </w:tcBorders>
          </w:tcPr>
          <w:p>
            <w:pPr>
              <w:spacing w:after="0"/>
              <w:rPr>
                <w:sz w:val="16"/>
                <w:szCs w:val="16"/>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2"/>
        </w:trPr>
        <w:tc>
          <w:tcPr>
            <w:tcW w:w="40" w:type="dxa"/>
            <w:vAlign w:val="bottom"/>
            <w:tcBorders>
              <w:right w:val="single" w:sz="8" w:color="CCEEFF"/>
            </w:tcBorders>
            <w:shd w:val="clear" w:color="auto" w:fill="CCEEFF"/>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Rentals and fees by inventory category</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Furniture and accessories</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1,323,437</w:t>
            </w:r>
          </w:p>
        </w:tc>
        <w:tc>
          <w:tcPr>
            <w:tcW w:w="20" w:type="dxa"/>
            <w:vAlign w:val="bottom"/>
          </w:tcPr>
          <w:p>
            <w:pPr>
              <w:spacing w:after="0"/>
              <w:rPr>
                <w:sz w:val="18"/>
                <w:szCs w:val="18"/>
                <w:color w:val="auto"/>
              </w:rPr>
            </w:pPr>
          </w:p>
        </w:tc>
        <w:tc>
          <w:tcPr>
            <w:tcW w:w="3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1,542,003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1,028,876</w:t>
            </w:r>
          </w:p>
        </w:tc>
        <w:tc>
          <w:tcPr>
            <w:tcW w:w="0" w:type="dxa"/>
            <w:vAlign w:val="bottom"/>
          </w:tcPr>
          <w:p>
            <w:pPr>
              <w:spacing w:after="0"/>
              <w:rPr>
                <w:sz w:val="1"/>
                <w:szCs w:val="1"/>
                <w:color w:val="auto"/>
              </w:rPr>
            </w:pPr>
          </w:p>
        </w:tc>
      </w:tr>
      <w:tr>
        <w:trPr>
          <w:trHeight w:val="219"/>
        </w:trPr>
        <w:tc>
          <w:tcPr>
            <w:tcW w:w="40" w:type="dxa"/>
            <w:vAlign w:val="bottom"/>
            <w:tcBorders>
              <w:right w:val="single" w:sz="8" w:color="CCEEFF"/>
            </w:tcBorders>
            <w:shd w:val="clear" w:color="auto" w:fill="CCEEFF"/>
          </w:tcPr>
          <w:p>
            <w:pPr>
              <w:spacing w:after="0"/>
              <w:rPr>
                <w:sz w:val="19"/>
                <w:szCs w:val="19"/>
                <w:color w:val="auto"/>
              </w:rPr>
            </w:pPr>
          </w:p>
        </w:tc>
        <w:tc>
          <w:tcPr>
            <w:tcW w:w="6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Consumer electronics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482,959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435,004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358,931</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Appliances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439,309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426,316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322,261</w:t>
            </w:r>
          </w:p>
        </w:tc>
        <w:tc>
          <w:tcPr>
            <w:tcW w:w="0" w:type="dxa"/>
            <w:vAlign w:val="bottom"/>
          </w:tcPr>
          <w:p>
            <w:pPr>
              <w:spacing w:after="0"/>
              <w:rPr>
                <w:sz w:val="1"/>
                <w:szCs w:val="1"/>
                <w:color w:val="auto"/>
              </w:rPr>
            </w:pPr>
          </w:p>
        </w:tc>
      </w:tr>
      <w:tr>
        <w:trPr>
          <w:trHeight w:val="222"/>
        </w:trPr>
        <w:tc>
          <w:tcPr>
            <w:tcW w:w="40" w:type="dxa"/>
            <w:vAlign w:val="bottom"/>
            <w:tcBorders>
              <w:right w:val="single" w:sz="8" w:color="CCEEFF"/>
            </w:tcBorders>
            <w:shd w:val="clear" w:color="auto" w:fill="CCEEFF"/>
          </w:tcPr>
          <w:p>
            <w:pPr>
              <w:spacing w:after="0"/>
              <w:rPr>
                <w:sz w:val="19"/>
                <w:szCs w:val="19"/>
                <w:color w:val="auto"/>
              </w:rPr>
            </w:pPr>
          </w:p>
        </w:tc>
        <w:tc>
          <w:tcPr>
            <w:tcW w:w="6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Wheels and tires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Jewelry</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 w:type="dxa"/>
            <w:vAlign w:val="bottom"/>
            <w:tcBorders>
              <w:right w:val="single" w:sz="8" w:color="CCEEFF"/>
            </w:tcBorders>
            <w:shd w:val="clear" w:color="auto" w:fill="CCEEFF"/>
          </w:tcPr>
          <w:p>
            <w:pPr>
              <w:spacing w:after="0"/>
              <w:rPr>
                <w:sz w:val="19"/>
                <w:szCs w:val="19"/>
                <w:color w:val="auto"/>
              </w:rPr>
            </w:pPr>
          </w:p>
        </w:tc>
        <w:tc>
          <w:tcPr>
            <w:tcW w:w="6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Computers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119,015</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Smartphones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59,205</w:t>
            </w:r>
          </w:p>
        </w:tc>
        <w:tc>
          <w:tcPr>
            <w:tcW w:w="0" w:type="dxa"/>
            <w:vAlign w:val="bottom"/>
          </w:tcPr>
          <w:p>
            <w:pPr>
              <w:spacing w:after="0"/>
              <w:rPr>
                <w:sz w:val="1"/>
                <w:szCs w:val="1"/>
                <w:color w:val="auto"/>
              </w:rPr>
            </w:pPr>
          </w:p>
        </w:tc>
      </w:tr>
      <w:tr>
        <w:trPr>
          <w:trHeight w:val="219"/>
        </w:trPr>
        <w:tc>
          <w:tcPr>
            <w:tcW w:w="40" w:type="dxa"/>
            <w:vAlign w:val="bottom"/>
            <w:tcBorders>
              <w:right w:val="single" w:sz="8" w:color="CCEEFF"/>
            </w:tcBorders>
            <w:shd w:val="clear" w:color="auto" w:fill="CCEEFF"/>
          </w:tcPr>
          <w:p>
            <w:pPr>
              <w:spacing w:after="0"/>
              <w:rPr>
                <w:sz w:val="19"/>
                <w:szCs w:val="19"/>
                <w:color w:val="auto"/>
              </w:rPr>
            </w:pPr>
          </w:p>
        </w:tc>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products and services</w:t>
            </w: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444,627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476,150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374,803</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6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rentals and fees</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3,375,453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3,522,453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2,263,091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4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6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Borders>
              <w:bottom w:val="single" w:sz="8" w:color="CCEEFF"/>
            </w:tcBorders>
          </w:tcPr>
          <w:p>
            <w:pPr>
              <w:spacing w:after="0"/>
              <w:rPr>
                <w:sz w:val="16"/>
                <w:szCs w:val="16"/>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2"/>
        </w:trPr>
        <w:tc>
          <w:tcPr>
            <w:tcW w:w="40" w:type="dxa"/>
            <w:vAlign w:val="bottom"/>
            <w:tcBorders>
              <w:right w:val="single" w:sz="8" w:color="CCEEFF"/>
            </w:tcBorders>
            <w:shd w:val="clear" w:color="auto" w:fill="CCEEFF"/>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by country</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United States</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4,180,512</w:t>
            </w:r>
          </w:p>
        </w:tc>
        <w:tc>
          <w:tcPr>
            <w:tcW w:w="20" w:type="dxa"/>
            <w:vAlign w:val="bottom"/>
          </w:tcPr>
          <w:p>
            <w:pPr>
              <w:spacing w:after="0"/>
              <w:rPr>
                <w:sz w:val="18"/>
                <w:szCs w:val="18"/>
                <w:color w:val="auto"/>
              </w:rPr>
            </w:pPr>
          </w:p>
        </w:tc>
        <w:tc>
          <w:tcPr>
            <w:tcW w:w="3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4,522,048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2,763,608</w:t>
            </w:r>
          </w:p>
        </w:tc>
        <w:tc>
          <w:tcPr>
            <w:tcW w:w="0" w:type="dxa"/>
            <w:vAlign w:val="bottom"/>
          </w:tcPr>
          <w:p>
            <w:pPr>
              <w:spacing w:after="0"/>
              <w:rPr>
                <w:sz w:val="1"/>
                <w:szCs w:val="1"/>
                <w:color w:val="auto"/>
              </w:rPr>
            </w:pPr>
          </w:p>
        </w:tc>
      </w:tr>
      <w:tr>
        <w:trPr>
          <w:trHeight w:val="219"/>
        </w:trPr>
        <w:tc>
          <w:tcPr>
            <w:tcW w:w="40" w:type="dxa"/>
            <w:vAlign w:val="bottom"/>
            <w:tcBorders>
              <w:right w:val="single" w:sz="8" w:color="CCEEFF"/>
            </w:tcBorders>
            <w:shd w:val="clear" w:color="auto" w:fill="CCEEFF"/>
          </w:tcPr>
          <w:p>
            <w:pPr>
              <w:spacing w:after="0"/>
              <w:rPr>
                <w:sz w:val="19"/>
                <w:szCs w:val="19"/>
                <w:color w:val="auto"/>
              </w:rPr>
            </w:pPr>
          </w:p>
        </w:tc>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Mexico</w:t>
            </w: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50,583</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6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4,245,392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4,583,451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2,814,191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U — Earnings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basic and diluted earnings per common share were calculated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12,357</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134,940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208,115</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54,187</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dilutive stock awards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0" w:type="dxa"/>
            <w:vAlign w:val="bottom"/>
          </w:tcPr>
          <w:p>
            <w:pPr>
              <w:spacing w:after="0"/>
              <w:rPr>
                <w:sz w:val="1"/>
                <w:szCs w:val="1"/>
                <w:color w:val="auto"/>
              </w:rPr>
            </w:pPr>
          </w:p>
        </w:tc>
      </w:tr>
      <w:tr>
        <w:trPr>
          <w:trHeight w:val="207"/>
        </w:trPr>
        <w:tc>
          <w:tcPr>
            <w:tcW w:w="66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Weighted-average dilutive shares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58,966</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66,839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55,754</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Anti-dilutive securities excluded from diluted earnings per common share: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Anti-dilutive restricted share units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6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Anti-dilutive performance share units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Anti-dilutive stock options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2" w:name="page93"/>
    <w:bookmarkEnd w:id="9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Rule 13a-15(b) under the Securities Exchange Act of 1934, an evaluation was performed under 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Annual Report on Form 10-K. Based on this evaluation, our management, including our Chief Executive Officer and our Chief Financial Officer, concluded that, as of December 31, 2022, our disclosure controls and procedures (as defined in Rules 13a-15(e) and 15d-15(e) under the Securities Exchange Act of 1934) were effective.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Management’s Annual Report on Internal Control over Financial Reporting in Part II, Item 8, of this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Report Relating to Effectiveness of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the Report of Independent Registered Public Accounting Firm in Part II, Item 8, of this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quarter ended December 31, 2022, there have been no changes in our internal control over financial reporting (as defined in Rule 13a-15(f) under the Securities Exchange Act of 1934) that, in the aggregate, have materially affected, or are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independent registered public accounting firm is Ernst &amp; Young, LLP, Dallas, TX, Auditor Firm ID: 42.</w:t>
      </w:r>
    </w:p>
    <w:p>
      <w:pPr>
        <w:spacing w:after="0" w:line="50" w:lineRule="exact"/>
        <w:rPr>
          <w:sz w:val="20"/>
          <w:szCs w:val="20"/>
          <w:color w:val="auto"/>
        </w:rPr>
      </w:pPr>
    </w:p>
    <w:p>
      <w:pPr>
        <w:jc w:val="both"/>
        <w:ind w:left="360" w:right="160" w:hanging="334"/>
        <w:spacing w:after="0" w:line="220" w:lineRule="auto"/>
        <w:tabs>
          <w:tab w:leader="none" w:pos="3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Items 10, 11, 12, 13 and 14 is or will be set forth in the definitive proxy statement relating to the 2023 Annual Meeting of Stockholders of Upbound Group, Inc., which is to be filed with the SEC pursuant to Regulation 14A under the Securities Exchange Act of 1934, as amended. This definitive proxy statement relates to a meeting of stockholders involving the election of directors and the portions therefrom required to be set forth in this Form 10-K by Items 10, 11, 12, 13 and 14 are incorporated herein by reference pursuant to General Instruction G(3) to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included in this report are listed in the Index to Financial Statements in Part II, Item 8, of this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Schedules for which provision is made in the applicable accounting regulations of the SEC are either not required under the related instructions or inapplicable.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Exhibits</w:t>
            </w:r>
          </w:p>
        </w:tc>
        <w:tc>
          <w:tcPr>
            <w:tcW w:w="1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14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60" w:type="dxa"/>
            <w:vAlign w:val="bottom"/>
            <w:gridSpan w:val="22"/>
          </w:tcPr>
          <w:p>
            <w:pPr>
              <w:ind w:left="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97"/>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0000" w:type="dxa"/>
            <w:vAlign w:val="bottom"/>
            <w:gridSpan w:val="26"/>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Agreement and Plan of Merger, dated as of December 20, 2020, by and among Rent-A-Center, Inc., Radalta, LLC, Acima Holdings,</w:t>
              </w:r>
            </w:hyperlink>
          </w:p>
        </w:tc>
      </w:tr>
      <w:tr>
        <w:trPr>
          <w:trHeight w:val="156"/>
        </w:trPr>
        <w:tc>
          <w:tcPr>
            <w:tcW w:w="144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LLC and Aaron Allred, solely in his capacity as Member Representative (Incorporated herein by reference to Exhibit 2.1 to the</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440" w:type="dxa"/>
            <w:vAlign w:val="bottom"/>
          </w:tcPr>
          <w:p>
            <w:pPr>
              <w:spacing w:after="0"/>
              <w:rPr>
                <w:sz w:val="14"/>
                <w:szCs w:val="14"/>
                <w:color w:val="auto"/>
              </w:rPr>
            </w:pPr>
          </w:p>
        </w:tc>
        <w:tc>
          <w:tcPr>
            <w:tcW w:w="9900" w:type="dxa"/>
            <w:vAlign w:val="bottom"/>
            <w:gridSpan w:val="21"/>
          </w:tcPr>
          <w:p>
            <w:pPr>
              <w:spacing w:after="0" w:line="169"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registrant's Current Report on Form 8-K dated as of December 20,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44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00" w:type="dxa"/>
            <w:vAlign w:val="bottom"/>
            <w:gridSpan w:val="26"/>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Certificate of Incorporation of Rent-A-Center, Inc., as amended (Incorporated herein by reference to Exhibit 3.1 to the registrant's</w:t>
              </w:r>
            </w:hyperlink>
          </w:p>
        </w:tc>
      </w:tr>
      <w:tr>
        <w:trPr>
          <w:trHeight w:val="155"/>
        </w:trPr>
        <w:tc>
          <w:tcPr>
            <w:tcW w:w="1440" w:type="dxa"/>
            <w:vAlign w:val="bottom"/>
          </w:tcPr>
          <w:p>
            <w:pPr>
              <w:spacing w:after="0"/>
              <w:rPr>
                <w:sz w:val="13"/>
                <w:szCs w:val="13"/>
                <w:color w:val="auto"/>
              </w:rPr>
            </w:pPr>
          </w:p>
        </w:tc>
        <w:tc>
          <w:tcPr>
            <w:tcW w:w="99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Current Report on Form 8-K dated as of December 31, 2002.)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00" w:type="dxa"/>
            <w:vAlign w:val="bottom"/>
            <w:gridSpan w:val="26"/>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Certificate of Amendment to the Certificate of Incorporation of Rent-A-Center, Inc., dated May 19, 2004 (Incorporated herein by</w:t>
              </w:r>
            </w:hyperlink>
          </w:p>
        </w:tc>
      </w:tr>
      <w:tr>
        <w:trPr>
          <w:trHeight w:val="156"/>
        </w:trPr>
        <w:tc>
          <w:tcPr>
            <w:tcW w:w="1440" w:type="dxa"/>
            <w:vAlign w:val="bottom"/>
          </w:tcPr>
          <w:p>
            <w:pPr>
              <w:spacing w:after="0"/>
              <w:rPr>
                <w:sz w:val="13"/>
                <w:szCs w:val="13"/>
                <w:color w:val="auto"/>
              </w:rPr>
            </w:pPr>
          </w:p>
        </w:tc>
        <w:tc>
          <w:tcPr>
            <w:tcW w:w="99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reference to Exhibit 3.2 to the registrant's Quarterly Report on Form 10-Q for the quarter ended June 30, 2004.)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00" w:type="dxa"/>
            <w:vAlign w:val="bottom"/>
            <w:gridSpan w:val="26"/>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Certificate of Amendment to the Certificate of Incorporation of Rent-A-Center, Inc., dated June 8, 2021 (Incorporated herein by</w:t>
              </w:r>
            </w:hyperlink>
          </w:p>
        </w:tc>
      </w:tr>
      <w:tr>
        <w:trPr>
          <w:trHeight w:val="183"/>
        </w:trPr>
        <w:tc>
          <w:tcPr>
            <w:tcW w:w="1440" w:type="dxa"/>
            <w:vAlign w:val="bottom"/>
          </w:tcPr>
          <w:p>
            <w:pPr>
              <w:spacing w:after="0"/>
              <w:rPr>
                <w:sz w:val="15"/>
                <w:szCs w:val="15"/>
                <w:color w:val="auto"/>
              </w:rPr>
            </w:pPr>
          </w:p>
        </w:tc>
        <w:tc>
          <w:tcPr>
            <w:tcW w:w="9220" w:type="dxa"/>
            <w:vAlign w:val="bottom"/>
            <w:tcBorders>
              <w:top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reference to Exhibit 3.1 to the registrant's Current Report on Form 8-K dated as of June 9, 2021.)</w:t>
              </w:r>
            </w:hyperlink>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4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0000" w:type="dxa"/>
            <w:vAlign w:val="bottom"/>
            <w:gridSpan w:val="26"/>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Certificate of Amendment to the Certificate of Incorporation of Rent-A-Center, Inc., dated February 21,2023 (Incorporated herein by</w:t>
              </w:r>
            </w:hyperlink>
          </w:p>
        </w:tc>
      </w:tr>
      <w:tr>
        <w:trPr>
          <w:trHeight w:val="183"/>
        </w:trPr>
        <w:tc>
          <w:tcPr>
            <w:tcW w:w="1440" w:type="dxa"/>
            <w:vAlign w:val="bottom"/>
          </w:tcPr>
          <w:p>
            <w:pPr>
              <w:spacing w:after="0"/>
              <w:rPr>
                <w:sz w:val="15"/>
                <w:szCs w:val="15"/>
                <w:color w:val="auto"/>
              </w:rPr>
            </w:pPr>
          </w:p>
        </w:tc>
        <w:tc>
          <w:tcPr>
            <w:tcW w:w="9580" w:type="dxa"/>
            <w:vAlign w:val="bottom"/>
            <w:tcBorders>
              <w:top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reference to Exhibit 3.1 to the registrant's Current Report on Form 8-K dated as of February 22,2023.)</w:t>
              </w:r>
            </w:hyperlink>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4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00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Amended and Restated Bylaws of Rent-A-Center, Inc. (Incorporated herein by reference to Exhibit 3.2 to the registrant's Current</w:t>
              </w:r>
            </w:hyperlink>
          </w:p>
        </w:tc>
      </w:tr>
      <w:tr>
        <w:trPr>
          <w:trHeight w:val="155"/>
        </w:trPr>
        <w:tc>
          <w:tcPr>
            <w:tcW w:w="1440" w:type="dxa"/>
            <w:vAlign w:val="bottom"/>
          </w:tcPr>
          <w:p>
            <w:pPr>
              <w:spacing w:after="0"/>
              <w:rPr>
                <w:sz w:val="13"/>
                <w:szCs w:val="13"/>
                <w:color w:val="auto"/>
              </w:rPr>
            </w:pPr>
          </w:p>
        </w:tc>
        <w:tc>
          <w:tcPr>
            <w:tcW w:w="374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 xml:space="preserve">Report on Form 8-K dated as of </w:t>
              </w:r>
            </w:hyperlink>
            <w:hyperlink r:id="rId113">
              <w:r>
                <w:rPr>
                  <w:rFonts w:ascii="Times New Roman" w:cs="Times New Roman" w:eastAsia="Times New Roman" w:hAnsi="Times New Roman"/>
                  <w:sz w:val="18"/>
                  <w:szCs w:val="18"/>
                  <w:color w:val="0000FF"/>
                  <w:w w:val="99"/>
                </w:rPr>
                <w:t>February 22,2023.)</w:t>
              </w:r>
            </w:hyperlink>
          </w:p>
        </w:tc>
        <w:tc>
          <w:tcPr>
            <w:tcW w:w="6260" w:type="dxa"/>
            <w:vAlign w:val="bottom"/>
            <w:gridSpan w:val="23"/>
          </w:tcPr>
          <w:p>
            <w:pPr>
              <w:spacing w:after="0"/>
              <w:rPr>
                <w:sz w:val="13"/>
                <w:szCs w:val="13"/>
                <w:color w:val="auto"/>
              </w:rPr>
            </w:pPr>
          </w:p>
        </w:tc>
      </w:tr>
      <w:tr>
        <w:trPr>
          <w:trHeight w:val="331"/>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10000" w:type="dxa"/>
            <w:vAlign w:val="bottom"/>
            <w:gridSpan w:val="26"/>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Certificate of Designations of Series D Preferred Stock of Rent-A-Center, Inc. (Incorporated herein by reference to Exhibit 3.1 to the</w:t>
              </w:r>
            </w:hyperlink>
          </w:p>
        </w:tc>
      </w:tr>
      <w:tr>
        <w:trPr>
          <w:trHeight w:val="156"/>
        </w:trPr>
        <w:tc>
          <w:tcPr>
            <w:tcW w:w="1440" w:type="dxa"/>
            <w:vAlign w:val="bottom"/>
          </w:tcPr>
          <w:p>
            <w:pPr>
              <w:spacing w:after="0"/>
              <w:rPr>
                <w:sz w:val="13"/>
                <w:szCs w:val="13"/>
                <w:color w:val="auto"/>
              </w:rPr>
            </w:pPr>
          </w:p>
        </w:tc>
        <w:tc>
          <w:tcPr>
            <w:tcW w:w="50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registrant's Current Report on Form 8-K dated as of March 29, 2017.)</w:t>
              </w:r>
            </w:hyperlink>
          </w:p>
        </w:tc>
        <w:tc>
          <w:tcPr>
            <w:tcW w:w="4840" w:type="dxa"/>
            <w:vAlign w:val="bottom"/>
            <w:tcBorders>
              <w:top w:val="single" w:sz="8" w:color="0000FF"/>
            </w:tcBorders>
            <w:gridSpan w:val="1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00" w:type="dxa"/>
            <w:vAlign w:val="bottom"/>
            <w:gridSpan w:val="26"/>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of Certificate evidencing Common Stock (Incorporated herein by reference to Exhibit 4.1 to the registrant's Current Report on</w:t>
              </w:r>
            </w:hyperlink>
          </w:p>
        </w:tc>
      </w:tr>
      <w:tr>
        <w:trPr>
          <w:trHeight w:val="155"/>
        </w:trPr>
        <w:tc>
          <w:tcPr>
            <w:tcW w:w="1440" w:type="dxa"/>
            <w:vAlign w:val="bottom"/>
          </w:tcPr>
          <w:p>
            <w:pPr>
              <w:spacing w:after="0"/>
              <w:rPr>
                <w:sz w:val="13"/>
                <w:szCs w:val="13"/>
                <w:color w:val="auto"/>
              </w:rPr>
            </w:pPr>
          </w:p>
        </w:tc>
        <w:tc>
          <w:tcPr>
            <w:tcW w:w="98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10-Q dated as of March 31, 2017.)</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00" w:type="dxa"/>
            <w:vAlign w:val="bottom"/>
            <w:gridSpan w:val="26"/>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Indenture, dated as of February 17, 2021, by and between Radiant Funding SPV, LLC and Truist Bank (Incorporated herein by</w:t>
              </w:r>
            </w:hyperlink>
          </w:p>
        </w:tc>
      </w:tr>
      <w:tr>
        <w:trPr>
          <w:trHeight w:val="155"/>
        </w:trPr>
        <w:tc>
          <w:tcPr>
            <w:tcW w:w="1440" w:type="dxa"/>
            <w:vAlign w:val="bottom"/>
          </w:tcPr>
          <w:p>
            <w:pPr>
              <w:spacing w:after="0"/>
              <w:rPr>
                <w:sz w:val="13"/>
                <w:szCs w:val="13"/>
                <w:color w:val="auto"/>
              </w:rPr>
            </w:pPr>
          </w:p>
        </w:tc>
        <w:tc>
          <w:tcPr>
            <w:tcW w:w="74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reference to Exhibit 4.1 to the registrant's Current Report on Form 8-K dated as of February 17, 2021.)</w:t>
              </w:r>
            </w:hyperlink>
          </w:p>
        </w:tc>
        <w:tc>
          <w:tcPr>
            <w:tcW w:w="2440" w:type="dxa"/>
            <w:vAlign w:val="bottom"/>
            <w:tcBorders>
              <w:top w:val="single" w:sz="8" w:color="0000FF"/>
            </w:tcBorders>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00" w:type="dxa"/>
            <w:vAlign w:val="bottom"/>
            <w:gridSpan w:val="26"/>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Description of Rent-A-Center, Inc.’s Common Stock (Incorporated herein by reference to Exhibit 4.3 to the registrant’s Annual Report</w:t>
              </w:r>
            </w:hyperlink>
          </w:p>
        </w:tc>
      </w:tr>
      <w:tr>
        <w:trPr>
          <w:trHeight w:val="155"/>
        </w:trPr>
        <w:tc>
          <w:tcPr>
            <w:tcW w:w="1440" w:type="dxa"/>
            <w:vAlign w:val="bottom"/>
          </w:tcPr>
          <w:p>
            <w:pPr>
              <w:spacing w:after="0"/>
              <w:rPr>
                <w:sz w:val="13"/>
                <w:szCs w:val="13"/>
                <w:color w:val="auto"/>
              </w:rPr>
            </w:pPr>
          </w:p>
        </w:tc>
        <w:tc>
          <w:tcPr>
            <w:tcW w:w="98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on Form 10-K for the year ended December 31, 2020.)</w:t>
              </w:r>
            </w:hyperlink>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3500" w:type="dxa"/>
            <w:vAlign w:val="bottom"/>
            <w:gridSpan w:val="7"/>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0000" w:type="dxa"/>
            <w:vAlign w:val="bottom"/>
            <w:gridSpan w:val="26"/>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Amended and Restated Rent-A-Center, Inc. Long-Term Incentive Plan (Incorporated herein by reference to Exhibit 10.1 to the</w:t>
              </w:r>
            </w:hyperlink>
          </w:p>
        </w:tc>
      </w:tr>
      <w:tr>
        <w:trPr>
          <w:trHeight w:val="156"/>
        </w:trPr>
        <w:tc>
          <w:tcPr>
            <w:tcW w:w="144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registrant's Quarterly Report on Form 10-Q for the quarter ended September 30, 2003.)</w:t>
              </w:r>
            </w:hyperlink>
          </w:p>
        </w:tc>
        <w:tc>
          <w:tcPr>
            <w:tcW w:w="3640" w:type="dxa"/>
            <w:vAlign w:val="bottom"/>
            <w:tcBorders>
              <w:top w:val="single" w:sz="8" w:color="0000FF"/>
            </w:tcBorders>
            <w:gridSpan w:val="1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0000" w:type="dxa"/>
            <w:vAlign w:val="bottom"/>
            <w:gridSpan w:val="26"/>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Form of Stock Option Agreement issuable to Directors pursuant to the Amended and Restated Rent-A-Center, Inc. Long-Term</w:t>
              </w:r>
            </w:hyperlink>
          </w:p>
        </w:tc>
      </w:tr>
      <w:tr>
        <w:trPr>
          <w:trHeight w:val="155"/>
        </w:trPr>
        <w:tc>
          <w:tcPr>
            <w:tcW w:w="1440" w:type="dxa"/>
            <w:vAlign w:val="bottom"/>
          </w:tcPr>
          <w:p>
            <w:pPr>
              <w:spacing w:after="0"/>
              <w:rPr>
                <w:sz w:val="13"/>
                <w:szCs w:val="13"/>
                <w:color w:val="auto"/>
              </w:rPr>
            </w:pPr>
          </w:p>
        </w:tc>
        <w:tc>
          <w:tcPr>
            <w:tcW w:w="99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Incentive Plan (Incorporated herein by reference to Exhibit 10.20 to the registrant's Annual Report on Form 10-K for the year ended</w:t>
              </w:r>
            </w:hyperlink>
          </w:p>
        </w:tc>
        <w:tc>
          <w:tcPr>
            <w:tcW w:w="20" w:type="dxa"/>
            <w:vAlign w:val="bottom"/>
          </w:tcPr>
          <w:p>
            <w:pPr>
              <w:spacing w:after="0"/>
              <w:rPr>
                <w:sz w:val="13"/>
                <w:szCs w:val="13"/>
                <w:color w:val="auto"/>
              </w:rPr>
            </w:pPr>
          </w:p>
        </w:tc>
      </w:tr>
      <w:tr>
        <w:trPr>
          <w:trHeight w:val="169"/>
        </w:trPr>
        <w:tc>
          <w:tcPr>
            <w:tcW w:w="1440" w:type="dxa"/>
            <w:vAlign w:val="bottom"/>
          </w:tcPr>
          <w:p>
            <w:pPr>
              <w:spacing w:after="0"/>
              <w:rPr>
                <w:sz w:val="14"/>
                <w:szCs w:val="14"/>
                <w:color w:val="auto"/>
              </w:rPr>
            </w:pPr>
          </w:p>
        </w:tc>
        <w:tc>
          <w:tcPr>
            <w:tcW w:w="978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December 31, 2004.)</w:t>
              </w:r>
            </w:hyperlink>
          </w:p>
        </w:tc>
        <w:tc>
          <w:tcPr>
            <w:tcW w:w="220" w:type="dxa"/>
            <w:vAlign w:val="bottom"/>
            <w:gridSpan w:val="11"/>
          </w:tcPr>
          <w:p>
            <w:pPr>
              <w:spacing w:after="0"/>
              <w:rPr>
                <w:sz w:val="14"/>
                <w:szCs w:val="14"/>
                <w:color w:val="auto"/>
              </w:rPr>
            </w:pPr>
          </w:p>
        </w:tc>
      </w:tr>
      <w:tr>
        <w:trPr>
          <w:trHeight w:val="20"/>
        </w:trPr>
        <w:tc>
          <w:tcPr>
            <w:tcW w:w="144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260" w:type="dxa"/>
            <w:vAlign w:val="bottom"/>
            <w:gridSpan w:val="14"/>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317"/>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10000" w:type="dxa"/>
            <w:vAlign w:val="bottom"/>
            <w:gridSpan w:val="26"/>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of Stock Option Agreement issuable to management pursuant to the Amended and Restated Rent-A-Center, Inc. Long-Term</w:t>
              </w:r>
            </w:hyperlink>
          </w:p>
        </w:tc>
      </w:tr>
      <w:tr>
        <w:trPr>
          <w:trHeight w:val="156"/>
        </w:trPr>
        <w:tc>
          <w:tcPr>
            <w:tcW w:w="144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Incentive Plan (Incorporated herein by reference to Exhibit 10.21 to the registrant's Annual Report on Form 10-K for the year ended</w:t>
              </w:r>
            </w:hyperlink>
          </w:p>
        </w:tc>
        <w:tc>
          <w:tcPr>
            <w:tcW w:w="100" w:type="dxa"/>
            <w:vAlign w:val="bottom"/>
            <w:tcBorders>
              <w:top w:val="single" w:sz="8" w:color="0000FF"/>
            </w:tcBorders>
            <w:gridSpan w:val="5"/>
          </w:tcPr>
          <w:p>
            <w:pPr>
              <w:spacing w:after="0"/>
              <w:rPr>
                <w:sz w:val="13"/>
                <w:szCs w:val="13"/>
                <w:color w:val="auto"/>
              </w:rPr>
            </w:pPr>
          </w:p>
        </w:tc>
        <w:tc>
          <w:tcPr>
            <w:tcW w:w="100" w:type="dxa"/>
            <w:vAlign w:val="bottom"/>
            <w:gridSpan w:val="5"/>
          </w:tcPr>
          <w:p>
            <w:pPr>
              <w:spacing w:after="0"/>
              <w:rPr>
                <w:sz w:val="13"/>
                <w:szCs w:val="13"/>
                <w:color w:val="auto"/>
              </w:rPr>
            </w:pPr>
          </w:p>
        </w:tc>
      </w:tr>
    </w:tbl>
    <w:p>
      <w:pPr>
        <w:ind w:left="1440"/>
        <w:spacing w:after="0"/>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December 31, 2004.)</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10.4†*</w:t>
            </w:r>
          </w:p>
        </w:tc>
        <w:tc>
          <w:tcPr>
            <w:tcW w:w="26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Summary of Director Compensation</w:t>
            </w:r>
          </w:p>
        </w:tc>
        <w:tc>
          <w:tcPr>
            <w:tcW w:w="7440" w:type="dxa"/>
            <w:vAlign w:val="bottom"/>
            <w:gridSpan w:val="24"/>
          </w:tcPr>
          <w:p>
            <w:pPr>
              <w:spacing w:after="0"/>
              <w:rPr>
                <w:sz w:val="17"/>
                <w:szCs w:val="17"/>
                <w:color w:val="auto"/>
              </w:rPr>
            </w:pPr>
          </w:p>
        </w:tc>
      </w:tr>
      <w:tr>
        <w:trPr>
          <w:trHeight w:val="318"/>
        </w:trPr>
        <w:tc>
          <w:tcPr>
            <w:tcW w:w="9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10.5†</w:t>
            </w:r>
          </w:p>
        </w:tc>
        <w:tc>
          <w:tcPr>
            <w:tcW w:w="10080" w:type="dxa"/>
            <w:vAlign w:val="bottom"/>
            <w:gridSpan w:val="30"/>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Stock Compensation Agreement issuable to management pursuant to the Amended and Restated Rent-A-Center, Inc. Long-</w:t>
              </w:r>
            </w:hyperlink>
          </w:p>
        </w:tc>
      </w:tr>
      <w:tr>
        <w:trPr>
          <w:trHeight w:val="155"/>
        </w:trPr>
        <w:tc>
          <w:tcPr>
            <w:tcW w:w="980" w:type="dxa"/>
            <w:vAlign w:val="bottom"/>
          </w:tcPr>
          <w:p>
            <w:pPr>
              <w:spacing w:after="0"/>
              <w:rPr>
                <w:sz w:val="13"/>
                <w:szCs w:val="13"/>
                <w:color w:val="auto"/>
              </w:rPr>
            </w:pPr>
          </w:p>
        </w:tc>
        <w:tc>
          <w:tcPr>
            <w:tcW w:w="98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Term Incentive Plan (Incorporated herein by reference to Exhibit 10.15 to the registrant's Annual Report on Form 10-K for the year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80" w:type="dxa"/>
            <w:vAlign w:val="bottom"/>
          </w:tcPr>
          <w:p>
            <w:pPr>
              <w:spacing w:after="0"/>
              <w:rPr>
                <w:sz w:val="14"/>
                <w:szCs w:val="14"/>
                <w:color w:val="auto"/>
              </w:rPr>
            </w:pPr>
          </w:p>
        </w:tc>
        <w:tc>
          <w:tcPr>
            <w:tcW w:w="20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ended December 31, 2005.)</w:t>
              </w:r>
            </w:hyperlink>
          </w:p>
        </w:tc>
        <w:tc>
          <w:tcPr>
            <w:tcW w:w="778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9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10.6†</w:t>
            </w:r>
          </w:p>
        </w:tc>
        <w:tc>
          <w:tcPr>
            <w:tcW w:w="10080" w:type="dxa"/>
            <w:vAlign w:val="bottom"/>
            <w:gridSpan w:val="30"/>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Long-Term Incentive Cash Award issuable to management pursuant to the Amended and Restated Rent-A-Center, Inc. Long-</w:t>
              </w:r>
            </w:hyperlink>
          </w:p>
        </w:tc>
      </w:tr>
      <w:tr>
        <w:trPr>
          <w:trHeight w:val="155"/>
        </w:trPr>
        <w:tc>
          <w:tcPr>
            <w:tcW w:w="980" w:type="dxa"/>
            <w:vAlign w:val="bottom"/>
          </w:tcPr>
          <w:p>
            <w:pPr>
              <w:spacing w:after="0"/>
              <w:rPr>
                <w:sz w:val="13"/>
                <w:szCs w:val="13"/>
                <w:color w:val="auto"/>
              </w:rPr>
            </w:pPr>
          </w:p>
        </w:tc>
        <w:tc>
          <w:tcPr>
            <w:tcW w:w="1006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Term Incentive Plan (Incorporated herein by reference to Exhibit 10.16 to the registrant's Annual Report on Form 10-K for the year</w:t>
              </w:r>
            </w:hyperlink>
          </w:p>
        </w:tc>
        <w:tc>
          <w:tcPr>
            <w:tcW w:w="20" w:type="dxa"/>
            <w:vAlign w:val="bottom"/>
          </w:tcPr>
          <w:p>
            <w:pPr>
              <w:spacing w:after="0"/>
              <w:rPr>
                <w:sz w:val="13"/>
                <w:szCs w:val="13"/>
                <w:color w:val="auto"/>
              </w:rPr>
            </w:pPr>
          </w:p>
        </w:tc>
      </w:tr>
      <w:tr>
        <w:trPr>
          <w:trHeight w:val="169"/>
        </w:trPr>
        <w:tc>
          <w:tcPr>
            <w:tcW w:w="980" w:type="dxa"/>
            <w:vAlign w:val="bottom"/>
          </w:tcPr>
          <w:p>
            <w:pPr>
              <w:spacing w:after="0"/>
              <w:rPr>
                <w:sz w:val="14"/>
                <w:szCs w:val="14"/>
                <w:color w:val="auto"/>
              </w:rPr>
            </w:pPr>
          </w:p>
        </w:tc>
        <w:tc>
          <w:tcPr>
            <w:tcW w:w="20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ended December 31, 2005.)</w:t>
              </w:r>
            </w:hyperlink>
          </w:p>
        </w:tc>
        <w:tc>
          <w:tcPr>
            <w:tcW w:w="778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18"/>
        </w:trPr>
        <w:tc>
          <w:tcPr>
            <w:tcW w:w="9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10.7†</w:t>
            </w:r>
          </w:p>
        </w:tc>
        <w:tc>
          <w:tcPr>
            <w:tcW w:w="10080" w:type="dxa"/>
            <w:vAlign w:val="bottom"/>
            <w:gridSpan w:val="30"/>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Loyalty and Confidentiality Agreement entered into with management (Incorporated herein by reference to Exhibit 10.14 to</w:t>
              </w:r>
            </w:hyperlink>
          </w:p>
        </w:tc>
      </w:tr>
      <w:tr>
        <w:trPr>
          <w:trHeight w:val="156"/>
        </w:trPr>
        <w:tc>
          <w:tcPr>
            <w:tcW w:w="980" w:type="dxa"/>
            <w:vAlign w:val="bottom"/>
          </w:tcPr>
          <w:p>
            <w:pPr>
              <w:spacing w:after="0"/>
              <w:rPr>
                <w:sz w:val="13"/>
                <w:szCs w:val="13"/>
                <w:color w:val="auto"/>
              </w:rPr>
            </w:pPr>
          </w:p>
        </w:tc>
        <w:tc>
          <w:tcPr>
            <w:tcW w:w="98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the registrant's Annual Report on Form 10-K for the year ended December 31, 2016.)</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9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10.8†</w:t>
            </w:r>
          </w:p>
        </w:tc>
        <w:tc>
          <w:tcPr>
            <w:tcW w:w="10080" w:type="dxa"/>
            <w:vAlign w:val="bottom"/>
            <w:gridSpan w:val="30"/>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Rent-A-Center, Inc. 2006 Long-Term Incentive Plan (Incorporated herein by reference to Exhibit 10.17 to the registrant's Quarterly</w:t>
              </w:r>
            </w:hyperlink>
          </w:p>
        </w:tc>
      </w:tr>
      <w:tr>
        <w:trPr>
          <w:trHeight w:val="156"/>
        </w:trPr>
        <w:tc>
          <w:tcPr>
            <w:tcW w:w="98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Report on Form 10-Q for the quarter ended June 30, 2006.)</w:t>
              </w:r>
            </w:hyperlink>
          </w:p>
        </w:tc>
        <w:tc>
          <w:tcPr>
            <w:tcW w:w="57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1"/>
        </w:trPr>
        <w:tc>
          <w:tcPr>
            <w:tcW w:w="9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10.9†</w:t>
            </w:r>
          </w:p>
        </w:tc>
        <w:tc>
          <w:tcPr>
            <w:tcW w:w="10080" w:type="dxa"/>
            <w:vAlign w:val="bottom"/>
            <w:gridSpan w:val="30"/>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Stock Option Agreement issuable to management pursuant to the Rent-A-Center, Inc. 2006 Long-Term Incentive Plan</w:t>
              </w:r>
            </w:hyperlink>
          </w:p>
        </w:tc>
      </w:tr>
      <w:tr>
        <w:trPr>
          <w:trHeight w:val="155"/>
        </w:trPr>
        <w:tc>
          <w:tcPr>
            <w:tcW w:w="98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(Incorporated herein by reference to Exhibit 10.18 to the registrant's Quarterly Report on Form 10-Q for the quarter ended June 30,</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980" w:type="dxa"/>
            <w:vAlign w:val="bottom"/>
          </w:tcPr>
          <w:p>
            <w:pPr>
              <w:spacing w:after="0"/>
              <w:rPr>
                <w:sz w:val="14"/>
                <w:szCs w:val="14"/>
                <w:color w:val="auto"/>
              </w:rPr>
            </w:pPr>
          </w:p>
        </w:tc>
        <w:tc>
          <w:tcPr>
            <w:tcW w:w="48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128">
              <w:r>
                <w:rPr>
                  <w:rFonts w:ascii="Times New Roman" w:cs="Times New Roman" w:eastAsia="Times New Roman" w:hAnsi="Times New Roman"/>
                  <w:sz w:val="18"/>
                  <w:szCs w:val="18"/>
                  <w:color w:val="0000FF"/>
                  <w:w w:val="98"/>
                </w:rPr>
                <w:t>2006.</w:t>
              </w:r>
              <w:r>
                <w:rPr>
                  <w:rFonts w:ascii="Times New Roman" w:cs="Times New Roman" w:eastAsia="Times New Roman" w:hAnsi="Times New Roman"/>
                  <w:sz w:val="18"/>
                  <w:szCs w:val="18"/>
                  <w:u w:val="single" w:color="auto"/>
                  <w:color w:val="0000FF"/>
                  <w:w w:val="98"/>
                </w:rPr>
                <w:t>)</w:t>
              </w:r>
            </w:hyperlink>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9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10.10†</w:t>
            </w:r>
          </w:p>
        </w:tc>
        <w:tc>
          <w:tcPr>
            <w:tcW w:w="10080" w:type="dxa"/>
            <w:vAlign w:val="bottom"/>
            <w:gridSpan w:val="30"/>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Stock Compensation Agreement issuable to management pursuant to the Rent-A-Center, Inc. 2006 Equity Incentive Plan</w:t>
              </w:r>
            </w:hyperlink>
          </w:p>
        </w:tc>
      </w:tr>
      <w:tr>
        <w:trPr>
          <w:trHeight w:val="156"/>
        </w:trPr>
        <w:tc>
          <w:tcPr>
            <w:tcW w:w="98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(Incorporated herein by reference to Exhibit 10.19 to the registrant's Annual Report on Form 10-K for the year ended December 31,</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980" w:type="dxa"/>
            <w:vAlign w:val="bottom"/>
          </w:tcPr>
          <w:p>
            <w:pPr>
              <w:spacing w:after="0"/>
              <w:rPr>
                <w:sz w:val="14"/>
                <w:szCs w:val="14"/>
                <w:color w:val="auto"/>
              </w:rPr>
            </w:pPr>
          </w:p>
        </w:tc>
        <w:tc>
          <w:tcPr>
            <w:tcW w:w="48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129">
              <w:r>
                <w:rPr>
                  <w:rFonts w:ascii="Times New Roman" w:cs="Times New Roman" w:eastAsia="Times New Roman" w:hAnsi="Times New Roman"/>
                  <w:sz w:val="18"/>
                  <w:szCs w:val="18"/>
                  <w:color w:val="0000FF"/>
                  <w:w w:val="98"/>
                </w:rPr>
                <w:t>2006.</w:t>
              </w:r>
              <w:r>
                <w:rPr>
                  <w:rFonts w:ascii="Times New Roman" w:cs="Times New Roman" w:eastAsia="Times New Roman" w:hAnsi="Times New Roman"/>
                  <w:sz w:val="18"/>
                  <w:szCs w:val="18"/>
                  <w:u w:val="single" w:color="auto"/>
                  <w:color w:val="0000FF"/>
                  <w:w w:val="98"/>
                </w:rPr>
                <w:t>)</w:t>
              </w:r>
            </w:hyperlink>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9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6"/>
              </w:rPr>
              <w:t>10.11†</w:t>
            </w:r>
          </w:p>
        </w:tc>
        <w:tc>
          <w:tcPr>
            <w:tcW w:w="10080" w:type="dxa"/>
            <w:vAlign w:val="bottom"/>
            <w:gridSpan w:val="30"/>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Long-Term Incentive Cash Award issuable to management pursuant to the Rent-A-Center, Inc. 2006 Long-Term Incentive</w:t>
              </w:r>
            </w:hyperlink>
          </w:p>
        </w:tc>
      </w:tr>
      <w:tr>
        <w:trPr>
          <w:trHeight w:val="156"/>
        </w:trPr>
        <w:tc>
          <w:tcPr>
            <w:tcW w:w="980" w:type="dxa"/>
            <w:vAlign w:val="bottom"/>
          </w:tcPr>
          <w:p>
            <w:pPr>
              <w:spacing w:after="0"/>
              <w:rPr>
                <w:sz w:val="13"/>
                <w:szCs w:val="13"/>
                <w:color w:val="auto"/>
              </w:rPr>
            </w:pPr>
          </w:p>
        </w:tc>
        <w:tc>
          <w:tcPr>
            <w:tcW w:w="100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Plan (Incorporated herein by reference to Exhibit 10.20 to the registrant's Annual Report on Form 10-K for the year ended December</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980" w:type="dxa"/>
            <w:vAlign w:val="bottom"/>
          </w:tcPr>
          <w:p>
            <w:pPr>
              <w:spacing w:after="0"/>
              <w:rPr>
                <w:sz w:val="14"/>
                <w:szCs w:val="14"/>
                <w:color w:val="auto"/>
              </w:rPr>
            </w:pPr>
          </w:p>
        </w:tc>
        <w:tc>
          <w:tcPr>
            <w:tcW w:w="74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7"/>
              </w:rPr>
            </w:pPr>
            <w:hyperlink r:id="rId130">
              <w:r>
                <w:rPr>
                  <w:rFonts w:ascii="Times New Roman" w:cs="Times New Roman" w:eastAsia="Times New Roman" w:hAnsi="Times New Roman"/>
                  <w:sz w:val="18"/>
                  <w:szCs w:val="18"/>
                  <w:color w:val="0000FF"/>
                  <w:w w:val="97"/>
                </w:rPr>
                <w:t>31, 2006.)</w:t>
              </w:r>
            </w:hyperlink>
          </w:p>
        </w:tc>
        <w:tc>
          <w:tcPr>
            <w:tcW w:w="126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1660" w:type="dxa"/>
            <w:vAlign w:val="bottom"/>
            <w:tcBorders>
              <w:top w:val="single" w:sz="8" w:color="0000FF"/>
            </w:tcBorders>
          </w:tcPr>
          <w:p>
            <w:pPr>
              <w:spacing w:after="0"/>
              <w:rPr>
                <w:sz w:val="14"/>
                <w:szCs w:val="14"/>
                <w:color w:val="auto"/>
              </w:rPr>
            </w:pPr>
          </w:p>
        </w:tc>
        <w:tc>
          <w:tcPr>
            <w:tcW w:w="19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9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10.12†</w:t>
            </w:r>
          </w:p>
        </w:tc>
        <w:tc>
          <w:tcPr>
            <w:tcW w:w="10080" w:type="dxa"/>
            <w:vAlign w:val="bottom"/>
            <w:gridSpan w:val="30"/>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Rent-A-Center, Inc. 2006 Equity Incentive Plan and Amendment (Incorporated herein by reference to Exhibit 4.5 to the registrant's</w:t>
              </w:r>
            </w:hyperlink>
          </w:p>
        </w:tc>
      </w:tr>
      <w:tr>
        <w:trPr>
          <w:trHeight w:val="156"/>
        </w:trPr>
        <w:tc>
          <w:tcPr>
            <w:tcW w:w="980" w:type="dxa"/>
            <w:vAlign w:val="bottom"/>
          </w:tcPr>
          <w:p>
            <w:pPr>
              <w:spacing w:after="0"/>
              <w:rPr>
                <w:sz w:val="13"/>
                <w:szCs w:val="13"/>
                <w:color w:val="auto"/>
              </w:rPr>
            </w:pPr>
          </w:p>
        </w:tc>
        <w:tc>
          <w:tcPr>
            <w:tcW w:w="100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Registration Statement on Form S-8 filed with the SEC on January 4, 2007.)</w:t>
              </w:r>
            </w:hyperlink>
          </w:p>
        </w:tc>
        <w:tc>
          <w:tcPr>
            <w:tcW w:w="40" w:type="dxa"/>
            <w:vAlign w:val="bottom"/>
            <w:gridSpan w:val="2"/>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31"/>
        </w:trPr>
        <w:tc>
          <w:tcPr>
            <w:tcW w:w="9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10.13†</w:t>
            </w:r>
          </w:p>
        </w:tc>
        <w:tc>
          <w:tcPr>
            <w:tcW w:w="10080" w:type="dxa"/>
            <w:vAlign w:val="bottom"/>
            <w:gridSpan w:val="30"/>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Stock Option Agreement issuable to management pursuant to the Rent-A-Center, Inc. 2006 Equity Incentive Plan</w:t>
              </w:r>
            </w:hyperlink>
          </w:p>
        </w:tc>
      </w:tr>
      <w:tr>
        <w:trPr>
          <w:trHeight w:val="155"/>
        </w:trPr>
        <w:tc>
          <w:tcPr>
            <w:tcW w:w="980" w:type="dxa"/>
            <w:vAlign w:val="bottom"/>
          </w:tcPr>
          <w:p>
            <w:pPr>
              <w:spacing w:after="0"/>
              <w:rPr>
                <w:sz w:val="13"/>
                <w:szCs w:val="13"/>
                <w:color w:val="auto"/>
              </w:rPr>
            </w:pPr>
          </w:p>
        </w:tc>
        <w:tc>
          <w:tcPr>
            <w:tcW w:w="98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(Incorporated herein by reference to Exhibit 10.22 to the registrant's Annual Report on Form 10-K for the year ended December 31,</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980" w:type="dxa"/>
            <w:vAlign w:val="bottom"/>
          </w:tcPr>
          <w:p>
            <w:pPr>
              <w:spacing w:after="0"/>
              <w:rPr>
                <w:sz w:val="14"/>
                <w:szCs w:val="14"/>
                <w:color w:val="auto"/>
              </w:rPr>
            </w:pPr>
          </w:p>
        </w:tc>
        <w:tc>
          <w:tcPr>
            <w:tcW w:w="48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132">
              <w:r>
                <w:rPr>
                  <w:rFonts w:ascii="Times New Roman" w:cs="Times New Roman" w:eastAsia="Times New Roman" w:hAnsi="Times New Roman"/>
                  <w:sz w:val="18"/>
                  <w:szCs w:val="18"/>
                  <w:color w:val="0000FF"/>
                  <w:w w:val="98"/>
                </w:rPr>
                <w:t>2006.</w:t>
              </w:r>
              <w:r>
                <w:rPr>
                  <w:rFonts w:ascii="Times New Roman" w:cs="Times New Roman" w:eastAsia="Times New Roman" w:hAnsi="Times New Roman"/>
                  <w:sz w:val="18"/>
                  <w:szCs w:val="18"/>
                  <w:u w:val="single" w:color="auto"/>
                  <w:color w:val="0000FF"/>
                  <w:w w:val="98"/>
                </w:rPr>
                <w:t>)</w:t>
              </w:r>
            </w:hyperlink>
          </w:p>
        </w:tc>
        <w:tc>
          <w:tcPr>
            <w:tcW w:w="26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1660" w:type="dxa"/>
            <w:vAlign w:val="bottom"/>
            <w:tcBorders>
              <w:top w:val="single" w:sz="8" w:color="0000FF"/>
            </w:tcBorders>
          </w:tcPr>
          <w:p>
            <w:pPr>
              <w:spacing w:after="0"/>
              <w:rPr>
                <w:sz w:val="14"/>
                <w:szCs w:val="14"/>
                <w:color w:val="auto"/>
              </w:rPr>
            </w:pPr>
          </w:p>
        </w:tc>
        <w:tc>
          <w:tcPr>
            <w:tcW w:w="19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9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10.14†</w:t>
            </w:r>
          </w:p>
        </w:tc>
        <w:tc>
          <w:tcPr>
            <w:tcW w:w="10080" w:type="dxa"/>
            <w:vAlign w:val="bottom"/>
            <w:gridSpan w:val="30"/>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Stock Compensation Agreement issuable to management pursuant to the Rent-A-Center, Inc. 2006 Long-Term Incentive Plan</w:t>
              </w:r>
            </w:hyperlink>
          </w:p>
        </w:tc>
      </w:tr>
      <w:tr>
        <w:trPr>
          <w:trHeight w:val="156"/>
        </w:trPr>
        <w:tc>
          <w:tcPr>
            <w:tcW w:w="980" w:type="dxa"/>
            <w:vAlign w:val="bottom"/>
          </w:tcPr>
          <w:p>
            <w:pPr>
              <w:spacing w:after="0"/>
              <w:rPr>
                <w:sz w:val="13"/>
                <w:szCs w:val="13"/>
                <w:color w:val="auto"/>
              </w:rPr>
            </w:pPr>
          </w:p>
        </w:tc>
        <w:tc>
          <w:tcPr>
            <w:tcW w:w="98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(Incorporated herein by reference to Exhibit 10.23 to the registrant's Annual Report on Form 10-K for the year ended December 31,</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98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133">
              <w:r>
                <w:rPr>
                  <w:rFonts w:ascii="Times New Roman" w:cs="Times New Roman" w:eastAsia="Times New Roman" w:hAnsi="Times New Roman"/>
                  <w:sz w:val="18"/>
                  <w:szCs w:val="18"/>
                  <w:color w:val="0000FF"/>
                  <w:w w:val="94"/>
                </w:rPr>
                <w:t>2006.</w:t>
              </w:r>
              <w:r>
                <w:rPr>
                  <w:rFonts w:ascii="Times New Roman" w:cs="Times New Roman" w:eastAsia="Times New Roman" w:hAnsi="Times New Roman"/>
                  <w:sz w:val="18"/>
                  <w:szCs w:val="18"/>
                  <w:u w:val="single" w:color="auto"/>
                  <w:color w:val="0000FF"/>
                  <w:w w:val="94"/>
                </w:rPr>
                <w:t>)</w:t>
              </w:r>
            </w:hyperlink>
          </w:p>
        </w:tc>
        <w:tc>
          <w:tcPr>
            <w:tcW w:w="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1660" w:type="dxa"/>
            <w:vAlign w:val="bottom"/>
            <w:tcBorders>
              <w:top w:val="single" w:sz="8" w:color="0000FF"/>
            </w:tcBorders>
          </w:tcPr>
          <w:p>
            <w:pPr>
              <w:spacing w:after="0"/>
              <w:rPr>
                <w:sz w:val="14"/>
                <w:szCs w:val="14"/>
                <w:color w:val="auto"/>
              </w:rPr>
            </w:pPr>
          </w:p>
        </w:tc>
        <w:tc>
          <w:tcPr>
            <w:tcW w:w="19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9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10.15†</w:t>
            </w:r>
          </w:p>
        </w:tc>
        <w:tc>
          <w:tcPr>
            <w:tcW w:w="10080" w:type="dxa"/>
            <w:vAlign w:val="bottom"/>
            <w:gridSpan w:val="30"/>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Stock Option Agreement issuable to Directors pursuant to the Rent-A-Center, Inc. 2006 Long-Term Incentive Plan</w:t>
              </w:r>
            </w:hyperlink>
          </w:p>
        </w:tc>
      </w:tr>
      <w:tr>
        <w:trPr>
          <w:trHeight w:val="155"/>
        </w:trPr>
        <w:tc>
          <w:tcPr>
            <w:tcW w:w="980" w:type="dxa"/>
            <w:vAlign w:val="bottom"/>
          </w:tcPr>
          <w:p>
            <w:pPr>
              <w:spacing w:after="0"/>
              <w:rPr>
                <w:sz w:val="13"/>
                <w:szCs w:val="13"/>
                <w:color w:val="auto"/>
              </w:rPr>
            </w:pPr>
          </w:p>
        </w:tc>
        <w:tc>
          <w:tcPr>
            <w:tcW w:w="100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(Incorporated herein by reference to Exhibit 10.24 to the registrant's Annual Report on Form 10-K for the year ended December 31,</w:t>
              </w:r>
            </w:hyperlink>
          </w:p>
        </w:tc>
        <w:tc>
          <w:tcPr>
            <w:tcW w:w="80" w:type="dxa"/>
            <w:vAlign w:val="bottom"/>
            <w:gridSpan w:val="4"/>
          </w:tcPr>
          <w:p>
            <w:pPr>
              <w:spacing w:after="0"/>
              <w:rPr>
                <w:sz w:val="13"/>
                <w:szCs w:val="13"/>
                <w:color w:val="auto"/>
              </w:rPr>
            </w:pPr>
          </w:p>
        </w:tc>
      </w:tr>
      <w:tr>
        <w:trPr>
          <w:trHeight w:val="169"/>
        </w:trPr>
        <w:tc>
          <w:tcPr>
            <w:tcW w:w="980" w:type="dxa"/>
            <w:vAlign w:val="bottom"/>
          </w:tcPr>
          <w:p>
            <w:pPr>
              <w:spacing w:after="0"/>
              <w:rPr>
                <w:sz w:val="14"/>
                <w:szCs w:val="14"/>
                <w:color w:val="auto"/>
              </w:rPr>
            </w:pPr>
          </w:p>
        </w:tc>
        <w:tc>
          <w:tcPr>
            <w:tcW w:w="48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134">
              <w:r>
                <w:rPr>
                  <w:rFonts w:ascii="Times New Roman" w:cs="Times New Roman" w:eastAsia="Times New Roman" w:hAnsi="Times New Roman"/>
                  <w:sz w:val="18"/>
                  <w:szCs w:val="18"/>
                  <w:color w:val="0000FF"/>
                  <w:w w:val="98"/>
                </w:rPr>
                <w:t>2006.</w:t>
              </w:r>
              <w:r>
                <w:rPr>
                  <w:rFonts w:ascii="Times New Roman" w:cs="Times New Roman" w:eastAsia="Times New Roman" w:hAnsi="Times New Roman"/>
                  <w:sz w:val="18"/>
                  <w:szCs w:val="18"/>
                  <w:u w:val="single" w:color="auto"/>
                  <w:color w:val="0000FF"/>
                  <w:w w:val="98"/>
                </w:rPr>
                <w:t>)</w:t>
              </w:r>
            </w:hyperlink>
          </w:p>
        </w:tc>
        <w:tc>
          <w:tcPr>
            <w:tcW w:w="26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1660" w:type="dxa"/>
            <w:vAlign w:val="bottom"/>
            <w:tcBorders>
              <w:top w:val="single" w:sz="8" w:color="0000FF"/>
            </w:tcBorders>
          </w:tcPr>
          <w:p>
            <w:pPr>
              <w:spacing w:after="0"/>
              <w:rPr>
                <w:sz w:val="14"/>
                <w:szCs w:val="14"/>
                <w:color w:val="auto"/>
              </w:rPr>
            </w:pPr>
          </w:p>
        </w:tc>
        <w:tc>
          <w:tcPr>
            <w:tcW w:w="19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9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10.16†</w:t>
            </w:r>
          </w:p>
        </w:tc>
        <w:tc>
          <w:tcPr>
            <w:tcW w:w="10080" w:type="dxa"/>
            <w:vAlign w:val="bottom"/>
            <w:gridSpan w:val="30"/>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Deferred Stock Unit Award Agreement issuable to Directors pursuant to the Rent-A-Center, Inc. 2006 Long-Term Incentive</w:t>
              </w:r>
            </w:hyperlink>
          </w:p>
        </w:tc>
      </w:tr>
      <w:tr>
        <w:trPr>
          <w:trHeight w:val="155"/>
        </w:trPr>
        <w:tc>
          <w:tcPr>
            <w:tcW w:w="980" w:type="dxa"/>
            <w:vAlign w:val="bottom"/>
          </w:tcPr>
          <w:p>
            <w:pPr>
              <w:spacing w:after="0"/>
              <w:rPr>
                <w:sz w:val="13"/>
                <w:szCs w:val="13"/>
                <w:color w:val="auto"/>
              </w:rPr>
            </w:pPr>
          </w:p>
        </w:tc>
        <w:tc>
          <w:tcPr>
            <w:tcW w:w="990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Plan (Incorporated herein by reference to Exhibit 10.23 to the registrant's Annual Report on Form 10-K for the year ended December</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9"/>
        </w:trPr>
        <w:tc>
          <w:tcPr>
            <w:tcW w:w="980" w:type="dxa"/>
            <w:vAlign w:val="bottom"/>
          </w:tcPr>
          <w:p>
            <w:pPr>
              <w:spacing w:after="0"/>
              <w:rPr>
                <w:sz w:val="14"/>
                <w:szCs w:val="14"/>
                <w:color w:val="auto"/>
              </w:rPr>
            </w:pPr>
          </w:p>
        </w:tc>
        <w:tc>
          <w:tcPr>
            <w:tcW w:w="74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7"/>
              </w:rPr>
            </w:pPr>
            <w:hyperlink r:id="rId135">
              <w:r>
                <w:rPr>
                  <w:rFonts w:ascii="Times New Roman" w:cs="Times New Roman" w:eastAsia="Times New Roman" w:hAnsi="Times New Roman"/>
                  <w:sz w:val="18"/>
                  <w:szCs w:val="18"/>
                  <w:color w:val="0000FF"/>
                  <w:w w:val="97"/>
                </w:rPr>
                <w:t>31, 2010.)</w:t>
              </w:r>
            </w:hyperlink>
          </w:p>
        </w:tc>
        <w:tc>
          <w:tcPr>
            <w:tcW w:w="126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1660" w:type="dxa"/>
            <w:vAlign w:val="bottom"/>
            <w:tcBorders>
              <w:top w:val="single" w:sz="8" w:color="0000FF"/>
            </w:tcBorders>
          </w:tcPr>
          <w:p>
            <w:pPr>
              <w:spacing w:after="0"/>
              <w:rPr>
                <w:sz w:val="14"/>
                <w:szCs w:val="14"/>
                <w:color w:val="auto"/>
              </w:rPr>
            </w:pPr>
          </w:p>
        </w:tc>
        <w:tc>
          <w:tcPr>
            <w:tcW w:w="19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9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10.17†</w:t>
            </w:r>
          </w:p>
        </w:tc>
        <w:tc>
          <w:tcPr>
            <w:tcW w:w="10080" w:type="dxa"/>
            <w:vAlign w:val="bottom"/>
            <w:gridSpan w:val="30"/>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Executive Transition Agreement entered into with management (Incorporated herein by reference to Exhibit 10.24 to the</w:t>
              </w:r>
            </w:hyperlink>
          </w:p>
        </w:tc>
      </w:tr>
      <w:tr>
        <w:trPr>
          <w:trHeight w:val="156"/>
        </w:trPr>
        <w:tc>
          <w:tcPr>
            <w:tcW w:w="980" w:type="dxa"/>
            <w:vAlign w:val="bottom"/>
          </w:tcPr>
          <w:p>
            <w:pPr>
              <w:spacing w:after="0"/>
              <w:rPr>
                <w:sz w:val="13"/>
                <w:szCs w:val="13"/>
                <w:color w:val="auto"/>
              </w:rPr>
            </w:pPr>
          </w:p>
        </w:tc>
        <w:tc>
          <w:tcPr>
            <w:tcW w:w="100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registrant's Annual Report on Form 10-K for the year ended August 31, 2016.)</w:t>
              </w:r>
            </w:hyperlink>
          </w:p>
        </w:tc>
        <w:tc>
          <w:tcPr>
            <w:tcW w:w="60" w:type="dxa"/>
            <w:vAlign w:val="bottom"/>
            <w:gridSpan w:val="3"/>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2620" w:type="dxa"/>
            <w:vAlign w:val="bottom"/>
            <w:gridSpan w:val="5"/>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31"/>
        </w:trPr>
        <w:tc>
          <w:tcPr>
            <w:tcW w:w="9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10.18†</w:t>
            </w:r>
          </w:p>
        </w:tc>
        <w:tc>
          <w:tcPr>
            <w:tcW w:w="10080" w:type="dxa"/>
            <w:vAlign w:val="bottom"/>
            <w:gridSpan w:val="30"/>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Rent-A-Center, Inc. 2016 Long-Term Incentive Plan (Incorporated herein by reference to Exhibit 10.36 to the registrant's Quarterly</w:t>
              </w:r>
            </w:hyperlink>
          </w:p>
        </w:tc>
      </w:tr>
      <w:tr>
        <w:trPr>
          <w:trHeight w:val="155"/>
        </w:trPr>
        <w:tc>
          <w:tcPr>
            <w:tcW w:w="98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Report on Form 10-Q for the quarter ended March 31, 2016.)</w:t>
              </w:r>
            </w:hyperlink>
          </w:p>
        </w:tc>
        <w:tc>
          <w:tcPr>
            <w:tcW w:w="5560" w:type="dxa"/>
            <w:vAlign w:val="bottom"/>
            <w:tcBorders>
              <w:top w:val="single" w:sz="8" w:color="0000FF"/>
            </w:tcBorders>
            <w:gridSpan w:val="17"/>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331"/>
        </w:trPr>
        <w:tc>
          <w:tcPr>
            <w:tcW w:w="9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10.19†</w:t>
            </w:r>
          </w:p>
        </w:tc>
        <w:tc>
          <w:tcPr>
            <w:tcW w:w="10080" w:type="dxa"/>
            <w:vAlign w:val="bottom"/>
            <w:gridSpan w:val="30"/>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Rent-A-Center, Inc. Non-Qualified Deferred Compensation Plan (Incorporated herein by reference to Exhibit 10.28 to the registrant's</w:t>
              </w:r>
            </w:hyperlink>
          </w:p>
        </w:tc>
      </w:tr>
      <w:tr>
        <w:trPr>
          <w:trHeight w:val="156"/>
        </w:trPr>
        <w:tc>
          <w:tcPr>
            <w:tcW w:w="980" w:type="dxa"/>
            <w:vAlign w:val="bottom"/>
          </w:tcPr>
          <w:p>
            <w:pPr>
              <w:spacing w:after="0"/>
              <w:rPr>
                <w:sz w:val="13"/>
                <w:szCs w:val="13"/>
                <w:color w:val="auto"/>
              </w:rPr>
            </w:pPr>
          </w:p>
        </w:tc>
        <w:tc>
          <w:tcPr>
            <w:tcW w:w="99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Quarterly Report on Form 10-Q for the quarter ended June 30, 2007.)</w:t>
              </w:r>
            </w:hyperlink>
          </w:p>
        </w:tc>
        <w:tc>
          <w:tcPr>
            <w:tcW w:w="120" w:type="dxa"/>
            <w:vAlign w:val="bottom"/>
            <w:gridSpan w:val="6"/>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2620" w:type="dxa"/>
            <w:vAlign w:val="bottom"/>
            <w:gridSpan w:val="5"/>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331"/>
        </w:trPr>
        <w:tc>
          <w:tcPr>
            <w:tcW w:w="9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10.20†</w:t>
            </w:r>
          </w:p>
        </w:tc>
        <w:tc>
          <w:tcPr>
            <w:tcW w:w="10080" w:type="dxa"/>
            <w:vAlign w:val="bottom"/>
            <w:gridSpan w:val="30"/>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Rent-A-Center, Inc. 401-K Plan (Incorporated herein by reference to Exhibit 10.30 to the registrant's Annual Report on Form 10-K for</w:t>
              </w:r>
            </w:hyperlink>
          </w:p>
        </w:tc>
      </w:tr>
      <w:tr>
        <w:trPr>
          <w:trHeight w:val="155"/>
        </w:trPr>
        <w:tc>
          <w:tcPr>
            <w:tcW w:w="980" w:type="dxa"/>
            <w:vAlign w:val="bottom"/>
          </w:tcPr>
          <w:p>
            <w:pPr>
              <w:spacing w:after="0"/>
              <w:rPr>
                <w:sz w:val="13"/>
                <w:szCs w:val="13"/>
                <w:color w:val="auto"/>
              </w:rPr>
            </w:pPr>
          </w:p>
        </w:tc>
        <w:tc>
          <w:tcPr>
            <w:tcW w:w="26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the year ended December 31, 2008.)</w:t>
              </w:r>
            </w:hyperlink>
          </w:p>
        </w:tc>
        <w:tc>
          <w:tcPr>
            <w:tcW w:w="73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331"/>
        </w:trPr>
        <w:tc>
          <w:tcPr>
            <w:tcW w:w="9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10.21†</w:t>
            </w:r>
          </w:p>
        </w:tc>
        <w:tc>
          <w:tcPr>
            <w:tcW w:w="10080" w:type="dxa"/>
            <w:vAlign w:val="bottom"/>
            <w:gridSpan w:val="30"/>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Rent-A-Center East, Inc. Retirement Savings Plan for Puerto Rico Employees (Incorporated herein by reference to Exhibit 99.1 to the</w:t>
              </w:r>
            </w:hyperlink>
          </w:p>
        </w:tc>
      </w:tr>
      <w:tr>
        <w:trPr>
          <w:trHeight w:val="155"/>
        </w:trPr>
        <w:tc>
          <w:tcPr>
            <w:tcW w:w="980" w:type="dxa"/>
            <w:vAlign w:val="bottom"/>
          </w:tcPr>
          <w:p>
            <w:pPr>
              <w:spacing w:after="0"/>
              <w:rPr>
                <w:sz w:val="13"/>
                <w:szCs w:val="13"/>
                <w:color w:val="auto"/>
              </w:rPr>
            </w:pPr>
          </w:p>
        </w:tc>
        <w:tc>
          <w:tcPr>
            <w:tcW w:w="99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registrant's Registration Statement on Form S-8 filed January 28, 2011.)</w:t>
              </w:r>
            </w:hyperlink>
          </w:p>
        </w:tc>
        <w:tc>
          <w:tcPr>
            <w:tcW w:w="140" w:type="dxa"/>
            <w:vAlign w:val="bottom"/>
            <w:gridSpan w:val="7"/>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5180" w:type="dxa"/>
            <w:vAlign w:val="bottom"/>
            <w:gridSpan w:val="10"/>
            <w:shd w:val="clear" w:color="auto" w:fill="0000FF"/>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2280" w:type="dxa"/>
            <w:vAlign w:val="bottom"/>
            <w:gridSpan w:val="16"/>
          </w:tcPr>
          <w:p>
            <w:pPr>
              <w:spacing w:after="0" w:line="20" w:lineRule="exact"/>
              <w:rPr>
                <w:sz w:val="1"/>
                <w:szCs w:val="1"/>
                <w:color w:val="auto"/>
              </w:rPr>
            </w:pPr>
          </w:p>
        </w:tc>
      </w:tr>
      <w:tr>
        <w:trPr>
          <w:trHeight w:val="331"/>
        </w:trPr>
        <w:tc>
          <w:tcPr>
            <w:tcW w:w="9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10.22</w:t>
            </w:r>
          </w:p>
        </w:tc>
        <w:tc>
          <w:tcPr>
            <w:tcW w:w="10080" w:type="dxa"/>
            <w:vAlign w:val="bottom"/>
            <w:gridSpan w:val="30"/>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Master Confirmation Agreement, dated as of May 2, 2013, between Rent-A-Center, Inc. and Goldman Sachs &amp; Co. (Incorporated</w:t>
              </w:r>
            </w:hyperlink>
          </w:p>
        </w:tc>
      </w:tr>
      <w:tr>
        <w:trPr>
          <w:trHeight w:val="155"/>
        </w:trPr>
        <w:tc>
          <w:tcPr>
            <w:tcW w:w="980" w:type="dxa"/>
            <w:vAlign w:val="bottom"/>
          </w:tcPr>
          <w:p>
            <w:pPr>
              <w:spacing w:after="0"/>
              <w:rPr>
                <w:sz w:val="13"/>
                <w:szCs w:val="13"/>
                <w:color w:val="auto"/>
              </w:rPr>
            </w:pPr>
          </w:p>
        </w:tc>
        <w:tc>
          <w:tcPr>
            <w:tcW w:w="78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herein by reference to Exhibit 10.1 to the registrant's Current Report on Form 8-K dated as of May 2, 2013.)</w:t>
              </w:r>
            </w:hyperlink>
          </w:p>
        </w:tc>
        <w:tc>
          <w:tcPr>
            <w:tcW w:w="2140" w:type="dxa"/>
            <w:vAlign w:val="bottom"/>
            <w:tcBorders>
              <w:top w:val="single" w:sz="8" w:color="0000FF"/>
            </w:tcBorders>
            <w:gridSpan w:val="9"/>
          </w:tcPr>
          <w:p>
            <w:pPr>
              <w:spacing w:after="0"/>
              <w:rPr>
                <w:sz w:val="13"/>
                <w:szCs w:val="13"/>
                <w:color w:val="auto"/>
              </w:rPr>
            </w:pPr>
          </w:p>
        </w:tc>
        <w:tc>
          <w:tcPr>
            <w:tcW w:w="140" w:type="dxa"/>
            <w:vAlign w:val="bottom"/>
            <w:gridSpan w:val="7"/>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0760"/>
          </w:cols>
          <w:pgMar w:left="78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780" w:top="1440" w:right="359" w:bottom="1440" w:gutter="0" w:footer="0" w:header="0"/>
          <w:type w:val="continuous"/>
        </w:sectPr>
      </w:pPr>
    </w:p>
    <w:bookmarkStart w:id="95" w:name="page96"/>
    <w:bookmarkEnd w:id="95"/>
    <w:p>
      <w:pPr>
        <w:spacing w:after="0" w:line="99" w:lineRule="exact"/>
        <w:rPr>
          <w:sz w:val="20"/>
          <w:szCs w:val="20"/>
          <w:color w:val="auto"/>
        </w:rPr>
      </w:pPr>
    </w:p>
    <w:p>
      <w:pPr>
        <w:jc w:val="right"/>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10.23†     </w:t>
      </w:r>
      <w:hyperlink r:id="rId143">
        <w:r>
          <w:rPr>
            <w:rFonts w:ascii="Times New Roman" w:cs="Times New Roman" w:eastAsia="Times New Roman" w:hAnsi="Times New Roman"/>
            <w:sz w:val="18"/>
            <w:szCs w:val="18"/>
            <w:u w:val="single" w:color="auto"/>
            <w:color w:val="0000FF"/>
          </w:rPr>
          <w:t>Form of Stock Option Agreement issuable to management pursuant to the Rent-A-Center, Inc. 2016 Long-Term Incentive Plan</w:t>
        </w:r>
      </w:hyperlink>
      <w:r>
        <w:rPr>
          <w:rFonts w:ascii="Times New Roman" w:cs="Times New Roman" w:eastAsia="Times New Roman" w:hAnsi="Times New Roman"/>
          <w:sz w:val="18"/>
          <w:szCs w:val="18"/>
          <w:color w:val="auto"/>
        </w:rPr>
        <w:t xml:space="preserve"> </w:t>
      </w:r>
      <w:hyperlink r:id="rId143">
        <w:r>
          <w:rPr>
            <w:rFonts w:ascii="Times New Roman" w:cs="Times New Roman" w:eastAsia="Times New Roman" w:hAnsi="Times New Roman"/>
            <w:sz w:val="18"/>
            <w:szCs w:val="18"/>
            <w:u w:val="single" w:color="auto"/>
            <w:color w:val="0000FF"/>
          </w:rPr>
          <w:t>(Incorporated herein by reference to Exhibit 10.37 to the registrant's Quarterly Report on Form 10-Q for the quarter ended March 31,</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2016.)</w:t>
        </w:r>
      </w:hyperlink>
    </w:p>
    <w:p>
      <w:pPr>
        <w:spacing w:after="0" w:line="111" w:lineRule="exact"/>
        <w:rPr>
          <w:sz w:val="20"/>
          <w:szCs w:val="20"/>
          <w:color w:val="auto"/>
        </w:rPr>
      </w:pPr>
    </w:p>
    <w:p>
      <w:pPr>
        <w:jc w:val="right"/>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10.24†     </w:t>
      </w:r>
      <w:hyperlink r:id="rId144">
        <w:r>
          <w:rPr>
            <w:rFonts w:ascii="Times New Roman" w:cs="Times New Roman" w:eastAsia="Times New Roman" w:hAnsi="Times New Roman"/>
            <w:sz w:val="18"/>
            <w:szCs w:val="18"/>
            <w:u w:val="single" w:color="auto"/>
            <w:color w:val="0000FF"/>
          </w:rPr>
          <w:t>Form of Stock Compensation Agreement (RSU) issuable to management pursuant to the Rent-A-Center, Inc. 2016 Long-Term</w:t>
        </w:r>
      </w:hyperlink>
      <w:r>
        <w:rPr>
          <w:rFonts w:ascii="Times New Roman" w:cs="Times New Roman" w:eastAsia="Times New Roman" w:hAnsi="Times New Roman"/>
          <w:sz w:val="18"/>
          <w:szCs w:val="18"/>
          <w:color w:val="auto"/>
        </w:rPr>
        <w:t xml:space="preserve"> </w:t>
      </w:r>
      <w:hyperlink r:id="rId144">
        <w:r>
          <w:rPr>
            <w:rFonts w:ascii="Times New Roman" w:cs="Times New Roman" w:eastAsia="Times New Roman" w:hAnsi="Times New Roman"/>
            <w:sz w:val="18"/>
            <w:szCs w:val="18"/>
            <w:u w:val="single" w:color="auto"/>
            <w:color w:val="0000FF"/>
          </w:rPr>
          <w:t>Incentive Plan (Incorporated herein by reference to Exhibit 10.38 to the registrant's Quarterly Report on Form 10-Q for the quarter</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ended March 31, 2016.)</w:t>
        </w:r>
      </w:hyperlink>
    </w:p>
    <w:p>
      <w:pPr>
        <w:spacing w:after="0" w:line="111" w:lineRule="exact"/>
        <w:rPr>
          <w:sz w:val="20"/>
          <w:szCs w:val="20"/>
          <w:color w:val="auto"/>
        </w:rPr>
      </w:pPr>
    </w:p>
    <w:p>
      <w:pPr>
        <w:jc w:val="right"/>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10.25†     </w:t>
      </w:r>
      <w:hyperlink r:id="rId145">
        <w:r>
          <w:rPr>
            <w:rFonts w:ascii="Times New Roman" w:cs="Times New Roman" w:eastAsia="Times New Roman" w:hAnsi="Times New Roman"/>
            <w:sz w:val="18"/>
            <w:szCs w:val="18"/>
            <w:u w:val="single" w:color="auto"/>
            <w:color w:val="0000FF"/>
          </w:rPr>
          <w:t>Form of Stock Compensation Agreement (PSU) issuable to management pursuant to the Rent-A-Center, Inc. 2016 Long-Term</w:t>
        </w:r>
      </w:hyperlink>
      <w:r>
        <w:rPr>
          <w:rFonts w:ascii="Times New Roman" w:cs="Times New Roman" w:eastAsia="Times New Roman" w:hAnsi="Times New Roman"/>
          <w:sz w:val="18"/>
          <w:szCs w:val="18"/>
          <w:color w:val="auto"/>
        </w:rPr>
        <w:t xml:space="preserve"> </w:t>
      </w:r>
      <w:hyperlink r:id="rId145">
        <w:r>
          <w:rPr>
            <w:rFonts w:ascii="Times New Roman" w:cs="Times New Roman" w:eastAsia="Times New Roman" w:hAnsi="Times New Roman"/>
            <w:sz w:val="18"/>
            <w:szCs w:val="18"/>
            <w:u w:val="single" w:color="auto"/>
            <w:color w:val="0000FF"/>
          </w:rPr>
          <w:t>Incentive Plan (Incorporated herein by reference to Exhibit 10.39 to the registrant's Quarterly Report on Form 10-Q for the quarter</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ended March 31, 2016.)</w:t>
        </w:r>
      </w:hyperlink>
    </w:p>
    <w:p>
      <w:pPr>
        <w:spacing w:after="0" w:line="111" w:lineRule="exact"/>
        <w:rPr>
          <w:sz w:val="20"/>
          <w:szCs w:val="20"/>
          <w:color w:val="auto"/>
        </w:rPr>
      </w:pPr>
    </w:p>
    <w:p>
      <w:pPr>
        <w:ind w:left="980" w:hanging="964"/>
        <w:spacing w:after="0" w:line="237"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w:t>
      </w:r>
      <w:r>
        <w:rPr>
          <w:rFonts w:ascii="Times New Roman" w:cs="Times New Roman" w:eastAsia="Times New Roman" w:hAnsi="Times New Roman"/>
          <w:sz w:val="14"/>
          <w:szCs w:val="14"/>
          <w:color w:val="auto"/>
        </w:rPr>
        <w:t>†</w:t>
      </w:r>
      <w:r>
        <w:rPr>
          <w:sz w:val="20"/>
          <w:szCs w:val="20"/>
          <w:color w:val="auto"/>
        </w:rPr>
        <w:tab/>
      </w:r>
      <w:hyperlink r:id="rId146">
        <w:r>
          <w:rPr>
            <w:rFonts w:ascii="Times New Roman" w:cs="Times New Roman" w:eastAsia="Times New Roman" w:hAnsi="Times New Roman"/>
            <w:sz w:val="18"/>
            <w:szCs w:val="18"/>
            <w:u w:val="single" w:color="auto"/>
            <w:color w:val="0000FF"/>
          </w:rPr>
          <w:t>CEO Employment Agreement, dated December 30, 2017, between Mitchell E. Fadel and Rent-A-Center, Inc. (Incorporated herein by</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reference to Exhibit 10.1 to the registrant's Current Report on Form 8-K dated as of April 3, 2018.)</w:t>
        </w:r>
      </w:hyperlink>
    </w:p>
    <w:p>
      <w:pPr>
        <w:spacing w:after="0" w:line="64" w:lineRule="exact"/>
        <w:rPr>
          <w:sz w:val="20"/>
          <w:szCs w:val="20"/>
          <w:color w:val="auto"/>
        </w:rPr>
      </w:pPr>
    </w:p>
    <w:p>
      <w:pPr>
        <w:jc w:val="right"/>
        <w:ind w:left="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10.27      </w:t>
      </w:r>
      <w:hyperlink r:id="rId147">
        <w:r>
          <w:rPr>
            <w:rFonts w:ascii="Times New Roman" w:cs="Times New Roman" w:eastAsia="Times New Roman" w:hAnsi="Times New Roman"/>
            <w:sz w:val="18"/>
            <w:szCs w:val="18"/>
            <w:u w:val="single" w:color="auto"/>
            <w:color w:val="0000FF"/>
          </w:rPr>
          <w:t>Letter Agreement, dated May 25, 2018, by and among Rent-A-Center, Inc., Engaged Capital Flagship Master Fund, LP, Engaged</w:t>
        </w:r>
      </w:hyperlink>
      <w:r>
        <w:rPr>
          <w:rFonts w:ascii="Times New Roman" w:cs="Times New Roman" w:eastAsia="Times New Roman" w:hAnsi="Times New Roman"/>
          <w:sz w:val="18"/>
          <w:szCs w:val="18"/>
          <w:color w:val="auto"/>
        </w:rPr>
        <w:t xml:space="preserve"> </w:t>
      </w:r>
      <w:hyperlink r:id="rId147">
        <w:r>
          <w:rPr>
            <w:rFonts w:ascii="Times New Roman" w:cs="Times New Roman" w:eastAsia="Times New Roman" w:hAnsi="Times New Roman"/>
            <w:sz w:val="18"/>
            <w:szCs w:val="18"/>
            <w:u w:val="single" w:color="auto"/>
            <w:color w:val="0000FF"/>
          </w:rPr>
          <w:t>Capital Co-Invest V, LP, Engaged Capital Co-Invest V-A, LP, Engaged Capital Flagship Fund, LP, Engaged Capital Flagship Fund,</w:t>
        </w:r>
      </w:hyperlink>
    </w:p>
    <w:p>
      <w:pPr>
        <w:spacing w:after="0" w:line="2" w:lineRule="exact"/>
        <w:rPr>
          <w:sz w:val="20"/>
          <w:szCs w:val="20"/>
          <w:color w:val="auto"/>
        </w:rPr>
      </w:pPr>
    </w:p>
    <w:p>
      <w:pPr>
        <w:ind w:left="980"/>
        <w:spacing w:after="0" w:line="226"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Ltd., Engaged Capital, LLC, Engaged Capital Holdings, LLC and Glenn W. Welling (Incorporated herein by reference to Exhibit 10.1</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to the registrant's Current Report on Form 8-K dated as of May 25, 2018.)</w:t>
        </w:r>
      </w:hyperlink>
    </w:p>
    <w:p>
      <w:pPr>
        <w:spacing w:after="0" w:line="49" w:lineRule="exact"/>
        <w:rPr>
          <w:sz w:val="20"/>
          <w:szCs w:val="20"/>
          <w:color w:val="auto"/>
        </w:rPr>
      </w:pPr>
    </w:p>
    <w:p>
      <w:pPr>
        <w:ind w:left="980" w:hanging="928"/>
        <w:spacing w:after="0" w:line="237"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148">
        <w:r>
          <w:rPr>
            <w:rFonts w:ascii="Times New Roman" w:cs="Times New Roman" w:eastAsia="Times New Roman" w:hAnsi="Times New Roman"/>
            <w:sz w:val="18"/>
            <w:szCs w:val="18"/>
            <w:u w:val="single" w:color="auto"/>
            <w:color w:val="0000FF"/>
          </w:rPr>
          <w:t>Amended and Restated Employment Agreement, entered into as of April 16, 2019, between Rent-A-Center, Inc. and Mitchell E. Fadel</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(Incorporated herein by reference to Exhibit 10.1 to the registrant's Current Report on Form 8-K on April 16, 2019.)</w:t>
        </w:r>
      </w:hyperlink>
    </w:p>
    <w:p>
      <w:pPr>
        <w:spacing w:after="0" w:line="64" w:lineRule="exact"/>
        <w:rPr>
          <w:sz w:val="20"/>
          <w:szCs w:val="20"/>
          <w:color w:val="auto"/>
        </w:rPr>
      </w:pPr>
    </w:p>
    <w:p>
      <w:pPr>
        <w:jc w:val="right"/>
        <w:ind w:left="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10.29      </w:t>
      </w:r>
      <w:hyperlink r:id="rId149">
        <w:r>
          <w:rPr>
            <w:rFonts w:ascii="Times New Roman" w:cs="Times New Roman" w:eastAsia="Times New Roman" w:hAnsi="Times New Roman"/>
            <w:sz w:val="18"/>
            <w:szCs w:val="18"/>
            <w:u w:val="single" w:color="auto"/>
            <w:color w:val="0000FF"/>
          </w:rPr>
          <w:t>Term Loan Credit Agreement, dated as of August 5, 2019, between Rent-A-Center, Inc., the several lenders from time to time party</w:t>
        </w:r>
      </w:hyperlink>
      <w:r>
        <w:rPr>
          <w:rFonts w:ascii="Times New Roman" w:cs="Times New Roman" w:eastAsia="Times New Roman" w:hAnsi="Times New Roman"/>
          <w:sz w:val="18"/>
          <w:szCs w:val="18"/>
          <w:color w:val="auto"/>
        </w:rPr>
        <w:t xml:space="preserve"> </w:t>
      </w:r>
      <w:hyperlink r:id="rId149">
        <w:r>
          <w:rPr>
            <w:rFonts w:ascii="Times New Roman" w:cs="Times New Roman" w:eastAsia="Times New Roman" w:hAnsi="Times New Roman"/>
            <w:sz w:val="18"/>
            <w:szCs w:val="18"/>
            <w:u w:val="single" w:color="auto"/>
            <w:color w:val="0000FF"/>
          </w:rPr>
          <w:t>thereto and JPMorgan Chase Bank, N.A., as administrative agent (Incorporated herein by reference to Exhibit 10.42 to the registrant's</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Quarterly Report on Form 10-Q on August 9, 2019.)</w:t>
        </w:r>
      </w:hyperlink>
    </w:p>
    <w:p>
      <w:pPr>
        <w:spacing w:after="0" w:line="57" w:lineRule="exact"/>
        <w:rPr>
          <w:sz w:val="20"/>
          <w:szCs w:val="20"/>
          <w:color w:val="auto"/>
        </w:rPr>
      </w:pPr>
    </w:p>
    <w:p>
      <w:pPr>
        <w:jc w:val="right"/>
        <w:ind w:left="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10.30      </w:t>
      </w:r>
      <w:hyperlink r:id="rId150">
        <w:r>
          <w:rPr>
            <w:rFonts w:ascii="Times New Roman" w:cs="Times New Roman" w:eastAsia="Times New Roman" w:hAnsi="Times New Roman"/>
            <w:sz w:val="18"/>
            <w:szCs w:val="18"/>
            <w:u w:val="single" w:color="auto"/>
            <w:color w:val="0000FF"/>
          </w:rPr>
          <w:t>ABL Credit Agreement, dated as of August 5, 2019, between Rent-A-Center, Inc., the several lenders from time to time party thereto</w:t>
        </w:r>
      </w:hyperlink>
      <w:r>
        <w:rPr>
          <w:rFonts w:ascii="Times New Roman" w:cs="Times New Roman" w:eastAsia="Times New Roman" w:hAnsi="Times New Roman"/>
          <w:sz w:val="18"/>
          <w:szCs w:val="18"/>
          <w:color w:val="auto"/>
        </w:rPr>
        <w:t xml:space="preserve"> </w:t>
      </w:r>
      <w:hyperlink r:id="rId150">
        <w:r>
          <w:rPr>
            <w:rFonts w:ascii="Times New Roman" w:cs="Times New Roman" w:eastAsia="Times New Roman" w:hAnsi="Times New Roman"/>
            <w:sz w:val="18"/>
            <w:szCs w:val="18"/>
            <w:u w:val="single" w:color="auto"/>
            <w:color w:val="0000FF"/>
          </w:rPr>
          <w:t>and JPMorgan Chase Bank, N.A., as administrative agent (Incorporated herein by reference to Exhibit 10.43 to the registrant's</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Quarterly Report on Form 10-Q on August 9, 2019.)</w:t>
        </w:r>
      </w:hyperlink>
    </w:p>
    <w:p>
      <w:pPr>
        <w:spacing w:after="0" w:line="97" w:lineRule="exact"/>
        <w:rPr>
          <w:sz w:val="20"/>
          <w:szCs w:val="20"/>
          <w:color w:val="auto"/>
        </w:rPr>
      </w:pPr>
    </w:p>
    <w:p>
      <w:pPr>
        <w:jc w:val="right"/>
        <w:ind w:left="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10.31      </w:t>
      </w:r>
      <w:hyperlink r:id="rId151">
        <w:r>
          <w:rPr>
            <w:rFonts w:ascii="Times New Roman" w:cs="Times New Roman" w:eastAsia="Times New Roman" w:hAnsi="Times New Roman"/>
            <w:sz w:val="18"/>
            <w:szCs w:val="18"/>
            <w:u w:val="single" w:color="auto"/>
            <w:color w:val="0000FF"/>
          </w:rPr>
          <w:t>First Amendment to ABL Credit Agreement dated as of January 26, 2021, by and among Rent-A-Center, Inc., each other Loan Party</w:t>
        </w:r>
      </w:hyperlink>
      <w:r>
        <w:rPr>
          <w:rFonts w:ascii="Times New Roman" w:cs="Times New Roman" w:eastAsia="Times New Roman" w:hAnsi="Times New Roman"/>
          <w:sz w:val="18"/>
          <w:szCs w:val="18"/>
          <w:color w:val="auto"/>
        </w:rPr>
        <w:t xml:space="preserve"> </w:t>
      </w:r>
      <w:hyperlink r:id="rId151">
        <w:r>
          <w:rPr>
            <w:rFonts w:ascii="Times New Roman" w:cs="Times New Roman" w:eastAsia="Times New Roman" w:hAnsi="Times New Roman"/>
            <w:sz w:val="18"/>
            <w:szCs w:val="18"/>
            <w:u w:val="single" w:color="auto"/>
            <w:color w:val="0000FF"/>
          </w:rPr>
          <w:t>party thereto, JPMorgan Chase Bank, N.A., as administrative agent and each of the Lenders party thereto (Incorporated herein by</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reference to Exhibit 10.1 to the registrant's Current Report on Form 8-K dated as of January 27, 2021).</w:t>
        </w:r>
      </w:hyperlink>
    </w:p>
    <w:p>
      <w:pPr>
        <w:spacing w:after="0" w:line="57" w:lineRule="exact"/>
        <w:rPr>
          <w:sz w:val="20"/>
          <w:szCs w:val="20"/>
          <w:color w:val="auto"/>
        </w:rPr>
      </w:pPr>
    </w:p>
    <w:p>
      <w:pPr>
        <w:jc w:val="right"/>
        <w:ind w:left="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10.32      </w:t>
      </w:r>
      <w:hyperlink r:id="rId152">
        <w:r>
          <w:rPr>
            <w:rFonts w:ascii="Times New Roman" w:cs="Times New Roman" w:eastAsia="Times New Roman" w:hAnsi="Times New Roman"/>
            <w:sz w:val="18"/>
            <w:szCs w:val="18"/>
            <w:u w:val="single" w:color="auto"/>
            <w:color w:val="0000FF"/>
          </w:rPr>
          <w:t>Term Loan Guarantee and Collateral Agreement, dated as of August 5, 2019, between Rent-A-Center, Inc., its subsidiaries named as</w:t>
        </w:r>
      </w:hyperlink>
      <w:r>
        <w:rPr>
          <w:rFonts w:ascii="Times New Roman" w:cs="Times New Roman" w:eastAsia="Times New Roman" w:hAnsi="Times New Roman"/>
          <w:sz w:val="18"/>
          <w:szCs w:val="18"/>
          <w:color w:val="auto"/>
        </w:rPr>
        <w:t xml:space="preserve"> </w:t>
      </w:r>
      <w:hyperlink r:id="rId152">
        <w:r>
          <w:rPr>
            <w:rFonts w:ascii="Times New Roman" w:cs="Times New Roman" w:eastAsia="Times New Roman" w:hAnsi="Times New Roman"/>
            <w:sz w:val="18"/>
            <w:szCs w:val="18"/>
            <w:u w:val="single" w:color="auto"/>
            <w:color w:val="0000FF"/>
          </w:rPr>
          <w:t>guarantors therein and JPMorgan Chase Bank, N.A., as administrative agent (Incorporated herein by reference to Exhibit 10.44 to the</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registrant's Current Report on Form 10-Q on August 9, 2019.)</w:t>
        </w:r>
      </w:hyperlink>
    </w:p>
    <w:p>
      <w:pPr>
        <w:spacing w:after="0" w:line="57" w:lineRule="exact"/>
        <w:rPr>
          <w:sz w:val="20"/>
          <w:szCs w:val="20"/>
          <w:color w:val="auto"/>
        </w:rPr>
      </w:pPr>
    </w:p>
    <w:p>
      <w:pPr>
        <w:jc w:val="right"/>
        <w:ind w:left="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10.33      </w:t>
      </w:r>
      <w:hyperlink r:id="rId153">
        <w:r>
          <w:rPr>
            <w:rFonts w:ascii="Times New Roman" w:cs="Times New Roman" w:eastAsia="Times New Roman" w:hAnsi="Times New Roman"/>
            <w:sz w:val="18"/>
            <w:szCs w:val="18"/>
            <w:u w:val="single" w:color="auto"/>
            <w:color w:val="0000FF"/>
          </w:rPr>
          <w:t>ABL Guarantee and Collateral Agreement, dated as of August 5, 2019, between Rent-A-Center, Inc., its subsidiaries named as</w:t>
        </w:r>
      </w:hyperlink>
      <w:r>
        <w:rPr>
          <w:rFonts w:ascii="Times New Roman" w:cs="Times New Roman" w:eastAsia="Times New Roman" w:hAnsi="Times New Roman"/>
          <w:sz w:val="18"/>
          <w:szCs w:val="18"/>
          <w:color w:val="auto"/>
        </w:rPr>
        <w:t xml:space="preserve"> </w:t>
      </w:r>
      <w:hyperlink r:id="rId153">
        <w:r>
          <w:rPr>
            <w:rFonts w:ascii="Times New Roman" w:cs="Times New Roman" w:eastAsia="Times New Roman" w:hAnsi="Times New Roman"/>
            <w:sz w:val="18"/>
            <w:szCs w:val="18"/>
            <w:u w:val="single" w:color="auto"/>
            <w:color w:val="0000FF"/>
          </w:rPr>
          <w:t>guarantors therein and JPMorgan Chase Bank, N.A., as administrative agent (Incorporated herein by reference to Exhibit 10.45 to the</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registrant's Quarterly Report on Form 10-Q on August 9, 2019.)</w:t>
        </w:r>
      </w:hyperlink>
    </w:p>
    <w:p>
      <w:pPr>
        <w:spacing w:after="0" w:line="57" w:lineRule="exact"/>
        <w:rPr>
          <w:sz w:val="20"/>
          <w:szCs w:val="20"/>
          <w:color w:val="auto"/>
        </w:rPr>
      </w:pPr>
    </w:p>
    <w:p>
      <w:pPr>
        <w:ind w:left="980" w:right="20" w:hanging="928"/>
        <w:spacing w:after="0" w:line="237"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10.34</w:t>
      </w:r>
      <w:r>
        <w:rPr>
          <w:sz w:val="20"/>
          <w:szCs w:val="20"/>
          <w:color w:val="auto"/>
        </w:rPr>
        <w:tab/>
      </w:r>
      <w:hyperlink r:id="rId154">
        <w:r>
          <w:rPr>
            <w:rFonts w:ascii="Times New Roman" w:cs="Times New Roman" w:eastAsia="Times New Roman" w:hAnsi="Times New Roman"/>
            <w:sz w:val="18"/>
            <w:szCs w:val="18"/>
            <w:u w:val="single" w:color="auto"/>
            <w:color w:val="0000FF"/>
          </w:rPr>
          <w:t>Agreement Containing Consent Order, dated February 21, 2020, by and between the Bureau of Competition and Rent-A-Center, Inc.</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(incorporated herein by reference to Exhibit 10.1 to the registrant's Current Report on Form 8-K dated as of February 21, 2020.)</w:t>
        </w:r>
      </w:hyperlink>
    </w:p>
    <w:p>
      <w:pPr>
        <w:spacing w:after="0" w:line="64" w:lineRule="exact"/>
        <w:rPr>
          <w:sz w:val="20"/>
          <w:szCs w:val="20"/>
          <w:color w:val="auto"/>
        </w:rPr>
      </w:pPr>
    </w:p>
    <w:p>
      <w:pPr>
        <w:jc w:val="right"/>
        <w:ind w:left="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10.35      </w:t>
      </w:r>
      <w:hyperlink r:id="rId155">
        <w:r>
          <w:rPr>
            <w:rFonts w:ascii="Times New Roman" w:cs="Times New Roman" w:eastAsia="Times New Roman" w:hAnsi="Times New Roman"/>
            <w:sz w:val="18"/>
            <w:szCs w:val="18"/>
            <w:u w:val="single" w:color="auto"/>
            <w:color w:val="0000FF"/>
          </w:rPr>
          <w:t>ABL Credit Agreement dated as of February 17, 2021, among Rent-A-Center, Inc., as Borrower, the several lenders from time to time</w:t>
        </w:r>
      </w:hyperlink>
      <w:r>
        <w:rPr>
          <w:rFonts w:ascii="Times New Roman" w:cs="Times New Roman" w:eastAsia="Times New Roman" w:hAnsi="Times New Roman"/>
          <w:sz w:val="18"/>
          <w:szCs w:val="18"/>
          <w:color w:val="auto"/>
        </w:rPr>
        <w:t xml:space="preserve"> </w:t>
      </w:r>
      <w:hyperlink r:id="rId155">
        <w:r>
          <w:rPr>
            <w:rFonts w:ascii="Times New Roman" w:cs="Times New Roman" w:eastAsia="Times New Roman" w:hAnsi="Times New Roman"/>
            <w:sz w:val="18"/>
            <w:szCs w:val="18"/>
            <w:u w:val="single" w:color="auto"/>
            <w:color w:val="0000FF"/>
          </w:rPr>
          <w:t>party thereto and JPMorgan Chase Bank, N.A., as Administrative Agent (Incorporated herein by reference to Exhibit 10.2 to the</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registrant's Current Report on Form 8-K dated as of February 17, 2021.)</w:t>
        </w:r>
      </w:hyperlink>
    </w:p>
    <w:p>
      <w:pPr>
        <w:spacing w:after="0" w:line="111" w:lineRule="exact"/>
        <w:rPr>
          <w:sz w:val="20"/>
          <w:szCs w:val="20"/>
          <w:color w:val="auto"/>
        </w:rPr>
      </w:pPr>
    </w:p>
    <w:p>
      <w:pPr>
        <w:jc w:val="right"/>
        <w:ind w:left="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10.36      </w:t>
      </w:r>
      <w:hyperlink r:id="rId156">
        <w:r>
          <w:rPr>
            <w:rFonts w:ascii="Times New Roman" w:cs="Times New Roman" w:eastAsia="Times New Roman" w:hAnsi="Times New Roman"/>
            <w:sz w:val="18"/>
            <w:szCs w:val="18"/>
            <w:u w:val="single" w:color="auto"/>
            <w:color w:val="0000FF"/>
          </w:rPr>
          <w:t>Term Loan Credit Agreement dated as of February 17, 2021, among Rent-A-Center, Inc., as Borrower, the several lenders from time to</w:t>
        </w:r>
      </w:hyperlink>
      <w:r>
        <w:rPr>
          <w:rFonts w:ascii="Times New Roman" w:cs="Times New Roman" w:eastAsia="Times New Roman" w:hAnsi="Times New Roman"/>
          <w:sz w:val="18"/>
          <w:szCs w:val="18"/>
          <w:color w:val="auto"/>
        </w:rPr>
        <w:t xml:space="preserve"> </w:t>
      </w:r>
      <w:hyperlink r:id="rId156">
        <w:r>
          <w:rPr>
            <w:rFonts w:ascii="Times New Roman" w:cs="Times New Roman" w:eastAsia="Times New Roman" w:hAnsi="Times New Roman"/>
            <w:sz w:val="18"/>
            <w:szCs w:val="18"/>
            <w:u w:val="single" w:color="auto"/>
            <w:color w:val="0000FF"/>
          </w:rPr>
          <w:t>time party thereto and JPMorgan Chase Bank, N.A., as Administrative Agent (Incorporated herein by reference to Exhibit 10.3 to the</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registrant's Current Report on Form 8-K dated as of February 17, 2021.)</w:t>
        </w:r>
      </w:hyperlink>
    </w:p>
    <w:p>
      <w:pPr>
        <w:spacing w:after="0" w:line="111" w:lineRule="exact"/>
        <w:rPr>
          <w:sz w:val="20"/>
          <w:szCs w:val="20"/>
          <w:color w:val="auto"/>
        </w:rPr>
      </w:pPr>
    </w:p>
    <w:p>
      <w:pPr>
        <w:jc w:val="right"/>
        <w:ind w:left="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10.37      </w:t>
      </w:r>
      <w:hyperlink r:id="rId157">
        <w:r>
          <w:rPr>
            <w:rFonts w:ascii="Times New Roman" w:cs="Times New Roman" w:eastAsia="Times New Roman" w:hAnsi="Times New Roman"/>
            <w:sz w:val="18"/>
            <w:szCs w:val="18"/>
            <w:u w:val="single" w:color="auto"/>
            <w:color w:val="0000FF"/>
          </w:rPr>
          <w:t>Registration Rights Agreement, dated as of February 17, 2021, by and among Rent-A-Center, Inc. and certain former owners of Acima</w:t>
        </w:r>
      </w:hyperlink>
      <w:r>
        <w:rPr>
          <w:rFonts w:ascii="Times New Roman" w:cs="Times New Roman" w:eastAsia="Times New Roman" w:hAnsi="Times New Roman"/>
          <w:sz w:val="18"/>
          <w:szCs w:val="18"/>
          <w:color w:val="auto"/>
        </w:rPr>
        <w:t xml:space="preserve"> </w:t>
      </w:r>
      <w:hyperlink r:id="rId157">
        <w:r>
          <w:rPr>
            <w:rFonts w:ascii="Times New Roman" w:cs="Times New Roman" w:eastAsia="Times New Roman" w:hAnsi="Times New Roman"/>
            <w:sz w:val="18"/>
            <w:szCs w:val="18"/>
            <w:u w:val="single" w:color="auto"/>
            <w:color w:val="0000FF"/>
          </w:rPr>
          <w:t>Holdings, LLC (Incorporated herein by reference to Exhibit 10.1 to the registrant's Current Report on Form 8-K dated as of February</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17, 2021.)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780" w:top="1440" w:right="359" w:bottom="1440" w:gutter="0" w:footer="0" w:header="0"/>
        </w:sectPr>
      </w:pPr>
    </w:p>
    <w:bookmarkStart w:id="96" w:name="page97"/>
    <w:bookmarkEnd w:id="96"/>
    <w:p>
      <w:pPr>
        <w:spacing w:after="0" w:line="86"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10.38</w:t>
            </w:r>
          </w:p>
        </w:tc>
        <w:tc>
          <w:tcPr>
            <w:tcW w:w="10020" w:type="dxa"/>
            <w:vAlign w:val="bottom"/>
            <w:gridSpan w:val="25"/>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First Amendment to Term Loan Credit Agreement, dated as of September 21, 2021, by and among Rent-A-Center, Inc., the other Loan</w:t>
              </w:r>
            </w:hyperlink>
          </w:p>
        </w:tc>
      </w:tr>
      <w:tr>
        <w:trPr>
          <w:trHeight w:val="155"/>
        </w:trPr>
        <w:tc>
          <w:tcPr>
            <w:tcW w:w="110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Parties party thereto, the Lenders party thereto and JPMorgan Chase Bank, N.A., as administrative agent (incorporated herein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9960" w:type="dxa"/>
            <w:vAlign w:val="bottom"/>
            <w:gridSpan w:val="22"/>
          </w:tcPr>
          <w:p>
            <w:pPr>
              <w:spacing w:after="0" w:line="16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reference to Exhibit 10.1 to the registrant's Current Report on Form 8-K dated as of September 21,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10.39</w:t>
            </w:r>
          </w:p>
        </w:tc>
        <w:tc>
          <w:tcPr>
            <w:tcW w:w="10020" w:type="dxa"/>
            <w:vAlign w:val="bottom"/>
            <w:gridSpan w:val="25"/>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Rent-A-Center, Inc. 2021 Long-Term Incentive Plan (incorporated herein by reference to Exhibit 10.1 to the registrant's Current Report</w:t>
              </w:r>
            </w:hyperlink>
          </w:p>
        </w:tc>
      </w:tr>
      <w:tr>
        <w:trPr>
          <w:trHeight w:val="155"/>
        </w:trPr>
        <w:tc>
          <w:tcPr>
            <w:tcW w:w="1100" w:type="dxa"/>
            <w:vAlign w:val="bottom"/>
          </w:tcPr>
          <w:p>
            <w:pPr>
              <w:spacing w:after="0"/>
              <w:rPr>
                <w:sz w:val="13"/>
                <w:szCs w:val="13"/>
                <w:color w:val="auto"/>
              </w:rPr>
            </w:pPr>
          </w:p>
        </w:tc>
        <w:tc>
          <w:tcPr>
            <w:tcW w:w="99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on Form 8-K dated as of June 8, 2021)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10.40</w:t>
            </w:r>
          </w:p>
        </w:tc>
        <w:tc>
          <w:tcPr>
            <w:tcW w:w="10020" w:type="dxa"/>
            <w:vAlign w:val="bottom"/>
            <w:gridSpan w:val="25"/>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 of Rent-A-Center, Inc. 2021 Long-Term Incentive Plan Restricted Stock Unit Award Agreement (incorporated herein by</w:t>
              </w:r>
            </w:hyperlink>
          </w:p>
        </w:tc>
      </w:tr>
      <w:tr>
        <w:trPr>
          <w:trHeight w:val="156"/>
        </w:trPr>
        <w:tc>
          <w:tcPr>
            <w:tcW w:w="1100" w:type="dxa"/>
            <w:vAlign w:val="bottom"/>
          </w:tcPr>
          <w:p>
            <w:pPr>
              <w:spacing w:after="0"/>
              <w:rPr>
                <w:sz w:val="13"/>
                <w:szCs w:val="13"/>
                <w:color w:val="auto"/>
              </w:rPr>
            </w:pPr>
          </w:p>
        </w:tc>
        <w:tc>
          <w:tcPr>
            <w:tcW w:w="98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reference to Exhibit 10.2 to the registrant's Current Report on Form 8-K dated as of June 8,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10.41</w:t>
            </w:r>
          </w:p>
        </w:tc>
        <w:tc>
          <w:tcPr>
            <w:tcW w:w="10020" w:type="dxa"/>
            <w:vAlign w:val="bottom"/>
            <w:gridSpan w:val="25"/>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Rent-A-Center, Inc. 2021 Long-Term Incentive Plan Performance Stock Unit Award Agreement (incorporated herein by</w:t>
              </w:r>
            </w:hyperlink>
          </w:p>
        </w:tc>
      </w:tr>
      <w:tr>
        <w:trPr>
          <w:trHeight w:val="155"/>
        </w:trPr>
        <w:tc>
          <w:tcPr>
            <w:tcW w:w="1100" w:type="dxa"/>
            <w:vAlign w:val="bottom"/>
          </w:tcPr>
          <w:p>
            <w:pPr>
              <w:spacing w:after="0"/>
              <w:rPr>
                <w:sz w:val="13"/>
                <w:szCs w:val="13"/>
                <w:color w:val="auto"/>
              </w:rPr>
            </w:pPr>
          </w:p>
        </w:tc>
        <w:tc>
          <w:tcPr>
            <w:tcW w:w="98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reference to Exhibit 10.3 to the registrant's Current Report on Form 8-K dated as of June 8, 2021)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10.42</w:t>
            </w:r>
          </w:p>
        </w:tc>
        <w:tc>
          <w:tcPr>
            <w:tcW w:w="10020" w:type="dxa"/>
            <w:vAlign w:val="bottom"/>
            <w:gridSpan w:val="25"/>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Rent-A-Center, Inc. 2021 Long-Term Incentive Plan Stock Option Award Agreement (incorporated herein by reference to</w:t>
              </w:r>
            </w:hyperlink>
          </w:p>
        </w:tc>
      </w:tr>
      <w:tr>
        <w:trPr>
          <w:trHeight w:val="156"/>
        </w:trPr>
        <w:tc>
          <w:tcPr>
            <w:tcW w:w="1100" w:type="dxa"/>
            <w:vAlign w:val="bottom"/>
          </w:tcPr>
          <w:p>
            <w:pPr>
              <w:spacing w:after="0"/>
              <w:rPr>
                <w:sz w:val="13"/>
                <w:szCs w:val="13"/>
                <w:color w:val="auto"/>
              </w:rPr>
            </w:pPr>
          </w:p>
        </w:tc>
        <w:tc>
          <w:tcPr>
            <w:tcW w:w="99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Exhibit 10.4 to the registrant's Current Report on Form 8-K dated as of June 8,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10.43</w:t>
            </w:r>
          </w:p>
        </w:tc>
        <w:tc>
          <w:tcPr>
            <w:tcW w:w="10020" w:type="dxa"/>
            <w:vAlign w:val="bottom"/>
            <w:gridSpan w:val="25"/>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Form of Rent-A-Center, Inc. 2021 Long-Term Incentive Plan Deferred Stock Unit Award Agreement (Incorporated herein by reference</w:t>
              </w:r>
            </w:hyperlink>
          </w:p>
        </w:tc>
      </w:tr>
      <w:tr>
        <w:trPr>
          <w:trHeight w:val="156"/>
        </w:trPr>
        <w:tc>
          <w:tcPr>
            <w:tcW w:w="1100" w:type="dxa"/>
            <w:vAlign w:val="bottom"/>
          </w:tcPr>
          <w:p>
            <w:pPr>
              <w:spacing w:after="0"/>
              <w:rPr>
                <w:sz w:val="13"/>
                <w:szCs w:val="13"/>
                <w:color w:val="auto"/>
              </w:rPr>
            </w:pPr>
          </w:p>
        </w:tc>
        <w:tc>
          <w:tcPr>
            <w:tcW w:w="63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to Exhibit 10.5 to the registrant's Current Report on Form 8-K dated as of June 8, 2021.)</w:t>
              </w:r>
            </w:hyperlink>
          </w:p>
        </w:tc>
        <w:tc>
          <w:tcPr>
            <w:tcW w:w="34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10.44</w:t>
            </w:r>
          </w:p>
        </w:tc>
        <w:tc>
          <w:tcPr>
            <w:tcW w:w="10020" w:type="dxa"/>
            <w:vAlign w:val="bottom"/>
            <w:gridSpan w:val="25"/>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First Amendment to ABL Credit Agreement, dated as of August 10, 2022, by and among Rent-A-Center, Inc., the Lenders party thereto</w:t>
              </w:r>
            </w:hyperlink>
          </w:p>
        </w:tc>
      </w:tr>
      <w:tr>
        <w:trPr>
          <w:trHeight w:val="155"/>
        </w:trPr>
        <w:tc>
          <w:tcPr>
            <w:tcW w:w="1100" w:type="dxa"/>
            <w:vAlign w:val="bottom"/>
          </w:tcPr>
          <w:p>
            <w:pPr>
              <w:spacing w:after="0"/>
              <w:rPr>
                <w:sz w:val="13"/>
                <w:szCs w:val="13"/>
                <w:color w:val="auto"/>
              </w:rPr>
            </w:pPr>
          </w:p>
        </w:tc>
        <w:tc>
          <w:tcPr>
            <w:tcW w:w="100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and JPMorgan Chase Bank, N.A., as administrative agent (Incorporated herein by reference to Exhibit 10.1 to the registrant's Quarterly</w:t>
              </w:r>
            </w:hyperlink>
          </w:p>
        </w:tc>
        <w:tc>
          <w:tcPr>
            <w:tcW w:w="20" w:type="dxa"/>
            <w:vAlign w:val="bottom"/>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984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Report on Form 10-Q on November 3, 2022.)</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318"/>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21.1*</w:t>
            </w:r>
          </w:p>
        </w:tc>
        <w:tc>
          <w:tcPr>
            <w:tcW w:w="32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Subsidiaries of Rent-A-Center, Inc.</w:t>
            </w:r>
          </w:p>
        </w:tc>
        <w:tc>
          <w:tcPr>
            <w:tcW w:w="6740" w:type="dxa"/>
            <w:vAlign w:val="bottom"/>
            <w:gridSpan w:val="17"/>
          </w:tcPr>
          <w:p>
            <w:pPr>
              <w:spacing w:after="0"/>
              <w:rPr>
                <w:sz w:val="24"/>
                <w:szCs w:val="24"/>
                <w:color w:val="auto"/>
              </w:rPr>
            </w:pPr>
          </w:p>
        </w:tc>
      </w:tr>
      <w:tr>
        <w:trPr>
          <w:trHeight w:val="318"/>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23.1*</w:t>
            </w:r>
          </w:p>
        </w:tc>
        <w:tc>
          <w:tcPr>
            <w:tcW w:w="22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Consent of Ernst &amp; Young LLP</w:t>
            </w:r>
          </w:p>
        </w:tc>
        <w:tc>
          <w:tcPr>
            <w:tcW w:w="260" w:type="dxa"/>
            <w:vAlign w:val="bottom"/>
            <w:tcBorders>
              <w:top w:val="single" w:sz="8" w:color="0000FF"/>
            </w:tcBorders>
          </w:tcPr>
          <w:p>
            <w:pPr>
              <w:spacing w:after="0"/>
              <w:rPr>
                <w:sz w:val="24"/>
                <w:szCs w:val="24"/>
                <w:color w:val="auto"/>
              </w:rPr>
            </w:pPr>
          </w:p>
        </w:tc>
        <w:tc>
          <w:tcPr>
            <w:tcW w:w="7480" w:type="dxa"/>
            <w:vAlign w:val="bottom"/>
            <w:gridSpan w:val="19"/>
          </w:tcPr>
          <w:p>
            <w:pPr>
              <w:spacing w:after="0"/>
              <w:rPr>
                <w:sz w:val="24"/>
                <w:szCs w:val="24"/>
                <w:color w:val="auto"/>
              </w:rPr>
            </w:pPr>
          </w:p>
        </w:tc>
      </w:tr>
      <w:tr>
        <w:trPr>
          <w:trHeight w:val="263"/>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31.1*</w:t>
            </w:r>
          </w:p>
        </w:tc>
        <w:tc>
          <w:tcPr>
            <w:tcW w:w="100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pursuant to Rule 13a-14(a) of the Securities Exchange Act of 1934 implementing Section 302 of the Sarbanes-Oxley Act</w:t>
            </w:r>
          </w:p>
        </w:tc>
      </w:tr>
      <w:tr>
        <w:trPr>
          <w:trHeight w:val="156"/>
        </w:trPr>
        <w:tc>
          <w:tcPr>
            <w:tcW w:w="1100" w:type="dxa"/>
            <w:vAlign w:val="bottom"/>
          </w:tcPr>
          <w:p>
            <w:pPr>
              <w:spacing w:after="0"/>
              <w:rPr>
                <w:sz w:val="13"/>
                <w:szCs w:val="13"/>
                <w:color w:val="auto"/>
              </w:rPr>
            </w:pPr>
          </w:p>
        </w:tc>
        <w:tc>
          <w:tcPr>
            <w:tcW w:w="9920" w:type="dxa"/>
            <w:vAlign w:val="bottom"/>
            <w:tcBorders>
              <w:top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of 2002 by Mitchell E. Fadel</w:t>
            </w:r>
          </w:p>
        </w:tc>
        <w:tc>
          <w:tcPr>
            <w:tcW w:w="100" w:type="dxa"/>
            <w:vAlign w:val="bottom"/>
            <w:gridSpan w:val="5"/>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72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331"/>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31.2*</w:t>
            </w:r>
          </w:p>
        </w:tc>
        <w:tc>
          <w:tcPr>
            <w:tcW w:w="100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pursuant to Rule 13a-14(a) of the Securities Exchange Act of 1934 implementing Section 302 of the Sarbanes-Oxley Act</w:t>
            </w:r>
          </w:p>
        </w:tc>
      </w:tr>
      <w:tr>
        <w:trPr>
          <w:trHeight w:val="155"/>
        </w:trPr>
        <w:tc>
          <w:tcPr>
            <w:tcW w:w="1100" w:type="dxa"/>
            <w:vAlign w:val="bottom"/>
          </w:tcPr>
          <w:p>
            <w:pPr>
              <w:spacing w:after="0"/>
              <w:rPr>
                <w:sz w:val="13"/>
                <w:szCs w:val="13"/>
                <w:color w:val="auto"/>
              </w:rPr>
            </w:pPr>
          </w:p>
        </w:tc>
        <w:tc>
          <w:tcPr>
            <w:tcW w:w="9920" w:type="dxa"/>
            <w:vAlign w:val="bottom"/>
            <w:tcBorders>
              <w:top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of 2002 by Fahmi Karam</w:t>
            </w:r>
          </w:p>
        </w:tc>
        <w:tc>
          <w:tcPr>
            <w:tcW w:w="100" w:type="dxa"/>
            <w:vAlign w:val="bottom"/>
            <w:gridSpan w:val="5"/>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980" w:type="dxa"/>
            <w:vAlign w:val="bottom"/>
            <w:gridSpan w:val="11"/>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331"/>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32.1*</w:t>
            </w:r>
          </w:p>
        </w:tc>
        <w:tc>
          <w:tcPr>
            <w:tcW w:w="100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by Mitchell E.</w:t>
            </w:r>
          </w:p>
        </w:tc>
      </w:tr>
      <w:tr>
        <w:trPr>
          <w:trHeight w:val="156"/>
        </w:trPr>
        <w:tc>
          <w:tcPr>
            <w:tcW w:w="1100" w:type="dxa"/>
            <w:vAlign w:val="bottom"/>
          </w:tcPr>
          <w:p>
            <w:pPr>
              <w:spacing w:after="0"/>
              <w:rPr>
                <w:sz w:val="13"/>
                <w:szCs w:val="13"/>
                <w:color w:val="auto"/>
              </w:rPr>
            </w:pPr>
          </w:p>
        </w:tc>
        <w:tc>
          <w:tcPr>
            <w:tcW w:w="980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Fadel</w:t>
            </w:r>
          </w:p>
        </w:tc>
        <w:tc>
          <w:tcPr>
            <w:tcW w:w="80" w:type="dxa"/>
            <w:vAlign w:val="bottom"/>
            <w:gridSpan w:val="4"/>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380" w:type="dxa"/>
            <w:vAlign w:val="bottom"/>
            <w:gridSpan w:val="1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331"/>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32.2*</w:t>
            </w:r>
          </w:p>
        </w:tc>
        <w:tc>
          <w:tcPr>
            <w:tcW w:w="100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by Fahmi</w:t>
            </w:r>
          </w:p>
        </w:tc>
      </w:tr>
      <w:tr>
        <w:trPr>
          <w:trHeight w:val="155"/>
        </w:trPr>
        <w:tc>
          <w:tcPr>
            <w:tcW w:w="1100" w:type="dxa"/>
            <w:vAlign w:val="bottom"/>
          </w:tcPr>
          <w:p>
            <w:pPr>
              <w:spacing w:after="0"/>
              <w:rPr>
                <w:sz w:val="13"/>
                <w:szCs w:val="13"/>
                <w:color w:val="auto"/>
              </w:rPr>
            </w:pPr>
          </w:p>
        </w:tc>
        <w:tc>
          <w:tcPr>
            <w:tcW w:w="50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7"/>
              </w:rPr>
              <w:t>Karam</w:t>
            </w:r>
          </w:p>
        </w:tc>
        <w:tc>
          <w:tcPr>
            <w:tcW w:w="9380" w:type="dxa"/>
            <w:vAlign w:val="bottom"/>
            <w:tcBorders>
              <w:top w:val="single" w:sz="8" w:color="0000FF"/>
            </w:tcBorders>
            <w:gridSpan w:val="16"/>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318"/>
        </w:trPr>
        <w:tc>
          <w:tcPr>
            <w:tcW w:w="11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101.INS*</w:t>
            </w:r>
          </w:p>
        </w:tc>
        <w:tc>
          <w:tcPr>
            <w:tcW w:w="100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files because its XBRL tags are embedded</w:t>
            </w:r>
          </w:p>
        </w:tc>
      </w:tr>
      <w:tr>
        <w:trPr>
          <w:trHeight w:val="234"/>
        </w:trPr>
        <w:tc>
          <w:tcPr>
            <w:tcW w:w="1100" w:type="dxa"/>
            <w:vAlign w:val="bottom"/>
          </w:tcPr>
          <w:p>
            <w:pPr>
              <w:spacing w:after="0"/>
              <w:rPr>
                <w:sz w:val="20"/>
                <w:szCs w:val="20"/>
                <w:color w:val="auto"/>
              </w:rPr>
            </w:pPr>
          </w:p>
        </w:tc>
        <w:tc>
          <w:tcPr>
            <w:tcW w:w="100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46"/>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38"/>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101.CAL*</w:t>
            </w:r>
          </w:p>
        </w:tc>
        <w:tc>
          <w:tcPr>
            <w:tcW w:w="100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38"/>
        </w:trPr>
        <w:tc>
          <w:tcPr>
            <w:tcW w:w="11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101.DEF*</w:t>
            </w:r>
          </w:p>
        </w:tc>
        <w:tc>
          <w:tcPr>
            <w:tcW w:w="100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38"/>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101.LAB*</w:t>
            </w:r>
          </w:p>
        </w:tc>
        <w:tc>
          <w:tcPr>
            <w:tcW w:w="100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38"/>
        </w:trPr>
        <w:tc>
          <w:tcPr>
            <w:tcW w:w="11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101.PRE*</w:t>
            </w:r>
          </w:p>
        </w:tc>
        <w:tc>
          <w:tcPr>
            <w:tcW w:w="100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83"/>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104*</w:t>
            </w:r>
          </w:p>
        </w:tc>
        <w:tc>
          <w:tcPr>
            <w:tcW w:w="100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contained in Exhibit 101)</w:t>
            </w:r>
          </w:p>
        </w:tc>
      </w:tr>
    </w:tbl>
    <w:p>
      <w:pPr>
        <w:spacing w:after="0" w:line="112" w:lineRule="exact"/>
        <w:rPr>
          <w:sz w:val="20"/>
          <w:szCs w:val="20"/>
          <w:color w:val="auto"/>
        </w:rPr>
      </w:pPr>
    </w:p>
    <w:p>
      <w:pPr>
        <w:ind w:right="7380" w:firstLine="6"/>
        <w:spacing w:after="0" w:line="342" w:lineRule="auto"/>
        <w:tabs>
          <w:tab w:leader="none" w:pos="337"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 *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97" w:name="page98"/>
    <w:bookmarkEnd w:id="97"/>
    <w:p>
      <w:pPr>
        <w:spacing w:after="0" w:line="13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r>
        <w:rPr>
          <w:rFonts w:ascii="Times New Roman" w:cs="Times New Roman" w:eastAsia="Times New Roman" w:hAnsi="Times New Roman"/>
          <w:sz w:val="17"/>
          <w:szCs w:val="17"/>
          <w:b w:val="1"/>
          <w:bCs w:val="1"/>
          <w:i w:val="1"/>
          <w:i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8" w:name="page99"/>
    <w:bookmarkEnd w:id="98"/>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UPBOUND GROUP, INC.</w:t>
      </w:r>
    </w:p>
    <w:p>
      <w:pPr>
        <w:spacing w:after="0" w:line="297" w:lineRule="exact"/>
        <w:rPr>
          <w:sz w:val="20"/>
          <w:szCs w:val="20"/>
          <w:color w:val="auto"/>
        </w:rPr>
      </w:pPr>
    </w:p>
    <w:p>
      <w:pPr>
        <w:ind w:left="6760"/>
        <w:spacing w:after="0"/>
        <w:tabs>
          <w:tab w:leader="none" w:pos="8200" w:val="left"/>
          <w:tab w:leader="none" w:pos="8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M</w:t>
      </w:r>
      <w:r>
        <w:rPr>
          <w:rFonts w:ascii="Times New Roman" w:cs="Times New Roman" w:eastAsia="Times New Roman" w:hAnsi="Times New Roman"/>
          <w:sz w:val="14"/>
          <w:szCs w:val="14"/>
          <w:color w:val="auto"/>
        </w:rPr>
        <w:t>ITCHELL</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ADEL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26035</wp:posOffset>
            </wp:positionV>
            <wp:extent cx="26403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8">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0"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color w:val="auto"/>
        </w:rPr>
        <w:t>Mitchell E. Fadel</w:t>
      </w:r>
    </w:p>
    <w:p>
      <w:pPr>
        <w:spacing w:after="0" w:line="27"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2023</w:t>
      </w:r>
    </w:p>
    <w:p>
      <w:pPr>
        <w:spacing w:after="0" w:line="11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 indicated.</w:t>
      </w:r>
    </w:p>
    <w:p>
      <w:pPr>
        <w:sectPr>
          <w:pgSz w:w="11900" w:h="16838" w:orient="portrait"/>
          <w:cols w:equalWidth="0" w:num="1">
            <w:col w:w="11180"/>
          </w:cols>
          <w:pgMar w:left="320" w:top="1440" w:right="399" w:bottom="1440" w:gutter="0" w:footer="0" w:header="0"/>
        </w:sectPr>
      </w:pPr>
    </w:p>
    <w:p>
      <w:pPr>
        <w:ind w:left="204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77" w:lineRule="exact"/>
        <w:rPr>
          <w:sz w:val="20"/>
          <w:szCs w:val="20"/>
          <w:color w:val="auto"/>
        </w:rPr>
      </w:pPr>
    </w:p>
    <w:p>
      <w:pPr>
        <w:jc w:val="center"/>
        <w:ind w:left="280"/>
        <w:spacing w:after="0"/>
        <w:tabs>
          <w:tab w:leader="none" w:pos="160" w:val="left"/>
        </w:tabs>
        <w:rPr>
          <w:sz w:val="20"/>
          <w:szCs w:val="20"/>
          <w:color w:val="auto"/>
        </w:rPr>
      </w:pPr>
      <w:r>
        <w:rPr>
          <w:rFonts w:ascii="Times New Roman" w:cs="Times New Roman" w:eastAsia="Times New Roman" w:hAnsi="Times New Roman"/>
          <w:sz w:val="18"/>
          <w:szCs w:val="18"/>
          <w:color w:val="auto"/>
        </w:rPr>
        <w:t>/s/</w:t>
        <w:tab/>
        <w:t>M</w:t>
      </w:r>
      <w:r>
        <w:rPr>
          <w:rFonts w:ascii="Times New Roman" w:cs="Times New Roman" w:eastAsia="Times New Roman" w:hAnsi="Times New Roman"/>
          <w:sz w:val="14"/>
          <w:szCs w:val="14"/>
          <w:color w:val="auto"/>
        </w:rPr>
        <w:t>ITCHELL</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ADEL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95719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9">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Mitchell E. Fadel</w:t>
      </w:r>
    </w:p>
    <w:p>
      <w:pPr>
        <w:spacing w:after="0" w:line="200" w:lineRule="exact"/>
        <w:rPr>
          <w:sz w:val="20"/>
          <w:szCs w:val="20"/>
          <w:color w:val="auto"/>
        </w:rPr>
      </w:pPr>
    </w:p>
    <w:p>
      <w:pPr>
        <w:spacing w:after="0" w:line="201" w:lineRule="exact"/>
        <w:rPr>
          <w:sz w:val="20"/>
          <w:szCs w:val="20"/>
          <w:color w:val="auto"/>
        </w:rPr>
      </w:pPr>
    </w:p>
    <w:p>
      <w:pPr>
        <w:jc w:val="center"/>
        <w:ind w:left="280"/>
        <w:spacing w:after="0"/>
        <w:tabs>
          <w:tab w:leader="none" w:pos="1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4"/>
          <w:szCs w:val="14"/>
          <w:color w:val="auto"/>
        </w:rPr>
        <w:t>FAHMI W. KARAM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9571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0">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4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Fahmi W. Karam</w:t>
      </w:r>
    </w:p>
    <w:p>
      <w:pPr>
        <w:spacing w:after="0" w:line="387" w:lineRule="exact"/>
        <w:rPr>
          <w:sz w:val="20"/>
          <w:szCs w:val="20"/>
          <w:color w:val="auto"/>
        </w:rPr>
      </w:pPr>
    </w:p>
    <w:p>
      <w:pPr>
        <w:jc w:val="center"/>
        <w:ind w:left="280"/>
        <w:spacing w:after="0"/>
        <w:tabs>
          <w:tab w:leader="none" w:pos="160" w:val="left"/>
        </w:tabs>
        <w:rPr>
          <w:sz w:val="20"/>
          <w:szCs w:val="20"/>
          <w:color w:val="auto"/>
        </w:rPr>
      </w:pPr>
      <w:r>
        <w:rPr>
          <w:rFonts w:ascii="Times New Roman" w:cs="Times New Roman" w:eastAsia="Times New Roman" w:hAnsi="Times New Roman"/>
          <w:sz w:val="18"/>
          <w:szCs w:val="18"/>
          <w:color w:val="auto"/>
        </w:rPr>
        <w:t>/s/</w:t>
        <w:tab/>
        <w:t>J</w:t>
      </w:r>
      <w:r>
        <w:rPr>
          <w:rFonts w:ascii="Times New Roman" w:cs="Times New Roman" w:eastAsia="Times New Roman" w:hAnsi="Times New Roman"/>
          <w:sz w:val="14"/>
          <w:szCs w:val="14"/>
          <w:color w:val="auto"/>
        </w:rPr>
        <w:t>EFFREY</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9571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1">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Jeffrey J. Brown</w:t>
      </w:r>
    </w:p>
    <w:p>
      <w:pPr>
        <w:spacing w:after="0" w:line="239" w:lineRule="exact"/>
        <w:rPr>
          <w:sz w:val="20"/>
          <w:szCs w:val="20"/>
          <w:color w:val="auto"/>
        </w:rPr>
      </w:pPr>
    </w:p>
    <w:p>
      <w:pPr>
        <w:jc w:val="center"/>
        <w:ind w:left="260"/>
        <w:spacing w:after="0"/>
        <w:tabs>
          <w:tab w:leader="none" w:pos="140" w:val="left"/>
        </w:tabs>
        <w:rPr>
          <w:sz w:val="20"/>
          <w:szCs w:val="20"/>
          <w:color w:val="auto"/>
        </w:rPr>
      </w:pPr>
      <w:r>
        <w:rPr>
          <w:rFonts w:ascii="Times New Roman" w:cs="Times New Roman" w:eastAsia="Times New Roman" w:hAnsi="Times New Roman"/>
          <w:sz w:val="18"/>
          <w:szCs w:val="18"/>
          <w:color w:val="auto"/>
        </w:rPr>
        <w:t>/s/</w:t>
        <w:tab/>
        <w:t>C</w:t>
      </w:r>
      <w:r>
        <w:rPr>
          <w:rFonts w:ascii="Times New Roman" w:cs="Times New Roman" w:eastAsia="Times New Roman" w:hAnsi="Times New Roman"/>
          <w:sz w:val="14"/>
          <w:szCs w:val="14"/>
          <w:color w:val="auto"/>
        </w:rPr>
        <w:t>HRISTOPHER</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ETRICK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9571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2">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Christopher B. Hetrick</w:t>
      </w:r>
    </w:p>
    <w:p>
      <w:pPr>
        <w:spacing w:after="0" w:line="239" w:lineRule="exact"/>
        <w:rPr>
          <w:sz w:val="20"/>
          <w:szCs w:val="20"/>
          <w:color w:val="auto"/>
        </w:rPr>
      </w:pPr>
    </w:p>
    <w:p>
      <w:pPr>
        <w:jc w:val="center"/>
        <w:ind w:left="260"/>
        <w:spacing w:after="0"/>
        <w:tabs>
          <w:tab w:leader="none" w:pos="1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4"/>
          <w:szCs w:val="14"/>
          <w:color w:val="auto"/>
        </w:rPr>
        <w:t>HAROLD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95719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3">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Harold Lewis</w:t>
      </w:r>
    </w:p>
    <w:p>
      <w:pPr>
        <w:spacing w:after="0" w:line="239" w:lineRule="exact"/>
        <w:rPr>
          <w:sz w:val="20"/>
          <w:szCs w:val="20"/>
          <w:color w:val="auto"/>
        </w:rPr>
      </w:pPr>
    </w:p>
    <w:p>
      <w:pPr>
        <w:jc w:val="center"/>
        <w:ind w:left="260"/>
        <w:spacing w:after="0"/>
        <w:tabs>
          <w:tab w:leader="none" w:pos="1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4"/>
          <w:szCs w:val="14"/>
          <w:color w:val="auto"/>
        </w:rPr>
        <w:t>GLENN P.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9571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4">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Glenn P. Marino</w:t>
      </w:r>
    </w:p>
    <w:p>
      <w:pPr>
        <w:spacing w:after="0" w:line="239" w:lineRule="exact"/>
        <w:rPr>
          <w:sz w:val="20"/>
          <w:szCs w:val="20"/>
          <w:color w:val="auto"/>
        </w:rPr>
      </w:pPr>
    </w:p>
    <w:p>
      <w:pPr>
        <w:jc w:val="center"/>
        <w:ind w:left="280"/>
        <w:spacing w:after="0"/>
        <w:tabs>
          <w:tab w:leader="none" w:pos="1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4"/>
          <w:szCs w:val="14"/>
          <w:color w:val="auto"/>
        </w:rPr>
        <w:t>CAROL A. MCFATE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9571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5">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Carol A. McFate</w:t>
      </w:r>
    </w:p>
    <w:p>
      <w:pPr>
        <w:spacing w:after="0" w:line="239" w:lineRule="exact"/>
        <w:rPr>
          <w:sz w:val="20"/>
          <w:szCs w:val="20"/>
          <w:color w:val="auto"/>
        </w:rPr>
      </w:pPr>
    </w:p>
    <w:p>
      <w:pPr>
        <w:jc w:val="center"/>
        <w:ind w:left="260"/>
        <w:spacing w:after="0"/>
        <w:tabs>
          <w:tab w:leader="none" w:pos="1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4"/>
          <w:szCs w:val="14"/>
          <w:color w:val="auto"/>
        </w:rPr>
        <w:t>JEN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9571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6">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Jen You</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jc w:val="center"/>
              <w:ind w:right="332"/>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740" w:type="dxa"/>
            <w:vAlign w:val="bottom"/>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398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74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234"/>
        </w:trPr>
        <w:tc>
          <w:tcPr>
            <w:tcW w:w="3980" w:type="dxa"/>
            <w:vAlign w:val="bottom"/>
          </w:tcPr>
          <w:p>
            <w:pPr>
              <w:jc w:val="center"/>
              <w:ind w:right="312"/>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40" w:type="dxa"/>
            <w:vAlign w:val="bottom"/>
          </w:tcPr>
          <w:p>
            <w:pPr>
              <w:spacing w:after="0"/>
              <w:rPr>
                <w:sz w:val="20"/>
                <w:szCs w:val="20"/>
                <w:color w:val="auto"/>
              </w:rPr>
            </w:pPr>
          </w:p>
        </w:tc>
      </w:tr>
      <w:tr>
        <w:trPr>
          <w:trHeight w:val="630"/>
        </w:trPr>
        <w:tc>
          <w:tcPr>
            <w:tcW w:w="398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9"/>
              </w:rPr>
              <w:t>EVP, Chief Financial Officer (Principal Financial</w:t>
            </w:r>
          </w:p>
        </w:tc>
        <w:tc>
          <w:tcPr>
            <w:tcW w:w="174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234"/>
        </w:trPr>
        <w:tc>
          <w:tcPr>
            <w:tcW w:w="398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9"/>
              </w:rPr>
              <w:t>and Accounting Officer)</w:t>
            </w:r>
          </w:p>
        </w:tc>
        <w:tc>
          <w:tcPr>
            <w:tcW w:w="1740" w:type="dxa"/>
            <w:vAlign w:val="bottom"/>
          </w:tcPr>
          <w:p>
            <w:pPr>
              <w:spacing w:after="0"/>
              <w:rPr>
                <w:sz w:val="20"/>
                <w:szCs w:val="20"/>
                <w:color w:val="auto"/>
              </w:rPr>
            </w:pPr>
          </w:p>
        </w:tc>
      </w:tr>
      <w:tr>
        <w:trPr>
          <w:trHeight w:val="697"/>
        </w:trPr>
        <w:tc>
          <w:tcPr>
            <w:tcW w:w="398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702"/>
        </w:trPr>
        <w:tc>
          <w:tcPr>
            <w:tcW w:w="398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702"/>
        </w:trPr>
        <w:tc>
          <w:tcPr>
            <w:tcW w:w="398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702"/>
        </w:trPr>
        <w:tc>
          <w:tcPr>
            <w:tcW w:w="398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702"/>
        </w:trPr>
        <w:tc>
          <w:tcPr>
            <w:tcW w:w="398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702"/>
        </w:trPr>
        <w:tc>
          <w:tcPr>
            <w:tcW w:w="398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9"/>
              </w:rPr>
              <w:t>February 24, 2023</w:t>
            </w:r>
          </w:p>
        </w:tc>
      </w:tr>
    </w:tbl>
    <w:p>
      <w:pPr>
        <w:spacing w:after="0" w:line="429" w:lineRule="exact"/>
        <w:rPr>
          <w:sz w:val="20"/>
          <w:szCs w:val="20"/>
          <w:color w:val="auto"/>
        </w:rPr>
      </w:pPr>
    </w:p>
    <w:p>
      <w:pPr>
        <w:sectPr>
          <w:pgSz w:w="11900" w:h="16838" w:orient="portrait"/>
          <w:cols w:equalWidth="0" w:num="2">
            <w:col w:w="4400" w:space="720"/>
            <w:col w:w="6060"/>
          </w:cols>
          <w:pgMar w:left="320" w:top="144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80"/>
          </w:cols>
          <w:pgMar w:left="320" w:top="1440" w:right="399" w:bottom="1440" w:gutter="0" w:footer="0" w:header="0"/>
          <w:type w:val="continuous"/>
        </w:sectPr>
      </w:pPr>
    </w:p>
    <w:bookmarkStart w:id="99" w:name="page100"/>
    <w:bookmarkEnd w:id="99"/>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Exhibit 10.4</w:t>
      </w:r>
    </w:p>
    <w:p>
      <w:pPr>
        <w:spacing w:after="0" w:line="200" w:lineRule="exact"/>
        <w:rPr>
          <w:sz w:val="20"/>
          <w:szCs w:val="20"/>
          <w:color w:val="auto"/>
        </w:rPr>
      </w:pPr>
    </w:p>
    <w:p>
      <w:pPr>
        <w:spacing w:after="0" w:line="38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2"/>
          <w:szCs w:val="22"/>
          <w:color w:val="auto"/>
        </w:rPr>
        <w:t>Updated February 1, 2023</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RAC Board Compensation Overview – 2023 Program</w:t>
      </w: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6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6600" w:type="dxa"/>
            <w:vAlign w:val="bottom"/>
            <w:tcBorders>
              <w:top w:val="single" w:sz="8" w:color="auto"/>
              <w:bottom w:val="single" w:sz="8" w:color="auto"/>
              <w:right w:val="single" w:sz="8" w:color="auto"/>
            </w:tcBorders>
          </w:tcPr>
          <w:p>
            <w:pPr>
              <w:ind w:left="3040"/>
              <w:spacing w:after="0"/>
              <w:rPr>
                <w:sz w:val="20"/>
                <w:szCs w:val="20"/>
                <w:color w:val="auto"/>
              </w:rPr>
            </w:pPr>
            <w:r>
              <w:rPr>
                <w:rFonts w:ascii="Times New Roman" w:cs="Times New Roman" w:eastAsia="Times New Roman" w:hAnsi="Times New Roman"/>
                <w:sz w:val="18"/>
                <w:szCs w:val="18"/>
                <w:b w:val="1"/>
                <w:bCs w:val="1"/>
                <w:color w:val="auto"/>
              </w:rPr>
              <w:t>ITEM</w:t>
            </w:r>
          </w:p>
        </w:tc>
        <w:tc>
          <w:tcPr>
            <w:tcW w:w="120" w:type="dxa"/>
            <w:vAlign w:val="bottom"/>
            <w:tcBorders>
              <w:top w:val="single" w:sz="8" w:color="auto"/>
              <w:bottom w:val="single" w:sz="8" w:color="auto"/>
            </w:tcBorders>
          </w:tcPr>
          <w:p>
            <w:pPr>
              <w:spacing w:after="0"/>
              <w:rPr>
                <w:sz w:val="21"/>
                <w:szCs w:val="21"/>
                <w:color w:val="auto"/>
              </w:rPr>
            </w:pPr>
          </w:p>
        </w:tc>
        <w:tc>
          <w:tcPr>
            <w:tcW w:w="4080" w:type="dxa"/>
            <w:vAlign w:val="bottom"/>
            <w:tcBorders>
              <w:top w:val="single" w:sz="8" w:color="auto"/>
              <w:bottom w:val="single" w:sz="8" w:color="auto"/>
              <w:right w:val="single" w:sz="8" w:color="auto"/>
            </w:tcBorders>
          </w:tcPr>
          <w:p>
            <w:pPr>
              <w:ind w:left="1360"/>
              <w:spacing w:after="0"/>
              <w:rPr>
                <w:sz w:val="20"/>
                <w:szCs w:val="20"/>
                <w:color w:val="auto"/>
              </w:rPr>
            </w:pPr>
            <w:r>
              <w:rPr>
                <w:rFonts w:ascii="Times New Roman" w:cs="Times New Roman" w:eastAsia="Times New Roman" w:hAnsi="Times New Roman"/>
                <w:sz w:val="18"/>
                <w:szCs w:val="18"/>
                <w:b w:val="1"/>
                <w:bCs w:val="1"/>
                <w:color w:val="auto"/>
              </w:rPr>
              <w:t>2022 AMOUNT</w:t>
            </w:r>
          </w:p>
        </w:tc>
      </w:tr>
      <w:tr>
        <w:trPr>
          <w:trHeight w:val="169"/>
        </w:trPr>
        <w:tc>
          <w:tcPr>
            <w:tcW w:w="460" w:type="dxa"/>
            <w:vAlign w:val="bottom"/>
            <w:tcBorders>
              <w:left w:val="single" w:sz="8" w:color="auto"/>
              <w:right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(1)</w:t>
            </w:r>
          </w:p>
        </w:tc>
        <w:tc>
          <w:tcPr>
            <w:tcW w:w="66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 xml:space="preserve">Annual Retainers </w:t>
            </w:r>
            <w:r>
              <w:rPr>
                <w:rFonts w:ascii="Times New Roman" w:cs="Times New Roman" w:eastAsia="Times New Roman" w:hAnsi="Times New Roman"/>
                <w:sz w:val="18"/>
                <w:szCs w:val="18"/>
                <w:color w:val="auto"/>
              </w:rPr>
              <w:t>– Cash retainer amounts for non-employee directors, Chairman,</w:t>
            </w:r>
          </w:p>
        </w:tc>
        <w:tc>
          <w:tcPr>
            <w:tcW w:w="1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408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Board service (all directors including Chairman) -</w:t>
            </w:r>
          </w:p>
        </w:tc>
      </w:tr>
      <w:tr>
        <w:trPr>
          <w:trHeight w:val="180"/>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20"/>
              <w:spacing w:after="0" w:line="180" w:lineRule="exact"/>
              <w:rPr>
                <w:sz w:val="20"/>
                <w:szCs w:val="20"/>
                <w:color w:val="auto"/>
              </w:rPr>
            </w:pPr>
            <w:r>
              <w:rPr>
                <w:rFonts w:ascii="Times New Roman" w:cs="Times New Roman" w:eastAsia="Times New Roman" w:hAnsi="Times New Roman"/>
                <w:sz w:val="18"/>
                <w:szCs w:val="18"/>
                <w:color w:val="auto"/>
              </w:rPr>
              <w:t>Committee Chairs and Committee Members.</w:t>
            </w:r>
          </w:p>
        </w:tc>
        <w:tc>
          <w:tcPr>
            <w:tcW w:w="120" w:type="dxa"/>
            <w:vAlign w:val="bottom"/>
          </w:tcPr>
          <w:p>
            <w:pPr>
              <w:spacing w:after="0"/>
              <w:rPr>
                <w:sz w:val="15"/>
                <w:szCs w:val="15"/>
                <w:color w:val="auto"/>
              </w:rPr>
            </w:pPr>
          </w:p>
        </w:tc>
        <w:tc>
          <w:tcPr>
            <w:tcW w:w="40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8"/>
                <w:szCs w:val="18"/>
                <w:b w:val="1"/>
                <w:bCs w:val="1"/>
                <w:color w:val="auto"/>
              </w:rPr>
              <w:t>$77,500</w:t>
            </w:r>
          </w:p>
        </w:tc>
      </w:tr>
      <w:tr>
        <w:trPr>
          <w:trHeight w:val="184"/>
        </w:trPr>
        <w:tc>
          <w:tcPr>
            <w:tcW w:w="46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spacing w:after="0"/>
              <w:rPr>
                <w:sz w:val="16"/>
                <w:szCs w:val="16"/>
                <w:color w:val="auto"/>
              </w:rPr>
            </w:pPr>
          </w:p>
        </w:tc>
        <w:tc>
          <w:tcPr>
            <w:tcW w:w="4200" w:type="dxa"/>
            <w:vAlign w:val="bottom"/>
            <w:tcBorders>
              <w:right w:val="single" w:sz="8" w:color="auto"/>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 xml:space="preserve">• Chairman - </w:t>
            </w:r>
            <w:r>
              <w:rPr>
                <w:rFonts w:ascii="Times New Roman" w:cs="Times New Roman" w:eastAsia="Times New Roman" w:hAnsi="Times New Roman"/>
                <w:sz w:val="18"/>
                <w:szCs w:val="18"/>
                <w:b w:val="1"/>
                <w:bCs w:val="1"/>
                <w:color w:val="auto"/>
              </w:rPr>
              <w:t>$175,000</w:t>
            </w:r>
          </w:p>
        </w:tc>
      </w:tr>
      <w:tr>
        <w:trPr>
          <w:trHeight w:val="175"/>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spacing w:after="0"/>
              <w:rPr>
                <w:sz w:val="15"/>
                <w:szCs w:val="15"/>
                <w:color w:val="auto"/>
              </w:rPr>
            </w:pPr>
          </w:p>
        </w:tc>
        <w:tc>
          <w:tcPr>
            <w:tcW w:w="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4080" w:type="dxa"/>
            <w:vAlign w:val="bottom"/>
            <w:tcBorders>
              <w:right w:val="single" w:sz="8" w:color="auto"/>
            </w:tcBorders>
          </w:tcPr>
          <w:p>
            <w:pPr>
              <w:ind w:left="60"/>
              <w:spacing w:after="0" w:line="176" w:lineRule="exact"/>
              <w:rPr>
                <w:sz w:val="20"/>
                <w:szCs w:val="20"/>
                <w:color w:val="auto"/>
              </w:rPr>
            </w:pPr>
            <w:r>
              <w:rPr>
                <w:rFonts w:ascii="Times New Roman" w:cs="Times New Roman" w:eastAsia="Times New Roman" w:hAnsi="Times New Roman"/>
                <w:sz w:val="18"/>
                <w:szCs w:val="18"/>
                <w:color w:val="auto"/>
              </w:rPr>
              <w:t xml:space="preserve">Audit Chair -- </w:t>
            </w:r>
            <w:r>
              <w:rPr>
                <w:rFonts w:ascii="Times New Roman" w:cs="Times New Roman" w:eastAsia="Times New Roman" w:hAnsi="Times New Roman"/>
                <w:sz w:val="18"/>
                <w:szCs w:val="18"/>
                <w:b w:val="1"/>
                <w:bCs w:val="1"/>
                <w:color w:val="auto"/>
              </w:rPr>
              <w:t>$27,500</w:t>
            </w:r>
          </w:p>
        </w:tc>
      </w:tr>
      <w:tr>
        <w:trPr>
          <w:trHeight w:val="180"/>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spacing w:after="0"/>
              <w:rPr>
                <w:sz w:val="15"/>
                <w:szCs w:val="15"/>
                <w:color w:val="auto"/>
              </w:rPr>
            </w:pPr>
          </w:p>
        </w:tc>
        <w:tc>
          <w:tcPr>
            <w:tcW w:w="4200" w:type="dxa"/>
            <w:vAlign w:val="bottom"/>
            <w:tcBorders>
              <w:right w:val="single" w:sz="8" w:color="auto"/>
            </w:tcBorders>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 xml:space="preserve">• Audit Member -- </w:t>
            </w:r>
            <w:r>
              <w:rPr>
                <w:rFonts w:ascii="Times New Roman" w:cs="Times New Roman" w:eastAsia="Times New Roman" w:hAnsi="Times New Roman"/>
                <w:sz w:val="18"/>
                <w:szCs w:val="18"/>
                <w:b w:val="1"/>
                <w:bCs w:val="1"/>
                <w:color w:val="auto"/>
              </w:rPr>
              <w:t>$15,000</w:t>
            </w:r>
          </w:p>
        </w:tc>
      </w:tr>
      <w:tr>
        <w:trPr>
          <w:trHeight w:val="184"/>
        </w:trPr>
        <w:tc>
          <w:tcPr>
            <w:tcW w:w="46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spacing w:after="0"/>
              <w:rPr>
                <w:sz w:val="16"/>
                <w:szCs w:val="16"/>
                <w:color w:val="auto"/>
              </w:rPr>
            </w:pPr>
          </w:p>
        </w:tc>
        <w:tc>
          <w:tcPr>
            <w:tcW w:w="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4080" w:type="dxa"/>
            <w:vAlign w:val="bottom"/>
            <w:tcBorders>
              <w:right w:val="single" w:sz="8" w:color="auto"/>
            </w:tcBorders>
          </w:tcPr>
          <w:p>
            <w:pPr>
              <w:ind w:left="60"/>
              <w:spacing w:after="0" w:line="184" w:lineRule="exact"/>
              <w:rPr>
                <w:sz w:val="20"/>
                <w:szCs w:val="20"/>
                <w:color w:val="auto"/>
              </w:rPr>
            </w:pPr>
            <w:r>
              <w:rPr>
                <w:rFonts w:ascii="Times New Roman" w:cs="Times New Roman" w:eastAsia="Times New Roman" w:hAnsi="Times New Roman"/>
                <w:sz w:val="18"/>
                <w:szCs w:val="18"/>
                <w:color w:val="auto"/>
              </w:rPr>
              <w:t xml:space="preserve">Compensation Chair -- </w:t>
            </w:r>
            <w:r>
              <w:rPr>
                <w:rFonts w:ascii="Times New Roman" w:cs="Times New Roman" w:eastAsia="Times New Roman" w:hAnsi="Times New Roman"/>
                <w:sz w:val="18"/>
                <w:szCs w:val="18"/>
                <w:b w:val="1"/>
                <w:bCs w:val="1"/>
                <w:color w:val="auto"/>
              </w:rPr>
              <w:t>$25,000</w:t>
            </w:r>
          </w:p>
        </w:tc>
      </w:tr>
      <w:tr>
        <w:trPr>
          <w:trHeight w:val="175"/>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spacing w:after="0"/>
              <w:rPr>
                <w:sz w:val="15"/>
                <w:szCs w:val="15"/>
                <w:color w:val="auto"/>
              </w:rPr>
            </w:pPr>
          </w:p>
        </w:tc>
        <w:tc>
          <w:tcPr>
            <w:tcW w:w="4200" w:type="dxa"/>
            <w:vAlign w:val="bottom"/>
            <w:tcBorders>
              <w:right w:val="single" w:sz="8" w:color="auto"/>
            </w:tcBorders>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 Compensation Member – </w:t>
            </w:r>
            <w:r>
              <w:rPr>
                <w:rFonts w:ascii="Times New Roman" w:cs="Times New Roman" w:eastAsia="Times New Roman" w:hAnsi="Times New Roman"/>
                <w:sz w:val="18"/>
                <w:szCs w:val="18"/>
                <w:b w:val="1"/>
                <w:bCs w:val="1"/>
                <w:color w:val="auto"/>
              </w:rPr>
              <w:t>$10,500</w:t>
            </w:r>
          </w:p>
        </w:tc>
      </w:tr>
      <w:tr>
        <w:trPr>
          <w:trHeight w:val="180"/>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spacing w:after="0"/>
              <w:rPr>
                <w:sz w:val="15"/>
                <w:szCs w:val="15"/>
                <w:color w:val="auto"/>
              </w:rPr>
            </w:pPr>
          </w:p>
        </w:tc>
        <w:tc>
          <w:tcPr>
            <w:tcW w:w="1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w:t>
            </w:r>
          </w:p>
        </w:tc>
        <w:tc>
          <w:tcPr>
            <w:tcW w:w="40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8"/>
                <w:szCs w:val="18"/>
                <w:color w:val="auto"/>
              </w:rPr>
              <w:t xml:space="preserve">Governance Chair -- </w:t>
            </w:r>
            <w:r>
              <w:rPr>
                <w:rFonts w:ascii="Times New Roman" w:cs="Times New Roman" w:eastAsia="Times New Roman" w:hAnsi="Times New Roman"/>
                <w:sz w:val="18"/>
                <w:szCs w:val="18"/>
                <w:b w:val="1"/>
                <w:bCs w:val="1"/>
                <w:color w:val="auto"/>
              </w:rPr>
              <w:t>$20,000</w:t>
            </w:r>
          </w:p>
        </w:tc>
      </w:tr>
      <w:tr>
        <w:trPr>
          <w:trHeight w:val="238"/>
        </w:trPr>
        <w:tc>
          <w:tcPr>
            <w:tcW w:w="460" w:type="dxa"/>
            <w:vAlign w:val="bottom"/>
            <w:tcBorders>
              <w:left w:val="single" w:sz="8" w:color="auto"/>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p>
        </w:tc>
        <w:tc>
          <w:tcPr>
            <w:tcW w:w="42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Governance Member -- </w:t>
            </w:r>
            <w:r>
              <w:rPr>
                <w:rFonts w:ascii="Times New Roman" w:cs="Times New Roman" w:eastAsia="Times New Roman" w:hAnsi="Times New Roman"/>
                <w:sz w:val="18"/>
                <w:szCs w:val="18"/>
                <w:b w:val="1"/>
                <w:bCs w:val="1"/>
                <w:color w:val="auto"/>
              </w:rPr>
              <w:t>$10,000</w:t>
            </w:r>
          </w:p>
        </w:tc>
      </w:tr>
      <w:tr>
        <w:trPr>
          <w:trHeight w:val="243"/>
        </w:trPr>
        <w:tc>
          <w:tcPr>
            <w:tcW w:w="460" w:type="dxa"/>
            <w:vAlign w:val="bottom"/>
            <w:tcBorders>
              <w:left w:val="single" w:sz="8" w:color="auto"/>
              <w:bottom w:val="single" w:sz="8" w:color="auto"/>
              <w:right w:val="single" w:sz="8" w:color="auto"/>
            </w:tcBorders>
          </w:tcPr>
          <w:p>
            <w:pPr>
              <w:spacing w:after="0"/>
              <w:rPr>
                <w:sz w:val="21"/>
                <w:szCs w:val="21"/>
                <w:color w:val="auto"/>
              </w:rPr>
            </w:pPr>
          </w:p>
        </w:tc>
        <w:tc>
          <w:tcPr>
            <w:tcW w:w="660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spacing w:after="0"/>
              <w:rPr>
                <w:sz w:val="21"/>
                <w:szCs w:val="21"/>
                <w:color w:val="auto"/>
              </w:rPr>
            </w:pPr>
          </w:p>
        </w:tc>
      </w:tr>
      <w:tr>
        <w:trPr>
          <w:trHeight w:val="169"/>
        </w:trPr>
        <w:tc>
          <w:tcPr>
            <w:tcW w:w="460" w:type="dxa"/>
            <w:vAlign w:val="bottom"/>
            <w:tcBorders>
              <w:left w:val="single" w:sz="8" w:color="auto"/>
              <w:right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66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 xml:space="preserve">Special Board Committee Fees </w:t>
            </w:r>
            <w:r>
              <w:rPr>
                <w:rFonts w:ascii="Times New Roman" w:cs="Times New Roman" w:eastAsia="Times New Roman" w:hAnsi="Times New Roman"/>
                <w:sz w:val="18"/>
                <w:szCs w:val="18"/>
                <w:color w:val="auto"/>
              </w:rPr>
              <w:t>– If a non-employee Director serves on a special</w:t>
            </w:r>
          </w:p>
        </w:tc>
        <w:tc>
          <w:tcPr>
            <w:tcW w:w="1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408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TBD</w:t>
            </w:r>
          </w:p>
        </w:tc>
      </w:tr>
      <w:tr>
        <w:trPr>
          <w:trHeight w:val="184"/>
        </w:trPr>
        <w:tc>
          <w:tcPr>
            <w:tcW w:w="46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committee of the Board, the Compensation Committee will determine whether to provide</w:t>
            </w:r>
          </w:p>
        </w:tc>
        <w:tc>
          <w:tcPr>
            <w:tcW w:w="120" w:type="dxa"/>
            <w:vAlign w:val="bottom"/>
          </w:tcPr>
          <w:p>
            <w:pPr>
              <w:spacing w:after="0"/>
              <w:rPr>
                <w:sz w:val="16"/>
                <w:szCs w:val="16"/>
                <w:color w:val="auto"/>
              </w:rPr>
            </w:pPr>
          </w:p>
        </w:tc>
        <w:tc>
          <w:tcPr>
            <w:tcW w:w="4080" w:type="dxa"/>
            <w:vAlign w:val="bottom"/>
            <w:tcBorders>
              <w:right w:val="single" w:sz="8" w:color="auto"/>
            </w:tcBorders>
          </w:tcPr>
          <w:p>
            <w:pPr>
              <w:spacing w:after="0"/>
              <w:rPr>
                <w:sz w:val="16"/>
                <w:szCs w:val="16"/>
                <w:color w:val="auto"/>
              </w:rPr>
            </w:pPr>
          </w:p>
        </w:tc>
      </w:tr>
      <w:tr>
        <w:trPr>
          <w:trHeight w:val="180"/>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supplemental fees to such Director and the amount of such fees, provided no fees in excess</w:t>
            </w:r>
          </w:p>
        </w:tc>
        <w:tc>
          <w:tcPr>
            <w:tcW w:w="120" w:type="dxa"/>
            <w:vAlign w:val="bottom"/>
          </w:tcPr>
          <w:p>
            <w:pPr>
              <w:spacing w:after="0"/>
              <w:rPr>
                <w:sz w:val="15"/>
                <w:szCs w:val="15"/>
                <w:color w:val="auto"/>
              </w:rPr>
            </w:pPr>
          </w:p>
        </w:tc>
        <w:tc>
          <w:tcPr>
            <w:tcW w:w="4080" w:type="dxa"/>
            <w:vAlign w:val="bottom"/>
            <w:tcBorders>
              <w:right w:val="single" w:sz="8" w:color="auto"/>
            </w:tcBorders>
          </w:tcPr>
          <w:p>
            <w:pPr>
              <w:spacing w:after="0"/>
              <w:rPr>
                <w:sz w:val="15"/>
                <w:szCs w:val="15"/>
                <w:color w:val="auto"/>
              </w:rPr>
            </w:pPr>
          </w:p>
        </w:tc>
      </w:tr>
      <w:tr>
        <w:trPr>
          <w:trHeight w:val="234"/>
        </w:trPr>
        <w:tc>
          <w:tcPr>
            <w:tcW w:w="460" w:type="dxa"/>
            <w:vAlign w:val="bottom"/>
            <w:tcBorders>
              <w:left w:val="single" w:sz="8" w:color="auto"/>
              <w:right w:val="single" w:sz="8" w:color="auto"/>
            </w:tcBorders>
          </w:tcPr>
          <w:p>
            <w:pPr>
              <w:spacing w:after="0"/>
              <w:rPr>
                <w:sz w:val="20"/>
                <w:szCs w:val="20"/>
                <w:color w:val="auto"/>
              </w:rPr>
            </w:pPr>
          </w:p>
        </w:tc>
        <w:tc>
          <w:tcPr>
            <w:tcW w:w="6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 $30,000/year per Director shall be paid without approval from the Board.</w:t>
            </w:r>
          </w:p>
        </w:tc>
        <w:tc>
          <w:tcPr>
            <w:tcW w:w="120" w:type="dxa"/>
            <w:vAlign w:val="bottom"/>
          </w:tcPr>
          <w:p>
            <w:pPr>
              <w:spacing w:after="0"/>
              <w:rPr>
                <w:sz w:val="20"/>
                <w:szCs w:val="20"/>
                <w:color w:val="auto"/>
              </w:rPr>
            </w:pPr>
          </w:p>
        </w:tc>
        <w:tc>
          <w:tcPr>
            <w:tcW w:w="4080" w:type="dxa"/>
            <w:vAlign w:val="bottom"/>
            <w:tcBorders>
              <w:right w:val="single" w:sz="8" w:color="auto"/>
            </w:tcBorders>
          </w:tcPr>
          <w:p>
            <w:pPr>
              <w:spacing w:after="0"/>
              <w:rPr>
                <w:sz w:val="20"/>
                <w:szCs w:val="20"/>
                <w:color w:val="auto"/>
              </w:rPr>
            </w:pPr>
          </w:p>
        </w:tc>
      </w:tr>
      <w:tr>
        <w:trPr>
          <w:trHeight w:val="238"/>
        </w:trPr>
        <w:tc>
          <w:tcPr>
            <w:tcW w:w="460" w:type="dxa"/>
            <w:vAlign w:val="bottom"/>
            <w:tcBorders>
              <w:left w:val="single" w:sz="8" w:color="auto"/>
              <w:bottom w:val="single" w:sz="8" w:color="auto"/>
              <w:right w:val="single" w:sz="8" w:color="auto"/>
            </w:tcBorders>
          </w:tcPr>
          <w:p>
            <w:pPr>
              <w:spacing w:after="0"/>
              <w:rPr>
                <w:sz w:val="20"/>
                <w:szCs w:val="20"/>
                <w:color w:val="auto"/>
              </w:rPr>
            </w:pPr>
          </w:p>
        </w:tc>
        <w:tc>
          <w:tcPr>
            <w:tcW w:w="66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80" w:type="dxa"/>
            <w:vAlign w:val="bottom"/>
            <w:tcBorders>
              <w:bottom w:val="single" w:sz="8" w:color="auto"/>
              <w:right w:val="single" w:sz="8" w:color="auto"/>
            </w:tcBorders>
          </w:tcPr>
          <w:p>
            <w:pPr>
              <w:spacing w:after="0"/>
              <w:rPr>
                <w:sz w:val="20"/>
                <w:szCs w:val="20"/>
                <w:color w:val="auto"/>
              </w:rPr>
            </w:pPr>
          </w:p>
        </w:tc>
      </w:tr>
      <w:tr>
        <w:trPr>
          <w:trHeight w:val="169"/>
        </w:trPr>
        <w:tc>
          <w:tcPr>
            <w:tcW w:w="460" w:type="dxa"/>
            <w:vAlign w:val="bottom"/>
            <w:tcBorders>
              <w:left w:val="single" w:sz="8" w:color="auto"/>
              <w:right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(3)</w:t>
            </w:r>
          </w:p>
        </w:tc>
        <w:tc>
          <w:tcPr>
            <w:tcW w:w="66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 xml:space="preserve">Annual DSU Award </w:t>
            </w:r>
            <w:r>
              <w:rPr>
                <w:rFonts w:ascii="Times New Roman" w:cs="Times New Roman" w:eastAsia="Times New Roman" w:hAnsi="Times New Roman"/>
                <w:sz w:val="18"/>
                <w:szCs w:val="18"/>
                <w:color w:val="auto"/>
              </w:rPr>
              <w:t>– Annual equity award to each non-employee director in the form of</w:t>
            </w:r>
          </w:p>
        </w:tc>
        <w:tc>
          <w:tcPr>
            <w:tcW w:w="1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408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$132,500 in value</w:t>
            </w:r>
          </w:p>
        </w:tc>
      </w:tr>
      <w:tr>
        <w:trPr>
          <w:trHeight w:val="184"/>
        </w:trPr>
        <w:tc>
          <w:tcPr>
            <w:tcW w:w="46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Deferred Stock Units pursuant to the LTIP. Each DSU represents the right to receive one</w:t>
            </w:r>
          </w:p>
        </w:tc>
        <w:tc>
          <w:tcPr>
            <w:tcW w:w="120" w:type="dxa"/>
            <w:vAlign w:val="bottom"/>
          </w:tcPr>
          <w:p>
            <w:pPr>
              <w:spacing w:after="0"/>
              <w:rPr>
                <w:sz w:val="16"/>
                <w:szCs w:val="16"/>
                <w:color w:val="auto"/>
              </w:rPr>
            </w:pPr>
          </w:p>
        </w:tc>
        <w:tc>
          <w:tcPr>
            <w:tcW w:w="4080" w:type="dxa"/>
            <w:vAlign w:val="bottom"/>
            <w:tcBorders>
              <w:right w:val="single" w:sz="8" w:color="auto"/>
            </w:tcBorders>
          </w:tcPr>
          <w:p>
            <w:pPr>
              <w:spacing w:after="0"/>
              <w:rPr>
                <w:sz w:val="16"/>
                <w:szCs w:val="16"/>
                <w:color w:val="auto"/>
              </w:rPr>
            </w:pPr>
          </w:p>
        </w:tc>
      </w:tr>
      <w:tr>
        <w:trPr>
          <w:trHeight w:val="180"/>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share of Rent-A-Center common stock. The award is fully vested upon grant and the</w:t>
            </w:r>
          </w:p>
        </w:tc>
        <w:tc>
          <w:tcPr>
            <w:tcW w:w="120" w:type="dxa"/>
            <w:vAlign w:val="bottom"/>
          </w:tcPr>
          <w:p>
            <w:pPr>
              <w:spacing w:after="0"/>
              <w:rPr>
                <w:sz w:val="15"/>
                <w:szCs w:val="15"/>
                <w:color w:val="auto"/>
              </w:rPr>
            </w:pPr>
          </w:p>
        </w:tc>
        <w:tc>
          <w:tcPr>
            <w:tcW w:w="4080" w:type="dxa"/>
            <w:vAlign w:val="bottom"/>
            <w:tcBorders>
              <w:right w:val="single" w:sz="8" w:color="auto"/>
            </w:tcBorders>
          </w:tcPr>
          <w:p>
            <w:pPr>
              <w:spacing w:after="0"/>
              <w:rPr>
                <w:sz w:val="15"/>
                <w:szCs w:val="15"/>
                <w:color w:val="auto"/>
              </w:rPr>
            </w:pPr>
          </w:p>
        </w:tc>
      </w:tr>
      <w:tr>
        <w:trPr>
          <w:trHeight w:val="176"/>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covered by the award are issued upon the termination of the director’s service as a</w:t>
            </w:r>
          </w:p>
        </w:tc>
        <w:tc>
          <w:tcPr>
            <w:tcW w:w="120" w:type="dxa"/>
            <w:vAlign w:val="bottom"/>
          </w:tcPr>
          <w:p>
            <w:pPr>
              <w:spacing w:after="0"/>
              <w:rPr>
                <w:sz w:val="15"/>
                <w:szCs w:val="15"/>
                <w:color w:val="auto"/>
              </w:rPr>
            </w:pPr>
          </w:p>
        </w:tc>
        <w:tc>
          <w:tcPr>
            <w:tcW w:w="4080" w:type="dxa"/>
            <w:vAlign w:val="bottom"/>
            <w:tcBorders>
              <w:right w:val="single" w:sz="8" w:color="auto"/>
            </w:tcBorders>
          </w:tcPr>
          <w:p>
            <w:pPr>
              <w:spacing w:after="0"/>
              <w:rPr>
                <w:sz w:val="15"/>
                <w:szCs w:val="15"/>
                <w:color w:val="auto"/>
              </w:rPr>
            </w:pPr>
          </w:p>
        </w:tc>
      </w:tr>
      <w:tr>
        <w:trPr>
          <w:trHeight w:val="234"/>
        </w:trPr>
        <w:tc>
          <w:tcPr>
            <w:tcW w:w="460" w:type="dxa"/>
            <w:vAlign w:val="bottom"/>
            <w:tcBorders>
              <w:left w:val="single" w:sz="8" w:color="auto"/>
              <w:right w:val="single" w:sz="8" w:color="auto"/>
            </w:tcBorders>
          </w:tcPr>
          <w:p>
            <w:pPr>
              <w:spacing w:after="0"/>
              <w:rPr>
                <w:sz w:val="20"/>
                <w:szCs w:val="20"/>
                <w:color w:val="auto"/>
              </w:rPr>
            </w:pPr>
          </w:p>
        </w:tc>
        <w:tc>
          <w:tcPr>
            <w:tcW w:w="6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member of the Board. DSUs do not have voting rights.</w:t>
            </w:r>
          </w:p>
        </w:tc>
        <w:tc>
          <w:tcPr>
            <w:tcW w:w="120" w:type="dxa"/>
            <w:vAlign w:val="bottom"/>
          </w:tcPr>
          <w:p>
            <w:pPr>
              <w:spacing w:after="0"/>
              <w:rPr>
                <w:sz w:val="20"/>
                <w:szCs w:val="20"/>
                <w:color w:val="auto"/>
              </w:rPr>
            </w:pPr>
          </w:p>
        </w:tc>
        <w:tc>
          <w:tcPr>
            <w:tcW w:w="4080" w:type="dxa"/>
            <w:vAlign w:val="bottom"/>
            <w:tcBorders>
              <w:right w:val="single" w:sz="8" w:color="auto"/>
            </w:tcBorders>
          </w:tcPr>
          <w:p>
            <w:pPr>
              <w:spacing w:after="0"/>
              <w:rPr>
                <w:sz w:val="20"/>
                <w:szCs w:val="20"/>
                <w:color w:val="auto"/>
              </w:rPr>
            </w:pPr>
          </w:p>
        </w:tc>
      </w:tr>
      <w:tr>
        <w:trPr>
          <w:trHeight w:val="252"/>
        </w:trPr>
        <w:tc>
          <w:tcPr>
            <w:tcW w:w="460" w:type="dxa"/>
            <w:vAlign w:val="bottom"/>
            <w:tcBorders>
              <w:left w:val="single" w:sz="8" w:color="auto"/>
              <w:bottom w:val="single" w:sz="8" w:color="auto"/>
              <w:right w:val="single" w:sz="8" w:color="auto"/>
            </w:tcBorders>
          </w:tcPr>
          <w:p>
            <w:pPr>
              <w:spacing w:after="0"/>
              <w:rPr>
                <w:sz w:val="21"/>
                <w:szCs w:val="21"/>
                <w:color w:val="auto"/>
              </w:rPr>
            </w:pPr>
          </w:p>
        </w:tc>
        <w:tc>
          <w:tcPr>
            <w:tcW w:w="660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spacing w:after="0"/>
              <w:rPr>
                <w:sz w:val="21"/>
                <w:szCs w:val="21"/>
                <w:color w:val="auto"/>
              </w:rPr>
            </w:pPr>
          </w:p>
        </w:tc>
      </w:tr>
      <w:tr>
        <w:trPr>
          <w:trHeight w:val="169"/>
        </w:trPr>
        <w:tc>
          <w:tcPr>
            <w:tcW w:w="460" w:type="dxa"/>
            <w:vAlign w:val="bottom"/>
            <w:tcBorders>
              <w:left w:val="single" w:sz="8" w:color="auto"/>
              <w:right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(4)</w:t>
            </w:r>
          </w:p>
        </w:tc>
        <w:tc>
          <w:tcPr>
            <w:tcW w:w="66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 xml:space="preserve">Optional DSU Deferral Awards </w:t>
            </w:r>
            <w:r>
              <w:rPr>
                <w:rFonts w:ascii="Times New Roman" w:cs="Times New Roman" w:eastAsia="Times New Roman" w:hAnsi="Times New Roman"/>
                <w:sz w:val="18"/>
                <w:szCs w:val="18"/>
                <w:color w:val="auto"/>
              </w:rPr>
              <w:t>– Ability to elect each year to defer all/some of the</w:t>
            </w:r>
          </w:p>
        </w:tc>
        <w:tc>
          <w:tcPr>
            <w:tcW w:w="1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408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Based on amount of cash retainers and cash dividends</w:t>
            </w:r>
          </w:p>
        </w:tc>
      </w:tr>
      <w:tr>
        <w:trPr>
          <w:trHeight w:val="225"/>
        </w:trPr>
        <w:tc>
          <w:tcPr>
            <w:tcW w:w="460" w:type="dxa"/>
            <w:vAlign w:val="bottom"/>
            <w:tcBorders>
              <w:left w:val="single" w:sz="8" w:color="auto"/>
              <w:right w:val="single" w:sz="8" w:color="auto"/>
            </w:tcBorders>
          </w:tcPr>
          <w:p>
            <w:pPr>
              <w:spacing w:after="0"/>
              <w:rPr>
                <w:sz w:val="19"/>
                <w:szCs w:val="19"/>
                <w:color w:val="auto"/>
              </w:rPr>
            </w:pPr>
          </w:p>
        </w:tc>
        <w:tc>
          <w:tcPr>
            <w:tcW w:w="6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following year’s (1) cash retainers and (2) cash dividends payable on outstanding record</w:t>
            </w:r>
          </w:p>
        </w:tc>
        <w:tc>
          <w:tcPr>
            <w:tcW w:w="120" w:type="dxa"/>
            <w:vAlign w:val="bottom"/>
          </w:tcPr>
          <w:p>
            <w:pPr>
              <w:spacing w:after="0"/>
              <w:rPr>
                <w:sz w:val="19"/>
                <w:szCs w:val="19"/>
                <w:color w:val="auto"/>
              </w:rPr>
            </w:pPr>
          </w:p>
        </w:tc>
        <w:tc>
          <w:tcPr>
            <w:tcW w:w="40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deferred, plus 25% match</w:t>
            </w:r>
          </w:p>
        </w:tc>
      </w:tr>
      <w:tr>
        <w:trPr>
          <w:trHeight w:val="203"/>
        </w:trPr>
        <w:tc>
          <w:tcPr>
            <w:tcW w:w="460" w:type="dxa"/>
            <w:vAlign w:val="bottom"/>
            <w:tcBorders>
              <w:left w:val="single" w:sz="8" w:color="auto"/>
              <w:right w:val="single" w:sz="8" w:color="auto"/>
            </w:tcBorders>
          </w:tcPr>
          <w:p>
            <w:pPr>
              <w:spacing w:after="0"/>
              <w:rPr>
                <w:sz w:val="17"/>
                <w:szCs w:val="17"/>
                <w:color w:val="auto"/>
              </w:rPr>
            </w:pPr>
          </w:p>
        </w:tc>
        <w:tc>
          <w:tcPr>
            <w:tcW w:w="660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date DSUs, into additional DSUs. (based on the closing price of RAC stock immediately</w:t>
            </w:r>
          </w:p>
        </w:tc>
        <w:tc>
          <w:tcPr>
            <w:tcW w:w="120" w:type="dxa"/>
            <w:vAlign w:val="bottom"/>
          </w:tcPr>
          <w:p>
            <w:pPr>
              <w:spacing w:after="0"/>
              <w:rPr>
                <w:sz w:val="17"/>
                <w:szCs w:val="17"/>
                <w:color w:val="auto"/>
              </w:rPr>
            </w:pPr>
          </w:p>
        </w:tc>
        <w:tc>
          <w:tcPr>
            <w:tcW w:w="4080" w:type="dxa"/>
            <w:vAlign w:val="bottom"/>
            <w:tcBorders>
              <w:right w:val="single" w:sz="8" w:color="auto"/>
            </w:tcBorders>
          </w:tcPr>
          <w:p>
            <w:pPr>
              <w:spacing w:after="0"/>
              <w:rPr>
                <w:sz w:val="17"/>
                <w:szCs w:val="17"/>
                <w:color w:val="auto"/>
              </w:rPr>
            </w:pPr>
          </w:p>
        </w:tc>
      </w:tr>
      <w:tr>
        <w:trPr>
          <w:trHeight w:val="203"/>
        </w:trPr>
        <w:tc>
          <w:tcPr>
            <w:tcW w:w="460" w:type="dxa"/>
            <w:vAlign w:val="bottom"/>
            <w:tcBorders>
              <w:left w:val="single" w:sz="8" w:color="auto"/>
              <w:right w:val="single" w:sz="8" w:color="auto"/>
            </w:tcBorders>
          </w:tcPr>
          <w:p>
            <w:pPr>
              <w:spacing w:after="0"/>
              <w:rPr>
                <w:sz w:val="17"/>
                <w:szCs w:val="17"/>
                <w:color w:val="auto"/>
              </w:rPr>
            </w:pPr>
          </w:p>
        </w:tc>
        <w:tc>
          <w:tcPr>
            <w:tcW w:w="660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preceding the date the cash retainers and deferred cash dividends are payable). A company</w:t>
            </w:r>
          </w:p>
        </w:tc>
        <w:tc>
          <w:tcPr>
            <w:tcW w:w="120" w:type="dxa"/>
            <w:vAlign w:val="bottom"/>
          </w:tcPr>
          <w:p>
            <w:pPr>
              <w:spacing w:after="0"/>
              <w:rPr>
                <w:sz w:val="17"/>
                <w:szCs w:val="17"/>
                <w:color w:val="auto"/>
              </w:rPr>
            </w:pPr>
          </w:p>
        </w:tc>
        <w:tc>
          <w:tcPr>
            <w:tcW w:w="4080" w:type="dxa"/>
            <w:vAlign w:val="bottom"/>
            <w:tcBorders>
              <w:right w:val="single" w:sz="8" w:color="auto"/>
            </w:tcBorders>
          </w:tcPr>
          <w:p>
            <w:pPr>
              <w:spacing w:after="0"/>
              <w:rPr>
                <w:sz w:val="17"/>
                <w:szCs w:val="17"/>
                <w:color w:val="auto"/>
              </w:rPr>
            </w:pPr>
          </w:p>
        </w:tc>
      </w:tr>
      <w:tr>
        <w:trPr>
          <w:trHeight w:val="203"/>
        </w:trPr>
        <w:tc>
          <w:tcPr>
            <w:tcW w:w="460" w:type="dxa"/>
            <w:vAlign w:val="bottom"/>
            <w:tcBorders>
              <w:left w:val="single" w:sz="8" w:color="auto"/>
              <w:right w:val="single" w:sz="8" w:color="auto"/>
            </w:tcBorders>
          </w:tcPr>
          <w:p>
            <w:pPr>
              <w:spacing w:after="0"/>
              <w:rPr>
                <w:sz w:val="17"/>
                <w:szCs w:val="17"/>
                <w:color w:val="auto"/>
              </w:rPr>
            </w:pPr>
          </w:p>
        </w:tc>
        <w:tc>
          <w:tcPr>
            <w:tcW w:w="660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match of 25% is applied to deferred cash retainers and deferred cash dividends when</w:t>
            </w:r>
          </w:p>
        </w:tc>
        <w:tc>
          <w:tcPr>
            <w:tcW w:w="120" w:type="dxa"/>
            <w:vAlign w:val="bottom"/>
          </w:tcPr>
          <w:p>
            <w:pPr>
              <w:spacing w:after="0"/>
              <w:rPr>
                <w:sz w:val="17"/>
                <w:szCs w:val="17"/>
                <w:color w:val="auto"/>
              </w:rPr>
            </w:pPr>
          </w:p>
        </w:tc>
        <w:tc>
          <w:tcPr>
            <w:tcW w:w="4080" w:type="dxa"/>
            <w:vAlign w:val="bottom"/>
            <w:tcBorders>
              <w:right w:val="single" w:sz="8" w:color="auto"/>
            </w:tcBorders>
          </w:tcPr>
          <w:p>
            <w:pPr>
              <w:spacing w:after="0"/>
              <w:rPr>
                <w:sz w:val="17"/>
                <w:szCs w:val="17"/>
                <w:color w:val="auto"/>
              </w:rPr>
            </w:pPr>
          </w:p>
        </w:tc>
      </w:tr>
      <w:tr>
        <w:trPr>
          <w:trHeight w:val="234"/>
        </w:trPr>
        <w:tc>
          <w:tcPr>
            <w:tcW w:w="460" w:type="dxa"/>
            <w:vAlign w:val="bottom"/>
            <w:tcBorders>
              <w:left w:val="single" w:sz="8" w:color="auto"/>
              <w:right w:val="single" w:sz="8" w:color="auto"/>
            </w:tcBorders>
          </w:tcPr>
          <w:p>
            <w:pPr>
              <w:spacing w:after="0"/>
              <w:rPr>
                <w:sz w:val="20"/>
                <w:szCs w:val="20"/>
                <w:color w:val="auto"/>
              </w:rPr>
            </w:pPr>
          </w:p>
        </w:tc>
        <w:tc>
          <w:tcPr>
            <w:tcW w:w="6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calculating the DSUs.</w:t>
            </w:r>
          </w:p>
        </w:tc>
        <w:tc>
          <w:tcPr>
            <w:tcW w:w="120" w:type="dxa"/>
            <w:vAlign w:val="bottom"/>
          </w:tcPr>
          <w:p>
            <w:pPr>
              <w:spacing w:after="0"/>
              <w:rPr>
                <w:sz w:val="20"/>
                <w:szCs w:val="20"/>
                <w:color w:val="auto"/>
              </w:rPr>
            </w:pPr>
          </w:p>
        </w:tc>
        <w:tc>
          <w:tcPr>
            <w:tcW w:w="4080" w:type="dxa"/>
            <w:vAlign w:val="bottom"/>
            <w:tcBorders>
              <w:right w:val="single" w:sz="8" w:color="auto"/>
            </w:tcBorders>
          </w:tcPr>
          <w:p>
            <w:pPr>
              <w:spacing w:after="0"/>
              <w:rPr>
                <w:sz w:val="20"/>
                <w:szCs w:val="20"/>
                <w:color w:val="auto"/>
              </w:rPr>
            </w:pPr>
          </w:p>
        </w:tc>
      </w:tr>
      <w:tr>
        <w:trPr>
          <w:trHeight w:val="270"/>
        </w:trPr>
        <w:tc>
          <w:tcPr>
            <w:tcW w:w="460" w:type="dxa"/>
            <w:vAlign w:val="bottom"/>
            <w:tcBorders>
              <w:left w:val="single" w:sz="8" w:color="auto"/>
              <w:bottom w:val="single" w:sz="8" w:color="auto"/>
              <w:right w:val="single" w:sz="8" w:color="auto"/>
            </w:tcBorders>
          </w:tcPr>
          <w:p>
            <w:pPr>
              <w:spacing w:after="0"/>
              <w:rPr>
                <w:sz w:val="23"/>
                <w:szCs w:val="23"/>
                <w:color w:val="auto"/>
              </w:rPr>
            </w:pPr>
          </w:p>
        </w:tc>
        <w:tc>
          <w:tcPr>
            <w:tcW w:w="6600" w:type="dxa"/>
            <w:vAlign w:val="bottom"/>
            <w:tcBorders>
              <w:bottom w:val="single" w:sz="8" w:color="auto"/>
              <w:right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080" w:type="dxa"/>
            <w:vAlign w:val="bottom"/>
            <w:tcBorders>
              <w:bottom w:val="single" w:sz="8" w:color="auto"/>
              <w:right w:val="single" w:sz="8" w:color="auto"/>
            </w:tcBorders>
          </w:tcPr>
          <w:p>
            <w:pPr>
              <w:spacing w:after="0"/>
              <w:rPr>
                <w:sz w:val="23"/>
                <w:szCs w:val="23"/>
                <w:color w:val="auto"/>
              </w:rPr>
            </w:pPr>
          </w:p>
        </w:tc>
      </w:tr>
      <w:tr>
        <w:trPr>
          <w:trHeight w:val="169"/>
        </w:trPr>
        <w:tc>
          <w:tcPr>
            <w:tcW w:w="460" w:type="dxa"/>
            <w:vAlign w:val="bottom"/>
            <w:tcBorders>
              <w:left w:val="single" w:sz="8" w:color="auto"/>
              <w:right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(5)</w:t>
            </w:r>
          </w:p>
        </w:tc>
        <w:tc>
          <w:tcPr>
            <w:tcW w:w="66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 xml:space="preserve">Cash Dividend Equivalents on DSUs </w:t>
            </w:r>
            <w:r>
              <w:rPr>
                <w:rFonts w:ascii="Times New Roman" w:cs="Times New Roman" w:eastAsia="Times New Roman" w:hAnsi="Times New Roman"/>
                <w:sz w:val="18"/>
                <w:szCs w:val="18"/>
                <w:color w:val="auto"/>
              </w:rPr>
              <w:t>– Unless deferred as described above, the number</w:t>
            </w:r>
          </w:p>
        </w:tc>
        <w:tc>
          <w:tcPr>
            <w:tcW w:w="1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408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Based on the number of DSUs held as of the dividend</w:t>
            </w:r>
          </w:p>
        </w:tc>
      </w:tr>
      <w:tr>
        <w:trPr>
          <w:trHeight w:val="184"/>
        </w:trPr>
        <w:tc>
          <w:tcPr>
            <w:tcW w:w="46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of DSUs held by a director as of the dividend record date are entitled to receive cash</w:t>
            </w:r>
          </w:p>
        </w:tc>
        <w:tc>
          <w:tcPr>
            <w:tcW w:w="120" w:type="dxa"/>
            <w:vAlign w:val="bottom"/>
          </w:tcPr>
          <w:p>
            <w:pPr>
              <w:spacing w:after="0"/>
              <w:rPr>
                <w:sz w:val="16"/>
                <w:szCs w:val="16"/>
                <w:color w:val="auto"/>
              </w:rPr>
            </w:pPr>
          </w:p>
        </w:tc>
        <w:tc>
          <w:tcPr>
            <w:tcW w:w="4080" w:type="dxa"/>
            <w:vAlign w:val="bottom"/>
            <w:tcBorders>
              <w:right w:val="single" w:sz="8" w:color="auto"/>
            </w:tcBorders>
          </w:tcPr>
          <w:p>
            <w:pPr>
              <w:ind w:left="60"/>
              <w:spacing w:after="0" w:line="184" w:lineRule="exact"/>
              <w:rPr>
                <w:sz w:val="20"/>
                <w:szCs w:val="20"/>
                <w:color w:val="auto"/>
              </w:rPr>
            </w:pPr>
            <w:r>
              <w:rPr>
                <w:rFonts w:ascii="Times New Roman" w:cs="Times New Roman" w:eastAsia="Times New Roman" w:hAnsi="Times New Roman"/>
                <w:sz w:val="18"/>
                <w:szCs w:val="18"/>
                <w:color w:val="auto"/>
              </w:rPr>
              <w:t>record date and dividend per share</w:t>
            </w:r>
          </w:p>
        </w:tc>
      </w:tr>
      <w:tr>
        <w:trPr>
          <w:trHeight w:val="180"/>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dividends, if and when declared by the Board, as if the DSUs were issued/outstanding</w:t>
            </w:r>
          </w:p>
        </w:tc>
        <w:tc>
          <w:tcPr>
            <w:tcW w:w="120" w:type="dxa"/>
            <w:vAlign w:val="bottom"/>
          </w:tcPr>
          <w:p>
            <w:pPr>
              <w:spacing w:after="0"/>
              <w:rPr>
                <w:sz w:val="15"/>
                <w:szCs w:val="15"/>
                <w:color w:val="auto"/>
              </w:rPr>
            </w:pPr>
          </w:p>
        </w:tc>
        <w:tc>
          <w:tcPr>
            <w:tcW w:w="4080" w:type="dxa"/>
            <w:vAlign w:val="bottom"/>
            <w:tcBorders>
              <w:right w:val="single" w:sz="8" w:color="auto"/>
            </w:tcBorders>
          </w:tcPr>
          <w:p>
            <w:pPr>
              <w:spacing w:after="0"/>
              <w:rPr>
                <w:sz w:val="15"/>
                <w:szCs w:val="15"/>
                <w:color w:val="auto"/>
              </w:rPr>
            </w:pPr>
          </w:p>
        </w:tc>
      </w:tr>
      <w:tr>
        <w:trPr>
          <w:trHeight w:val="234"/>
        </w:trPr>
        <w:tc>
          <w:tcPr>
            <w:tcW w:w="460" w:type="dxa"/>
            <w:vAlign w:val="bottom"/>
            <w:tcBorders>
              <w:left w:val="single" w:sz="8" w:color="auto"/>
              <w:right w:val="single" w:sz="8" w:color="auto"/>
            </w:tcBorders>
          </w:tcPr>
          <w:p>
            <w:pPr>
              <w:spacing w:after="0"/>
              <w:rPr>
                <w:sz w:val="20"/>
                <w:szCs w:val="20"/>
                <w:color w:val="auto"/>
              </w:rPr>
            </w:pPr>
          </w:p>
        </w:tc>
        <w:tc>
          <w:tcPr>
            <w:tcW w:w="6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of RAC common stock. Not entitled to any 25% match.</w:t>
            </w:r>
          </w:p>
        </w:tc>
        <w:tc>
          <w:tcPr>
            <w:tcW w:w="120" w:type="dxa"/>
            <w:vAlign w:val="bottom"/>
          </w:tcPr>
          <w:p>
            <w:pPr>
              <w:spacing w:after="0"/>
              <w:rPr>
                <w:sz w:val="20"/>
                <w:szCs w:val="20"/>
                <w:color w:val="auto"/>
              </w:rPr>
            </w:pPr>
          </w:p>
        </w:tc>
        <w:tc>
          <w:tcPr>
            <w:tcW w:w="4080" w:type="dxa"/>
            <w:vAlign w:val="bottom"/>
            <w:tcBorders>
              <w:right w:val="single" w:sz="8" w:color="auto"/>
            </w:tcBorders>
          </w:tcPr>
          <w:p>
            <w:pPr>
              <w:spacing w:after="0"/>
              <w:rPr>
                <w:sz w:val="20"/>
                <w:szCs w:val="20"/>
                <w:color w:val="auto"/>
              </w:rPr>
            </w:pPr>
          </w:p>
        </w:tc>
      </w:tr>
      <w:tr>
        <w:trPr>
          <w:trHeight w:val="238"/>
        </w:trPr>
        <w:tc>
          <w:tcPr>
            <w:tcW w:w="460" w:type="dxa"/>
            <w:vAlign w:val="bottom"/>
            <w:tcBorders>
              <w:left w:val="single" w:sz="8" w:color="auto"/>
              <w:bottom w:val="single" w:sz="8" w:color="auto"/>
              <w:right w:val="single" w:sz="8" w:color="auto"/>
            </w:tcBorders>
          </w:tcPr>
          <w:p>
            <w:pPr>
              <w:spacing w:after="0"/>
              <w:rPr>
                <w:sz w:val="20"/>
                <w:szCs w:val="20"/>
                <w:color w:val="auto"/>
              </w:rPr>
            </w:pPr>
          </w:p>
        </w:tc>
        <w:tc>
          <w:tcPr>
            <w:tcW w:w="66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8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260"/>
          </w:cols>
          <w:pgMar w:left="320" w:top="117" w:right="319" w:bottom="1440" w:gutter="0" w:footer="0" w:header="0"/>
        </w:sectPr>
      </w:pPr>
    </w:p>
    <w:bookmarkStart w:id="100" w:name="page101"/>
    <w:bookmarkEnd w:id="100"/>
    <w:p>
      <w:pPr>
        <w:jc w:val="center"/>
        <w:ind w:right="-1100"/>
        <w:spacing w:after="0"/>
        <w:rPr>
          <w:sz w:val="20"/>
          <w:szCs w:val="20"/>
          <w:color w:val="auto"/>
        </w:rPr>
      </w:pPr>
      <w:r>
        <w:rPr>
          <w:rFonts w:ascii="Times New Roman" w:cs="Times New Roman" w:eastAsia="Times New Roman" w:hAnsi="Times New Roman"/>
          <w:sz w:val="22"/>
          <w:szCs w:val="22"/>
          <w:color w:val="auto"/>
        </w:rPr>
        <w:t>EXHIBIT 21.1</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SUBSIDIARIES OF UPBOUND GROUP, INC.</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AS OF DECEMBER 31, 2022</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Acima Holdings, LLC, a Utah limited liability company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Acima Digital, LLC, a Utah limited liability company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Acima Solutions, LLC, a Utah limited liability company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Braveheart Acquisition, LLC, a Delaware limited liability company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Get It Now, LLC, a Delaware limited liability company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Legacy Insurance Co., Ltd., a Bermuda limited company</w:t>
      </w:r>
    </w:p>
    <w:p>
      <w:pPr>
        <w:spacing w:after="0" w:line="220" w:lineRule="exact"/>
        <w:rPr>
          <w:sz w:val="20"/>
          <w:szCs w:val="20"/>
          <w:color w:val="auto"/>
        </w:rPr>
      </w:pPr>
    </w:p>
    <w:p>
      <w:pPr>
        <w:ind w:right="339"/>
        <w:spacing w:after="0" w:line="448" w:lineRule="auto"/>
        <w:rPr>
          <w:sz w:val="20"/>
          <w:szCs w:val="20"/>
          <w:color w:val="auto"/>
        </w:rPr>
      </w:pPr>
      <w:r>
        <w:rPr>
          <w:rFonts w:ascii="Times New Roman" w:cs="Times New Roman" w:eastAsia="Times New Roman" w:hAnsi="Times New Roman"/>
          <w:sz w:val="22"/>
          <w:szCs w:val="22"/>
          <w:color w:val="auto"/>
        </w:rPr>
        <w:t>RAC National Product Service, LLC, a Delaware limited liability company (now known as Rent-A-Center, LLC) RAC Acceptance East, LLC, a Delaware limited liability company</w:t>
      </w:r>
    </w:p>
    <w:p>
      <w:pPr>
        <w:spacing w:after="0" w:line="1" w:lineRule="exact"/>
        <w:rPr>
          <w:sz w:val="20"/>
          <w:szCs w:val="20"/>
          <w:color w:val="auto"/>
        </w:rPr>
      </w:pPr>
    </w:p>
    <w:p>
      <w:pPr>
        <w:ind w:right="4099"/>
        <w:spacing w:after="0" w:line="469" w:lineRule="auto"/>
        <w:rPr>
          <w:sz w:val="20"/>
          <w:szCs w:val="20"/>
          <w:color w:val="auto"/>
        </w:rPr>
      </w:pPr>
      <w:r>
        <w:rPr>
          <w:rFonts w:ascii="Times New Roman" w:cs="Times New Roman" w:eastAsia="Times New Roman" w:hAnsi="Times New Roman"/>
          <w:sz w:val="21"/>
          <w:szCs w:val="21"/>
          <w:color w:val="auto"/>
        </w:rPr>
        <w:t>RAC Mexico Holdings I, LLC, a Delaware limited liability company RAC Mexico Holdings II, LLC, a Delaware limited liability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RAC Mexico Operaciones, S. DE R.L. DE C.V., a México S. DE R.L. DE C.V.</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Rent-A-Center East, Inc., a Delaware corporation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Rent-A-Center Franchising International, Inc., a Texas corporation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Rent-A-Center International, Inc., a Delaware corporation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Rent-A-Center Texas, L.P., a Texas limited partnership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Rent-A-Center Texas, L.L.C., a Nevada limited liability company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Rent-A-Center West, Inc., a Delaware corporation</w:t>
      </w:r>
    </w:p>
    <w:p>
      <w:pPr>
        <w:sectPr>
          <w:pgSz w:w="11900" w:h="16838" w:orient="portrait"/>
          <w:cols w:equalWidth="0" w:num="1">
            <w:col w:w="10139"/>
          </w:cols>
          <w:pgMar w:left="320" w:top="895" w:right="1440"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2"/>
          <w:szCs w:val="22"/>
          <w:u w:val="single" w:color="auto"/>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85" w:lineRule="exact"/>
        <w:rPr>
          <w:sz w:val="20"/>
          <w:szCs w:val="20"/>
          <w:color w:val="auto"/>
        </w:rPr>
      </w:pPr>
    </w:p>
    <w:p>
      <w:pPr>
        <w:ind w:left="640" w:hanging="470"/>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Registration Statement (Form S-8 No. 333-32296) pertaining to the Rent-A-Center, Inc. 401(k) Retirement Savings Plan,</w:t>
      </w:r>
    </w:p>
    <w:p>
      <w:pPr>
        <w:spacing w:after="0" w:line="117" w:lineRule="exact"/>
        <w:rPr>
          <w:rFonts w:ascii="Arial" w:cs="Arial" w:eastAsia="Arial" w:hAnsi="Arial"/>
          <w:sz w:val="18"/>
          <w:szCs w:val="18"/>
          <w:color w:val="auto"/>
        </w:rPr>
      </w:pPr>
    </w:p>
    <w:p>
      <w:pPr>
        <w:ind w:left="820" w:right="360" w:hanging="650"/>
        <w:spacing w:after="0" w:line="287" w:lineRule="auto"/>
        <w:tabs>
          <w:tab w:leader="none" w:pos="642"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Registration Statement (Form S-8 No. 333-40958) pertaining to Amended and Restated Rent-A-Center, Inc. Long-Term Incentive Plan,</w:t>
      </w:r>
    </w:p>
    <w:p>
      <w:pPr>
        <w:spacing w:after="0" w:line="44" w:lineRule="exact"/>
        <w:rPr>
          <w:rFonts w:ascii="Arial" w:cs="Arial" w:eastAsia="Arial" w:hAnsi="Arial"/>
          <w:sz w:val="18"/>
          <w:szCs w:val="18"/>
          <w:color w:val="auto"/>
        </w:rPr>
      </w:pPr>
    </w:p>
    <w:p>
      <w:pPr>
        <w:ind w:left="820" w:right="360" w:hanging="650"/>
        <w:spacing w:after="0" w:line="287" w:lineRule="auto"/>
        <w:tabs>
          <w:tab w:leader="none" w:pos="642"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Registration Statement (Form S-8 No. 333-62582) pertaining to Amended and Restated Rent-A-Center, Inc. Long-Term Incentive Plan,</w:t>
      </w:r>
    </w:p>
    <w:p>
      <w:pPr>
        <w:spacing w:after="0" w:line="44" w:lineRule="exact"/>
        <w:rPr>
          <w:rFonts w:ascii="Arial" w:cs="Arial" w:eastAsia="Arial" w:hAnsi="Arial"/>
          <w:sz w:val="18"/>
          <w:szCs w:val="18"/>
          <w:color w:val="auto"/>
        </w:rPr>
      </w:pPr>
    </w:p>
    <w:p>
      <w:pPr>
        <w:ind w:left="640" w:hanging="470"/>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Registration Statement (Form S-8 No. 333-136615) pertaining to Rent-A-Center, Inc. 2006 Long-Term Incentive Plan,</w:t>
      </w:r>
    </w:p>
    <w:p>
      <w:pPr>
        <w:spacing w:after="0" w:line="117" w:lineRule="exact"/>
        <w:rPr>
          <w:rFonts w:ascii="Arial" w:cs="Arial" w:eastAsia="Arial" w:hAnsi="Arial"/>
          <w:sz w:val="18"/>
          <w:szCs w:val="18"/>
          <w:color w:val="auto"/>
        </w:rPr>
      </w:pPr>
    </w:p>
    <w:p>
      <w:pPr>
        <w:ind w:left="640" w:hanging="470"/>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Registration Statement (Form S-8 No. 333-139792) pertaining to Rent-A-Center, Inc. 2006 Equity Incentive Plan,</w:t>
      </w:r>
    </w:p>
    <w:p>
      <w:pPr>
        <w:spacing w:after="0" w:line="117" w:lineRule="exact"/>
        <w:rPr>
          <w:rFonts w:ascii="Arial" w:cs="Arial" w:eastAsia="Arial" w:hAnsi="Arial"/>
          <w:sz w:val="18"/>
          <w:szCs w:val="18"/>
          <w:color w:val="auto"/>
        </w:rPr>
      </w:pPr>
    </w:p>
    <w:p>
      <w:pPr>
        <w:ind w:left="640" w:hanging="470"/>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Registration Statement (Form S-8 No. 333-145121) pertaining to Rent-A-Center, Inc. Deferred Compensation Plan,</w:t>
      </w:r>
    </w:p>
    <w:p>
      <w:pPr>
        <w:spacing w:after="0" w:line="117" w:lineRule="exact"/>
        <w:rPr>
          <w:rFonts w:ascii="Arial" w:cs="Arial" w:eastAsia="Arial" w:hAnsi="Arial"/>
          <w:sz w:val="18"/>
          <w:szCs w:val="18"/>
          <w:color w:val="auto"/>
        </w:rPr>
      </w:pPr>
    </w:p>
    <w:p>
      <w:pPr>
        <w:ind w:left="820" w:right="180" w:hanging="650"/>
        <w:spacing w:after="0" w:line="287" w:lineRule="auto"/>
        <w:tabs>
          <w:tab w:leader="none" w:pos="642"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Registration Statement (Form S-8 No. 333-171926) pertaining to Rent-A-Center East, Inc. Retirement Savings Plan for Puerto Rico Employees, and</w:t>
      </w:r>
    </w:p>
    <w:p>
      <w:pPr>
        <w:spacing w:after="0" w:line="44" w:lineRule="exact"/>
        <w:rPr>
          <w:rFonts w:ascii="Arial" w:cs="Arial" w:eastAsia="Arial" w:hAnsi="Arial"/>
          <w:sz w:val="18"/>
          <w:szCs w:val="18"/>
          <w:color w:val="auto"/>
        </w:rPr>
      </w:pPr>
    </w:p>
    <w:p>
      <w:pPr>
        <w:ind w:left="640" w:hanging="470"/>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Registration Statement (Form S-8 No. 333-211859) pertaining to Rent-A-Center, Inc. 2016 Long-Term Incentive Plan;</w:t>
      </w:r>
    </w:p>
    <w:p>
      <w:pPr>
        <w:spacing w:after="0" w:line="117" w:lineRule="exact"/>
        <w:rPr>
          <w:rFonts w:ascii="Arial" w:cs="Arial" w:eastAsia="Arial" w:hAnsi="Arial"/>
          <w:sz w:val="18"/>
          <w:szCs w:val="18"/>
          <w:color w:val="auto"/>
        </w:rPr>
      </w:pPr>
    </w:p>
    <w:p>
      <w:pPr>
        <w:ind w:left="640" w:hanging="470"/>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Registration Statement (Form S-8 No.333-256927) pertaining to Rent-A-Center, Inc. 2021 Long-Term Incentive Plan;</w:t>
      </w:r>
    </w:p>
    <w:p>
      <w:pPr>
        <w:spacing w:after="0" w:line="36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of our reports dated February 24, 2023 with respect to the consolidated financial statements of Upbound Group, Inc. and the effectiveness of internal control over financial reporting of Upbound Group, Inc. included in this Annual Report (Form 10-K) of Upbound Group, Inc. for the year ended December 31,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ectPr>
          <w:pgSz w:w="11900" w:h="16838" w:orient="portrait"/>
          <w:cols w:equalWidth="0" w:num="1">
            <w:col w:w="11240"/>
          </w:cols>
          <w:pgMar w:left="320" w:top="126"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31.1</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Mitchell E. Fadel, certify that:</w:t>
      </w:r>
    </w:p>
    <w:p>
      <w:pPr>
        <w:spacing w:after="0" w:line="225"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Upbound Group, Inc.;</w:t>
      </w:r>
    </w:p>
    <w:p>
      <w:pPr>
        <w:spacing w:after="0" w:line="252"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20" w:firstLine="656"/>
        <w:spacing w:after="0" w:line="282" w:lineRule="auto"/>
        <w:tabs>
          <w:tab w:leader="none" w:pos="12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4" w:lineRule="exact"/>
        <w:rPr>
          <w:sz w:val="20"/>
          <w:szCs w:val="20"/>
          <w:color w:val="auto"/>
        </w:rPr>
      </w:pPr>
    </w:p>
    <w:p>
      <w:pPr>
        <w:jc w:val="both"/>
        <w:ind w:left="1300" w:hanging="644"/>
        <w:spacing w:after="0" w:line="266" w:lineRule="auto"/>
        <w:tabs>
          <w:tab w:leader="none" w:pos="129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firstLine="656"/>
        <w:spacing w:after="0" w:line="282" w:lineRule="auto"/>
        <w:tabs>
          <w:tab w:leader="none" w:pos="12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left="1300" w:right="20" w:hanging="644"/>
        <w:spacing w:after="0" w:line="282" w:lineRule="auto"/>
        <w:tabs>
          <w:tab w:leader="none" w:pos="129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2023</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Mitchell E. Fadel</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Mitchell E. Fadel</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6"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31.2</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Fahmi W. Karam, certify that:</w:t>
      </w:r>
    </w:p>
    <w:p>
      <w:pPr>
        <w:spacing w:after="0" w:line="225"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Upbound Group, Inc.;</w:t>
      </w:r>
    </w:p>
    <w:p>
      <w:pPr>
        <w:spacing w:after="0" w:line="252"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20" w:firstLine="656"/>
        <w:spacing w:after="0" w:line="282" w:lineRule="auto"/>
        <w:tabs>
          <w:tab w:leader="none" w:pos="129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4" w:lineRule="exact"/>
        <w:rPr>
          <w:sz w:val="20"/>
          <w:szCs w:val="20"/>
          <w:color w:val="auto"/>
        </w:rPr>
      </w:pPr>
    </w:p>
    <w:p>
      <w:pPr>
        <w:jc w:val="both"/>
        <w:ind w:left="1300" w:hanging="644"/>
        <w:spacing w:after="0" w:line="266" w:lineRule="auto"/>
        <w:tabs>
          <w:tab w:leader="none" w:pos="129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firstLine="656"/>
        <w:spacing w:after="0" w:line="282" w:lineRule="auto"/>
        <w:tabs>
          <w:tab w:leader="none" w:pos="12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left="1300" w:right="20" w:hanging="644"/>
        <w:spacing w:after="0" w:line="282" w:lineRule="auto"/>
        <w:tabs>
          <w:tab w:leader="none" w:pos="129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2023</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Fahmi W. Karam</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Fahmi W. Karam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26"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228"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2"/>
          <w:szCs w:val="22"/>
          <w:color w:val="auto"/>
        </w:rPr>
        <w:t>In connection with the Annual Report on Form 10-K of Upbound Group,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for the period ended December 31, 2022, as filed with the Securities and Exchange Commission on the date hereof (the "</w:t>
      </w:r>
      <w:r>
        <w:rPr>
          <w:rFonts w:ascii="Times New Roman" w:cs="Times New Roman" w:eastAsia="Times New Roman" w:hAnsi="Times New Roman"/>
          <w:sz w:val="22"/>
          <w:szCs w:val="22"/>
          <w:b w:val="1"/>
          <w:bCs w:val="1"/>
          <w:i w:val="1"/>
          <w:iCs w:val="1"/>
          <w:color w:val="auto"/>
        </w:rPr>
        <w:t>Report</w:t>
      </w:r>
      <w:r>
        <w:rPr>
          <w:rFonts w:ascii="Times New Roman" w:cs="Times New Roman" w:eastAsia="Times New Roman" w:hAnsi="Times New Roman"/>
          <w:sz w:val="22"/>
          <w:szCs w:val="22"/>
          <w:color w:val="auto"/>
        </w:rPr>
        <w:t>"), I, Mitchell E. Fadel, Chief Executive Officer and Director of the Company, hereby certify, pursuant to 18 U.S.C. Section 1350, as adopted pursuant to Section 906 of the Sarbanes-Oxley Act of 2002, that, to the best of my knowledge:</w:t>
      </w:r>
    </w:p>
    <w:p>
      <w:pPr>
        <w:spacing w:after="0" w:line="218" w:lineRule="exact"/>
        <w:rPr>
          <w:sz w:val="20"/>
          <w:szCs w:val="20"/>
          <w:color w:val="auto"/>
        </w:rPr>
      </w:pPr>
    </w:p>
    <w:p>
      <w:pPr>
        <w:ind w:left="500" w:hanging="492"/>
        <w:spacing w:after="0"/>
        <w:tabs>
          <w:tab w:leader="none" w:pos="5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246" w:lineRule="exact"/>
        <w:rPr>
          <w:rFonts w:ascii="Times New Roman" w:cs="Times New Roman" w:eastAsia="Times New Roman" w:hAnsi="Times New Roman"/>
          <w:sz w:val="22"/>
          <w:szCs w:val="22"/>
          <w:color w:val="auto"/>
        </w:rPr>
      </w:pPr>
    </w:p>
    <w:p>
      <w:pPr>
        <w:ind w:left="660" w:hanging="652"/>
        <w:spacing w:after="0" w:line="271" w:lineRule="auto"/>
        <w:tabs>
          <w:tab w:leader="none" w:pos="63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u w:val="single" w:color="auto"/>
          <w:color w:val="auto"/>
        </w:rPr>
        <w:t>/s/ Mitchell E. Fadel</w:t>
      </w:r>
    </w:p>
    <w:p>
      <w:pPr>
        <w:spacing w:after="0" w:line="2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Mitchell E. Fadel</w:t>
      </w:r>
    </w:p>
    <w:p>
      <w:pPr>
        <w:spacing w:after="0" w:line="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Chief Executive Officer and Director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24, 2023</w:t>
      </w:r>
    </w:p>
    <w:p>
      <w:pPr>
        <w:spacing w:after="0" w:line="200" w:lineRule="exact"/>
        <w:rPr>
          <w:sz w:val="20"/>
          <w:szCs w:val="20"/>
          <w:color w:val="auto"/>
        </w:rPr>
      </w:pPr>
    </w:p>
    <w:p>
      <w:pPr>
        <w:spacing w:after="0" w:line="2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 signed original of this written statement required by Section 906 has been provided to Upbound Group, Inc. and will be retained by Upbound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26"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228"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2"/>
          <w:szCs w:val="22"/>
          <w:color w:val="auto"/>
        </w:rPr>
        <w:t>In connection with the Annual Report on Form 10-K of Upbound Group,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for the period ended December 31, 2022, as filed with the Securities and Exchange Commission on the date hereof (the "</w:t>
      </w:r>
      <w:r>
        <w:rPr>
          <w:rFonts w:ascii="Times New Roman" w:cs="Times New Roman" w:eastAsia="Times New Roman" w:hAnsi="Times New Roman"/>
          <w:sz w:val="22"/>
          <w:szCs w:val="22"/>
          <w:b w:val="1"/>
          <w:bCs w:val="1"/>
          <w:i w:val="1"/>
          <w:iCs w:val="1"/>
          <w:color w:val="auto"/>
        </w:rPr>
        <w:t>Report</w:t>
      </w:r>
      <w:r>
        <w:rPr>
          <w:rFonts w:ascii="Times New Roman" w:cs="Times New Roman" w:eastAsia="Times New Roman" w:hAnsi="Times New Roman"/>
          <w:sz w:val="22"/>
          <w:szCs w:val="22"/>
          <w:color w:val="auto"/>
        </w:rPr>
        <w:t>"), I, Fahmi W. Karam, Chief Financial Officer of the Company, hereby certify, pursuant to 18 U.S.C. Section 1350, as adopted pursuant to Section 906 of the Sarbanes-Oxley Act of 2002, that, to the best of my knowledge:</w:t>
      </w:r>
    </w:p>
    <w:p>
      <w:pPr>
        <w:spacing w:after="0" w:line="218" w:lineRule="exact"/>
        <w:rPr>
          <w:sz w:val="20"/>
          <w:szCs w:val="20"/>
          <w:color w:val="auto"/>
        </w:rPr>
      </w:pPr>
    </w:p>
    <w:p>
      <w:pPr>
        <w:ind w:left="500" w:hanging="492"/>
        <w:spacing w:after="0"/>
        <w:tabs>
          <w:tab w:leader="none" w:pos="5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246" w:lineRule="exact"/>
        <w:rPr>
          <w:rFonts w:ascii="Times New Roman" w:cs="Times New Roman" w:eastAsia="Times New Roman" w:hAnsi="Times New Roman"/>
          <w:sz w:val="22"/>
          <w:szCs w:val="22"/>
          <w:color w:val="auto"/>
        </w:rPr>
      </w:pPr>
    </w:p>
    <w:p>
      <w:pPr>
        <w:ind w:left="660" w:hanging="652"/>
        <w:spacing w:after="0" w:line="271" w:lineRule="auto"/>
        <w:tabs>
          <w:tab w:leader="none" w:pos="633"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u w:val="single" w:color="auto"/>
          <w:color w:val="auto"/>
        </w:rPr>
        <w:t>/s/ Fahmi W. Karam</w:t>
      </w:r>
    </w:p>
    <w:p>
      <w:pPr>
        <w:spacing w:after="0" w:line="2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Fahmi W. Karam</w:t>
      </w:r>
    </w:p>
    <w:p>
      <w:pPr>
        <w:spacing w:after="0" w:line="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Executive Vice President, Chief Financial Officer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24, 2023</w:t>
      </w:r>
    </w:p>
    <w:p>
      <w:pPr>
        <w:spacing w:after="0" w:line="200" w:lineRule="exact"/>
        <w:rPr>
          <w:sz w:val="20"/>
          <w:szCs w:val="20"/>
          <w:color w:val="auto"/>
        </w:rPr>
      </w:pPr>
    </w:p>
    <w:p>
      <w:pPr>
        <w:spacing w:after="0" w:line="2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 signed original of this written statement required by Section 906 has been provided to Upbound Group, Inc. and will be retained by Upbound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decimal"/>
      <w:start w:val="5"/>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decimal"/>
      <w:start w:val="5"/>
    </w:lvl>
  </w:abstractNum>
  <w:abstractNum w:abstractNumId="52">
    <w:nsid w:val="374A3FE6"/>
    <w:multiLevelType w:val="hybridMultilevel"/>
    <w:lvl w:ilvl="0">
      <w:lvlJc w:val="left"/>
      <w:lvlText w:val="(%1)"/>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23" Type="http://schemas.openxmlformats.org/officeDocument/2006/relationships/image" Target="media/image102.png"/><Relationship Id="rId142" Type="http://schemas.openxmlformats.org/officeDocument/2006/relationships/image" Target="media/image103.png"/><Relationship Id="rId158" Type="http://schemas.openxmlformats.org/officeDocument/2006/relationships/image" Target="media/image104.png"/><Relationship Id="rId166" Type="http://schemas.openxmlformats.org/officeDocument/2006/relationships/image" Target="media/image105.png"/><Relationship Id="rId167" Type="http://schemas.openxmlformats.org/officeDocument/2006/relationships/image" Target="media/image106.png"/><Relationship Id="rId168" Type="http://schemas.openxmlformats.org/officeDocument/2006/relationships/image" Target="media/image107.png"/><Relationship Id="rId169" Type="http://schemas.openxmlformats.org/officeDocument/2006/relationships/image" Target="media/image108.png"/><Relationship Id="rId170" Type="http://schemas.openxmlformats.org/officeDocument/2006/relationships/image" Target="media/image109.png"/><Relationship Id="rId171" Type="http://schemas.openxmlformats.org/officeDocument/2006/relationships/image" Target="media/image110.png"/><Relationship Id="rId172" Type="http://schemas.openxmlformats.org/officeDocument/2006/relationships/image" Target="media/image111.png"/><Relationship Id="rId173" Type="http://schemas.openxmlformats.org/officeDocument/2006/relationships/image" Target="media/image112.png"/><Relationship Id="rId174" Type="http://schemas.openxmlformats.org/officeDocument/2006/relationships/image" Target="media/image113.png"/><Relationship Id="rId175" Type="http://schemas.openxmlformats.org/officeDocument/2006/relationships/image" Target="media/image114.png"/><Relationship Id="rId176" Type="http://schemas.openxmlformats.org/officeDocument/2006/relationships/image" Target="media/image115.png"/><Relationship Id="rId53" Type="http://schemas.openxmlformats.org/officeDocument/2006/relationships/hyperlink" Target="https://www.sec.gov/ix?doc=/Archives/edgar/data/0000933036/000093303622000046/rcii-20211231.htm" TargetMode="External"/><Relationship Id="rId110" Type="http://schemas.openxmlformats.org/officeDocument/2006/relationships/hyperlink" Target="http://www.sec.gov/Archives/edgar/data/933036/000110465920138092/tm2038762d1_ex2-1.htm" TargetMode="External"/><Relationship Id="rId111" Type="http://schemas.openxmlformats.org/officeDocument/2006/relationships/hyperlink" Target="http://www.sec.gov/Archives/edgar/data/933036/000095013402016210/d02215exv3w1.txt" TargetMode="External"/><Relationship Id="rId112" Type="http://schemas.openxmlformats.org/officeDocument/2006/relationships/hyperlink" Target="http://www.sec.gov/Archives/edgar/data/933036/000095013404010948/d17068exv3w2.txt" TargetMode="External"/><Relationship Id="rId113" Type="http://schemas.openxmlformats.org/officeDocument/2006/relationships/hyperlink" Target="http://www.sec.gov/Archives/edgar/data/0000933036/000110465921078652/tm2119045d1_ex3-1.htm" TargetMode="External"/><Relationship Id="rId114" Type="http://schemas.openxmlformats.org/officeDocument/2006/relationships/hyperlink" Target="https://www.sec.gov/Archives/edgar/data/933036/000093303623000044/ex-31_certificateofamendme.htm" TargetMode="External"/><Relationship Id="rId115" Type="http://schemas.openxmlformats.org/officeDocument/2006/relationships/hyperlink" Target="https://www.sec.gov/Archives/edgar/data/933036/000093303623000044/ex-32rentxaxcenterxbylaw.htm" TargetMode="External"/><Relationship Id="rId116" Type="http://schemas.openxmlformats.org/officeDocument/2006/relationships/hyperlink" Target="http://www.sec.gov/Archives/edgar/data/933036/000093303617000022/exhibit31march282017america.htm" TargetMode="External"/><Relationship Id="rId117" Type="http://schemas.openxmlformats.org/officeDocument/2006/relationships/hyperlink" Target="http://www.sec.gov/Archives/edgar/data/933036/000093303617000033/ex-41_q12017.htm" TargetMode="External"/><Relationship Id="rId118" Type="http://schemas.openxmlformats.org/officeDocument/2006/relationships/hyperlink" Target="http://www.sec.gov/Archives/edgar/data/933036/000110465921024846/tm216741d1_ex4-1.htm" TargetMode="External"/><Relationship Id="rId119" Type="http://schemas.openxmlformats.org/officeDocument/2006/relationships/hyperlink" Target="http://www.sec.gov/Archives/edgar/data/933036/000093303621000049/ex-43_q42020.htm" TargetMode="External"/><Relationship Id="rId120" Type="http://schemas.openxmlformats.org/officeDocument/2006/relationships/hyperlink" Target="http://www.sec.gov/Archives/edgar/data/933036/000095013403014447/d10151exv10w1.txt" TargetMode="External"/><Relationship Id="rId121" Type="http://schemas.openxmlformats.org/officeDocument/2006/relationships/hyperlink" Target="http://www.sec.gov/Archives/edgar/data/933036/000095013405004635/d23167exv10w20.htm" TargetMode="External"/><Relationship Id="rId122" Type="http://schemas.openxmlformats.org/officeDocument/2006/relationships/hyperlink" Target="http://www.sec.gov/Archives/edgar/data/933036/000095013405004635/d23167exv10w21.htm" TargetMode="External"/><Relationship Id="rId124" Type="http://schemas.openxmlformats.org/officeDocument/2006/relationships/hyperlink" Target="http://www.sec.gov/Archives/edgar/data/933036/000095013406004738/d32968exv10w15.htm" TargetMode="External"/><Relationship Id="rId125" Type="http://schemas.openxmlformats.org/officeDocument/2006/relationships/hyperlink" Target="http://www.sec.gov/Archives/edgar/data/933036/000095013406004738/d32968exv10w16.htm" TargetMode="External"/><Relationship Id="rId126" Type="http://schemas.openxmlformats.org/officeDocument/2006/relationships/hyperlink" Target="http://www.sec.gov/Archives/edgar/data/933036/000093303617000009/a2016exhibit1014loyaltyagr.htm" TargetMode="External"/><Relationship Id="rId127" Type="http://schemas.openxmlformats.org/officeDocument/2006/relationships/hyperlink" Target="http://www.sec.gov/Archives/edgar/data/933036/000095013406014316/d38165exv10w17.htm" TargetMode="External"/><Relationship Id="rId128" Type="http://schemas.openxmlformats.org/officeDocument/2006/relationships/hyperlink" Target="http://www.sec.gov/Archives/edgar/data/933036/000095013406014316/d38165exv10w18.htm" TargetMode="External"/><Relationship Id="rId129" Type="http://schemas.openxmlformats.org/officeDocument/2006/relationships/hyperlink" Target="http://www.sec.gov/Archives/edgar/data/933036/000095013407004543/d43717exv10w19.htm" TargetMode="External"/><Relationship Id="rId130" Type="http://schemas.openxmlformats.org/officeDocument/2006/relationships/hyperlink" Target="http://www.sec.gov/Archives/edgar/data/933036/000095013407004543/d43717exv10w20.htm" TargetMode="External"/><Relationship Id="rId131" Type="http://schemas.openxmlformats.org/officeDocument/2006/relationships/hyperlink" Target="http://www.sec.gov/Archives/edgar/data/933036/000095013407000078/d42373exv4w5.htm" TargetMode="External"/><Relationship Id="rId132" Type="http://schemas.openxmlformats.org/officeDocument/2006/relationships/hyperlink" Target="http://www.sec.gov/Archives/edgar/data/933036/000095013407004543/d43717exv10w22.htm" TargetMode="External"/><Relationship Id="rId133" Type="http://schemas.openxmlformats.org/officeDocument/2006/relationships/hyperlink" Target="http://www.sec.gov/Archives/edgar/data/933036/000095013407004543/d43717exv10w23.htm" TargetMode="External"/><Relationship Id="rId134" Type="http://schemas.openxmlformats.org/officeDocument/2006/relationships/hyperlink" Target="http://www.sec.gov/Archives/edgar/data/933036/000095013407004543/d43717exv10w24.htm" TargetMode="External"/><Relationship Id="rId135" Type="http://schemas.openxmlformats.org/officeDocument/2006/relationships/hyperlink" Target="http://www.sec.gov/Archives/edgar/data/933036/000095012311018066/d78805exv10w23.htm" TargetMode="External"/><Relationship Id="rId136" Type="http://schemas.openxmlformats.org/officeDocument/2006/relationships/hyperlink" Target="http://www.sec.gov/Archives/edgar/data/933036/000093303617000009/a2016exhibit1024transition.htm" TargetMode="External"/><Relationship Id="rId137" Type="http://schemas.openxmlformats.org/officeDocument/2006/relationships/hyperlink" Target="http://www.sec.gov/Archives/edgar/data/933036/000093303616000050/ex1036rac2016long-termince.htm" TargetMode="External"/><Relationship Id="rId138" Type="http://schemas.openxmlformats.org/officeDocument/2006/relationships/hyperlink" Target="http://www.sec.gov/Archives/edgar/data/933036/000095013407016769/d48725exv10w28.htm" TargetMode="External"/><Relationship Id="rId139" Type="http://schemas.openxmlformats.org/officeDocument/2006/relationships/hyperlink" Target="http://www.sec.gov/Archives/edgar/data/933036/000095013409003883/d66311exv10w30.htm" TargetMode="External"/><Relationship Id="rId140" Type="http://schemas.openxmlformats.org/officeDocument/2006/relationships/hyperlink" Target="http://www.sec.gov/Archives/edgar/data/933036/000095012311006540/d79301exv99w1.htm" TargetMode="External"/><Relationship Id="rId141" Type="http://schemas.openxmlformats.org/officeDocument/2006/relationships/hyperlink" Target="http://www.sec.gov/Archives/edgar/data/933036/000110465913036953/a13-11511_1ex10d1.htm" TargetMode="External"/><Relationship Id="rId143" Type="http://schemas.openxmlformats.org/officeDocument/2006/relationships/hyperlink" Target="http://www.sec.gov/Archives/edgar/data/933036/000093303616000050/ex1037optionagreement-2016.htm" TargetMode="External"/><Relationship Id="rId144" Type="http://schemas.openxmlformats.org/officeDocument/2006/relationships/hyperlink" Target="http://www.sec.gov/Archives/edgar/data/933036/000093303616000050/ex1038rsuagreement-2016ltip.htm" TargetMode="External"/><Relationship Id="rId145" Type="http://schemas.openxmlformats.org/officeDocument/2006/relationships/hyperlink" Target="http://www.sec.gov/Archives/edgar/data/933036/000093303616000050/ex1039psuagreement-2016ltip.htm" TargetMode="External"/><Relationship Id="rId146" Type="http://schemas.openxmlformats.org/officeDocument/2006/relationships/hyperlink" Target="http://www.sec.gov/Archives/edgar/data/933036/000119312518106335/d563036dex101.htm" TargetMode="External"/><Relationship Id="rId147" Type="http://schemas.openxmlformats.org/officeDocument/2006/relationships/hyperlink" Target="http://www.sec.gov/Archives/edgar/data/933036/000119312518176911/d591864dex101.htm" TargetMode="External"/><Relationship Id="rId148" Type="http://schemas.openxmlformats.org/officeDocument/2006/relationships/hyperlink" Target="http://www.sec.gov/Archives/edgar/data/933036/000093303619000011/ex-101_20198xkfadelamend.htm" TargetMode="External"/><Relationship Id="rId149" Type="http://schemas.openxmlformats.org/officeDocument/2006/relationships/hyperlink" Target="http://www.sec.gov/Archives/edgar/data/933036/000093303619000039/exhibit1042termloancredi.htm" TargetMode="External"/><Relationship Id="rId150" Type="http://schemas.openxmlformats.org/officeDocument/2006/relationships/hyperlink" Target="http://www.sec.gov/Archives/edgar/data/933036/000093303619000039/exhibit1043ablcreditagre.htm" TargetMode="External"/><Relationship Id="rId151" Type="http://schemas.openxmlformats.org/officeDocument/2006/relationships/hyperlink" Target="http://www.sec.gov/Archives/edgar/data/933036/000110465921008215/tm214347d1_ex10-1.htm" TargetMode="External"/><Relationship Id="rId152" Type="http://schemas.openxmlformats.org/officeDocument/2006/relationships/hyperlink" Target="http://www.sec.gov/Archives/edgar/data/933036/000093303619000039/exhibit1044tlbguaranteea.htm" TargetMode="External"/><Relationship Id="rId153" Type="http://schemas.openxmlformats.org/officeDocument/2006/relationships/hyperlink" Target="http://www.sec.gov/Archives/edgar/data/933036/000093303619000039/exhibit1045ablguaranteea.htm" TargetMode="External"/><Relationship Id="rId154" Type="http://schemas.openxmlformats.org/officeDocument/2006/relationships/hyperlink" Target="http://www.sec.gov/Archives/edgar/data/933036/000093303620000006/a101consentagreementdate.htm" TargetMode="External"/><Relationship Id="rId155" Type="http://schemas.openxmlformats.org/officeDocument/2006/relationships/hyperlink" Target="http://www.sec.gov/Archives/edgar/data/933036/000110465921024846/tm216741d1_ex10-2.htm" TargetMode="External"/><Relationship Id="rId156" Type="http://schemas.openxmlformats.org/officeDocument/2006/relationships/hyperlink" Target="http://www.sec.gov/Archives/edgar/data/933036/000110465921024846/tm216741d1_ex10-3.htm" TargetMode="External"/><Relationship Id="rId157" Type="http://schemas.openxmlformats.org/officeDocument/2006/relationships/hyperlink" Target="http://www.sec.gov/Archives/edgar/data/933036/000110465921024846/tm216741d1_ex10-1.htm" TargetMode="External"/><Relationship Id="rId159" Type="http://schemas.openxmlformats.org/officeDocument/2006/relationships/hyperlink" Target="http://www.sec.gov/Archives/edgar/data/0000933036/000110465921117907/tm2128048d1_10-1.htm" TargetMode="External"/><Relationship Id="rId160" Type="http://schemas.openxmlformats.org/officeDocument/2006/relationships/hyperlink" Target="http://www.sec.gov/Archives/edgar/data/0000933036/000110465921078652/tm2119045d1_ex10-1.htm" TargetMode="External"/><Relationship Id="rId161" Type="http://schemas.openxmlformats.org/officeDocument/2006/relationships/hyperlink" Target="http://www.sec.gov/Archives/edgar/data/0000933036/000110465921078652/tm2119045d1_ex10-2.htm" TargetMode="External"/><Relationship Id="rId162" Type="http://schemas.openxmlformats.org/officeDocument/2006/relationships/hyperlink" Target="http://www.sec.gov/Archives/edgar/data/0000933036/000110465921078652/tm2119045d1_ex10-3.htm" TargetMode="External"/><Relationship Id="rId163" Type="http://schemas.openxmlformats.org/officeDocument/2006/relationships/hyperlink" Target="http://www.sec.gov/Archives/edgar/data/0000933036/000110465921078652/tm2119045d1_ex10-4.htm" TargetMode="External"/><Relationship Id="rId164" Type="http://schemas.openxmlformats.org/officeDocument/2006/relationships/hyperlink" Target="http://www.sec.gov/Archives/edgar/data/0000933036/000110465921078652/tm2119045d1_ex10-5.htm" TargetMode="External"/><Relationship Id="rId165" Type="http://schemas.openxmlformats.org/officeDocument/2006/relationships/hyperlink" Target="http://www.sec.gov/Archives/edgar/data/933036/000093303622000178/rac-firstamendmenttoabl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2023-02-24T12:53:26Z</dcterms:created>
  <dcterms:modified xsi:type="dcterms:W3CDTF">2023-02-24T12:53:26Z</dcterms:modified>
</cp:coreProperties>
</file>