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Kumar Balaji</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5501 HEADQUARTERS DR</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PLANO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75024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UPBOUND GROUP, INC.</w:t>
              </w:r>
            </w:hyperlink>
            <w:r>
              <w:rPr/>
              <w:t xml:space="preserve"> [ </w:t>
            </w:r>
            <w:r>
              <w:rPr>
                <w:rFonts w:ascii="Times;serif" w:hAnsi="Times;serif"/>
                <w:color w:val="0000FF"/>
                <w:sz w:val="24"/>
                <w:shd w:fill="FFFFFF" w:val="clear"/>
              </w:rPr>
              <w:t>UPBD</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EVP, Chief Technology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3184" w:type="dxa"/>
        <w:jc w:val="left"/>
        <w:tblInd w:w="-7" w:type="dxa"/>
        <w:tblLayout w:type="fixed"/>
        <w:tblCellMar>
          <w:top w:w="60" w:type="dxa"/>
          <w:left w:w="60" w:type="dxa"/>
          <w:bottom w:w="60" w:type="dxa"/>
          <w:right w:w="60" w:type="dxa"/>
        </w:tblCellMar>
      </w:tblPr>
      <w:tblGrid>
        <w:gridCol w:w="1595"/>
        <w:gridCol w:w="861"/>
        <w:gridCol w:w="891"/>
        <w:gridCol w:w="771"/>
        <w:gridCol w:w="591"/>
        <w:gridCol w:w="300"/>
        <w:gridCol w:w="816"/>
        <w:gridCol w:w="276"/>
        <w:gridCol w:w="906"/>
        <w:gridCol w:w="801"/>
        <w:gridCol w:w="1041"/>
        <w:gridCol w:w="921"/>
        <w:gridCol w:w="801"/>
        <w:gridCol w:w="936"/>
        <w:gridCol w:w="831"/>
        <w:gridCol w:w="846"/>
      </w:tblGrid>
      <w:tr>
        <w:trPr>
          <w:tblHeader w:val="true"/>
        </w:trPr>
        <w:tc>
          <w:tcPr>
            <w:tcW w:w="1318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59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9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59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104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59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PERFORMANCE STOCK UNITS</w:t>
            </w:r>
            <w:r>
              <w:rPr>
                <w:rFonts w:ascii="Times;serif" w:hAnsi="Times;serif"/>
                <w:color w:val="008000"/>
                <w:position w:val="7"/>
                <w:sz w:val="16"/>
                <w:sz w:val="20"/>
                <w:shd w:fill="FFFFFF" w:val="clear"/>
              </w:rPr>
              <w:t>(1)</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130,299</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104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130,299</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130,299</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a supplemental equity award consisting of restricted stock units and performance stock units to promote retention of key executives and to incentivize share price appreciation measured against predetermined stock prices.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the portion of the supplemental equity award granted as performance stock units, which are eligible to vest, if at all, based on the achievement of predetermined 20-trading-day average closing stock prices during a four-year performance period, subject to the reporting person's continued employment through the applicable vesting date. The performance stock units are divided into three tranches: 33% eligible to be earned upon a 20-trading-day average closing price of $24.18, 33% upon a 20-trading-day average closing price of $31.43, and 34% upon a 20-trading-day average closing price of $38.68. For each tranche, the vesting date is the later of the third anniversary of the grant date September 1, 2029, and the date the applicable stock price is attained.</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Power of Attorney (Exhibit)</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Andrew West,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left"/>
        <w:rPr/>
      </w:pPr>
      <w:bookmarkStart w:id="2" w:name="upbd-ex24.htm"/>
      <w:bookmarkStart w:id="3" w:name="ksupbdex24"/>
      <w:bookmarkEnd w:id="2"/>
      <w:bookmarkEnd w:id="3"/>
      <w:r>
        <w:rPr/>
        <w:t> </w:t>
      </w:r>
      <w:r>
        <w:br w:type="page"/>
      </w:r>
    </w:p>
    <w:p>
      <w:pPr>
        <w:pStyle w:val="TextBody"/>
        <w:bidi w:val="0"/>
        <w:spacing w:before="0" w:after="360"/>
        <w:jc w:val="center"/>
        <w:rPr>
          <w:rFonts w:ascii="sans-serif" w:hAnsi="sans-serif"/>
          <w:b/>
          <w:caps/>
          <w:color w:val="000000"/>
          <w:sz w:val="22"/>
        </w:rPr>
      </w:pPr>
      <w:r>
        <w:rPr>
          <w:rFonts w:ascii="sans-serif" w:hAnsi="sans-serif"/>
          <w:b/>
          <w:caps/>
          <w:color w:val="000000"/>
          <w:sz w:val="22"/>
        </w:rPr>
        <w:t>POWER OF ATTORNEY</w:t>
      </w:r>
    </w:p>
    <w:p>
      <w:pPr>
        <w:pStyle w:val="TextBody"/>
        <w:bidi w:val="0"/>
        <w:spacing w:before="0" w:after="240"/>
        <w:jc w:val="center"/>
        <w:rPr>
          <w:rFonts w:ascii="sans-serif" w:hAnsi="sans-serif"/>
          <w:b/>
          <w:color w:val="000000"/>
          <w:sz w:val="22"/>
        </w:rPr>
      </w:pPr>
      <w:r>
        <w:rPr>
          <w:rFonts w:ascii="sans-serif" w:hAnsi="sans-serif"/>
          <w:b/>
          <w:color w:val="000000"/>
          <w:sz w:val="22"/>
        </w:rPr>
        <w:t>Balaji Kumar</w:t>
      </w:r>
    </w:p>
    <w:p>
      <w:pPr>
        <w:pStyle w:val="TextBody"/>
        <w:bidi w:val="0"/>
        <w:spacing w:before="0" w:after="240"/>
        <w:jc w:val="both"/>
        <w:rPr>
          <w:rFonts w:ascii="sans-serif" w:hAnsi="sans-serif"/>
          <w:color w:val="000000"/>
          <w:sz w:val="22"/>
        </w:rPr>
      </w:pPr>
      <w:r>
        <w:rPr>
          <w:rFonts w:ascii="sans-serif" w:hAnsi="sans-serif"/>
          <w:color w:val="000000"/>
          <w:sz w:val="22"/>
        </w:rPr>
        <w:t>Know all by these presents, that the undersigned hereby constitutes and appoints Andrew West the undersigned’s true and lawful attorney-in-fact to:</w:t>
      </w:r>
    </w:p>
    <w:p>
      <w:pPr>
        <w:pStyle w:val="TextBody"/>
        <w:bidi w:val="0"/>
        <w:spacing w:before="0" w:after="240"/>
        <w:jc w:val="both"/>
        <w:rPr>
          <w:rFonts w:ascii="sans-serif" w:hAnsi="sans-serif"/>
          <w:color w:val="000000"/>
          <w:sz w:val="22"/>
        </w:rPr>
      </w:pPr>
      <w:r>
        <w:rPr>
          <w:rFonts w:ascii="sans-serif" w:hAnsi="sans-serif"/>
          <w:color w:val="000000"/>
          <w:sz w:val="22"/>
        </w:rPr>
        <w:t>1.</w:t>
      </w:r>
    </w:p>
    <w:p>
      <w:pPr>
        <w:pStyle w:val="TextBody"/>
        <w:bidi w:val="0"/>
        <w:spacing w:before="0" w:after="240"/>
        <w:jc w:val="both"/>
        <w:rPr>
          <w:rFonts w:ascii="sans-serif" w:hAnsi="sans-serif"/>
          <w:sz w:val="22"/>
        </w:rPr>
      </w:pPr>
      <w:r>
        <w:rPr>
          <w:rFonts w:ascii="sans-serif" w:hAnsi="sans-serif"/>
          <w:color w:val="000000"/>
          <w:sz w:val="22"/>
        </w:rPr>
        <w:t>execute for and on behalf of the undersigned, in the undersigned’s capacity as an officer and/or director of Upbound Group, Inc. (the “</w:t>
      </w:r>
      <w:r>
        <w:rPr>
          <w:rFonts w:ascii="sans-serif" w:hAnsi="sans-serif"/>
          <w:b/>
          <w:i/>
          <w:color w:val="000000"/>
          <w:sz w:val="22"/>
        </w:rPr>
        <w:t>Company</w:t>
      </w:r>
      <w:r>
        <w:rPr>
          <w:rFonts w:ascii="sans-serif" w:hAnsi="sans-serif"/>
          <w:color w:val="000000"/>
          <w:sz w:val="22"/>
        </w:rPr>
        <w:t>”), (i) Forms 3, 4 and 5 in accordance with Section 16(a) of the Securities Exchange Act of 1934 and the rules thereunder; and (ii) Form 144 as may be required in connection with any public resales of Company securities by the undersigned (collectively, together with any amendments thereto, the “</w:t>
      </w:r>
      <w:r>
        <w:rPr>
          <w:rFonts w:ascii="sans-serif" w:hAnsi="sans-serif"/>
          <w:b/>
          <w:i/>
          <w:color w:val="000000"/>
          <w:sz w:val="22"/>
        </w:rPr>
        <w:t>SEC Forms</w:t>
      </w:r>
      <w:r>
        <w:rPr>
          <w:rFonts w:ascii="sans-serif" w:hAnsi="sans-serif"/>
          <w:color w:val="000000"/>
          <w:sz w:val="22"/>
        </w:rPr>
        <w:t>”);</w:t>
      </w:r>
    </w:p>
    <w:p>
      <w:pPr>
        <w:pStyle w:val="TextBody"/>
        <w:bidi w:val="0"/>
        <w:spacing w:before="0" w:after="240"/>
        <w:jc w:val="both"/>
        <w:rPr>
          <w:rFonts w:ascii="sans-serif" w:hAnsi="sans-serif"/>
          <w:color w:val="000000"/>
          <w:sz w:val="22"/>
        </w:rPr>
      </w:pPr>
      <w:r>
        <w:rPr>
          <w:rFonts w:ascii="sans-serif" w:hAnsi="sans-serif"/>
          <w:color w:val="000000"/>
          <w:sz w:val="22"/>
        </w:rPr>
        <w:t>2.</w:t>
      </w:r>
    </w:p>
    <w:p>
      <w:pPr>
        <w:pStyle w:val="TextBody"/>
        <w:bidi w:val="0"/>
        <w:spacing w:before="0" w:after="240"/>
        <w:jc w:val="both"/>
        <w:rPr>
          <w:rFonts w:ascii="sans-serif" w:hAnsi="sans-serif"/>
          <w:color w:val="000000"/>
          <w:sz w:val="22"/>
        </w:rPr>
      </w:pPr>
      <w:r>
        <w:rPr>
          <w:rFonts w:ascii="sans-serif" w:hAnsi="sans-serif"/>
          <w:color w:val="000000"/>
          <w:sz w:val="22"/>
        </w:rPr>
        <w:t>do and perform any and all acts for and on behalf of the undersigned which may be necessary or desirable to complete and execute any SEC Forms and file such forms with the United States Securities and Exchange Commission (the “SEC”) and any stock exchange or similar authority, including without limitation, preparation and execution of any related forms, applications or documents; and</w:t>
      </w:r>
    </w:p>
    <w:p>
      <w:pPr>
        <w:pStyle w:val="TextBody"/>
        <w:bidi w:val="0"/>
        <w:spacing w:before="0" w:after="240"/>
        <w:jc w:val="both"/>
        <w:rPr>
          <w:rFonts w:ascii="sans-serif" w:hAnsi="sans-serif"/>
          <w:color w:val="000000"/>
          <w:sz w:val="22"/>
        </w:rPr>
      </w:pPr>
      <w:r>
        <w:rPr>
          <w:rFonts w:ascii="sans-serif" w:hAnsi="sans-serif"/>
          <w:color w:val="000000"/>
          <w:sz w:val="22"/>
        </w:rPr>
        <w:t>3.</w:t>
      </w:r>
    </w:p>
    <w:p>
      <w:pPr>
        <w:pStyle w:val="TextBody"/>
        <w:bidi w:val="0"/>
        <w:spacing w:before="0" w:after="240"/>
        <w:jc w:val="both"/>
        <w:rPr>
          <w:rFonts w:ascii="sans-serif" w:hAnsi="sans-serif"/>
          <w:color w:val="000000"/>
          <w:sz w:val="22"/>
        </w:rPr>
      </w:pPr>
      <w:r>
        <w:rPr>
          <w:rFonts w:ascii="sans-serif" w:hAnsi="sans-serif"/>
          <w:color w:val="000000"/>
          <w:sz w:val="22"/>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pStyle w:val="TextBody"/>
        <w:bidi w:val="0"/>
        <w:spacing w:before="0" w:after="240"/>
        <w:jc w:val="both"/>
        <w:rPr>
          <w:rFonts w:ascii="sans-serif" w:hAnsi="sans-serif"/>
          <w:color w:val="000000"/>
          <w:sz w:val="22"/>
        </w:rPr>
      </w:pPr>
      <w:r>
        <w:rPr>
          <w:rFonts w:ascii="sans-serif" w:hAnsi="sans-serif"/>
          <w:color w:val="000000"/>
          <w:sz w:val="22"/>
        </w:rPr>
        <w:t>The undersigned hereby grants to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or shall lawfully have already done or caused to be done, by virtue of this Power of Attorney and the rights and powers herein granted. The undersigned acknowledges that the foregoing attorney-in-fact, in serving in such capacity at the request of the undersigned, is not assuming, nor is the Company assuming, any of the undersigned’s responsibilities to comply with Section 16 of the Securities Exchange Act of 1934, as amended, or any other legal requirements of the undersigned.</w:t>
      </w:r>
    </w:p>
    <w:p>
      <w:pPr>
        <w:pStyle w:val="TextBody"/>
        <w:bidi w:val="0"/>
        <w:spacing w:before="0" w:after="240"/>
        <w:jc w:val="both"/>
        <w:rPr>
          <w:rFonts w:ascii="sans-serif" w:hAnsi="sans-serif"/>
          <w:color w:val="000000"/>
          <w:sz w:val="22"/>
        </w:rPr>
      </w:pPr>
      <w:r>
        <w:rPr>
          <w:rFonts w:ascii="sans-serif" w:hAnsi="sans-serif"/>
          <w:color w:val="000000"/>
          <w:sz w:val="22"/>
        </w:rPr>
        <w:t>This Power of Attorney shall remain in full force and effect until the undersigned is no longer required to file any SEC Forms with respect to the undersigned’s holdings of and transactions in securities issued by the Company, unless earlier revoked by the undersigned in a signed writing delivered to the foregoing attorney-in-fact.</w:t>
      </w:r>
    </w:p>
    <w:p>
      <w:pPr>
        <w:pStyle w:val="TextBody"/>
        <w:bidi w:val="0"/>
        <w:jc w:val="right"/>
        <w:rPr>
          <w:rFonts w:ascii="sans-serif" w:hAnsi="sans-serif"/>
          <w:sz w:val="20"/>
        </w:rPr>
      </w:pPr>
      <w:r>
        <w:rPr>
          <w:rFonts w:ascii="sans-serif" w:hAnsi="sans-serif"/>
          <w:color w:val="000000"/>
          <w:sz w:val="20"/>
        </w:rPr>
        <w:t xml:space="preserve">Power of Attorney of Balaji Kumar | Page </w:t>
      </w:r>
      <w:r>
        <w:rPr>
          <w:rFonts w:ascii="sans-serif" w:hAnsi="sans-serif"/>
          <w:b/>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sans-serif" w:hAnsi="sans-serif"/>
          <w:sz w:val="22"/>
        </w:rPr>
      </w:pPr>
      <w:r>
        <w:rPr>
          <w:rFonts w:ascii="sans-serif" w:hAnsi="sans-serif"/>
          <w:b/>
          <w:color w:val="000000"/>
          <w:sz w:val="22"/>
        </w:rPr>
        <w:t xml:space="preserve">IN WITNESS WHEREOF, </w:t>
      </w:r>
      <w:r>
        <w:rPr>
          <w:rFonts w:ascii="sans-serif" w:hAnsi="sans-serif"/>
          <w:color w:val="000000"/>
          <w:sz w:val="22"/>
        </w:rPr>
        <w:t>the undersigned has caused this Power of Attorney to be executed as of this 23rd day of June, 2026.</w:t>
      </w:r>
    </w:p>
    <w:p>
      <w:pPr>
        <w:pStyle w:val="TextBody"/>
        <w:bidi w:val="0"/>
        <w:jc w:val="left"/>
        <w:rPr/>
      </w:pPr>
      <w:r>
        <w:rPr/>
        <w:t> </w:t>
      </w:r>
    </w:p>
    <w:p>
      <w:pPr>
        <w:pStyle w:val="TextBody"/>
        <w:bidi w:val="0"/>
        <w:jc w:val="left"/>
        <w:rPr>
          <w:rFonts w:ascii="sans-serif" w:hAnsi="sans-serif"/>
          <w:color w:val="000000"/>
          <w:sz w:val="22"/>
          <w:u w:val="single"/>
        </w:rPr>
      </w:pPr>
      <w:r>
        <w:rPr>
          <w:rFonts w:ascii="sans-serif" w:hAnsi="sans-serif"/>
          <w:color w:val="000000"/>
          <w:sz w:val="22"/>
          <w:u w:val="single"/>
        </w:rPr>
        <w:t xml:space="preserve">/s/ Balaji Kumar </w:t>
      </w:r>
    </w:p>
    <w:p>
      <w:pPr>
        <w:pStyle w:val="TextBody"/>
        <w:bidi w:val="0"/>
        <w:jc w:val="left"/>
        <w:rPr>
          <w:rFonts w:ascii="sans-serif" w:hAnsi="sans-serif"/>
          <w:color w:val="000000"/>
          <w:sz w:val="22"/>
        </w:rPr>
      </w:pPr>
      <w:r>
        <w:rPr>
          <w:rFonts w:ascii="sans-serif" w:hAnsi="sans-serif"/>
          <w:color w:val="000000"/>
          <w:sz w:val="22"/>
        </w:rPr>
        <w:t>Name: Balaji Kumar</w:t>
      </w:r>
    </w:p>
    <w:p>
      <w:pPr>
        <w:pStyle w:val="TextBody"/>
        <w:bidi w:val="0"/>
        <w:jc w:val="left"/>
        <w:rPr>
          <w:rFonts w:ascii="sans-serif" w:hAnsi="sans-serif"/>
          <w:color w:val="000000"/>
          <w:sz w:val="22"/>
        </w:rPr>
      </w:pPr>
      <w:r>
        <w:rPr>
          <w:rFonts w:ascii="sans-serif" w:hAnsi="sans-serif"/>
          <w:color w:val="000000"/>
          <w:sz w:val="22"/>
        </w:rPr>
        <w:t>Title: Individual</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both"/>
        <w:rPr/>
      </w:pPr>
      <w:r>
        <w:rPr/>
        <w:t> </w:t>
      </w:r>
    </w:p>
    <w:p>
      <w:pPr>
        <w:pStyle w:val="TextBody"/>
        <w:bidi w:val="0"/>
        <w:jc w:val="left"/>
        <w:rPr/>
      </w:pPr>
      <w:r>
        <w:rPr/>
        <w:t> </w:t>
      </w:r>
    </w:p>
    <w:p>
      <w:pPr>
        <w:pStyle w:val="TextBody"/>
        <w:bidi w:val="0"/>
        <w:jc w:val="right"/>
        <w:rPr>
          <w:rFonts w:ascii="sans-serif" w:hAnsi="sans-serif"/>
          <w:sz w:val="20"/>
        </w:rPr>
      </w:pPr>
      <w:r>
        <w:rPr>
          <w:rFonts w:ascii="sans-serif" w:hAnsi="sans-serif"/>
          <w:color w:val="000000"/>
          <w:sz w:val="20"/>
        </w:rPr>
        <w:t xml:space="preserve">Power of Attorney of Balaji Kumar | Page </w:t>
      </w:r>
      <w:r>
        <w:rPr>
          <w:rFonts w:ascii="sans-serif" w:hAnsi="sans-serif"/>
          <w:b/>
          <w:color w:val="000000"/>
          <w:sz w:val="20"/>
        </w:rPr>
        <w:t>2</w:t>
      </w:r>
      <w:r>
        <w:rPr>
          <w:rFonts w:ascii="sans-serif" w:hAnsi="sans-serif"/>
          <w:color w:val="000000"/>
          <w:sz w:val="20"/>
        </w:rPr>
        <w:t xml:space="preserve">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126298" TargetMode="External"/><Relationship Id="rId5" Type="http://schemas.openxmlformats.org/officeDocument/2006/relationships/hyperlink" Target="http://www.sec.gov/cgi-bin/browse-edgar?action=getcompany&amp;CIK=000093303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1234</Words>
  <Characters>6635</Characters>
  <CharactersWithSpaces>7788</CharactersWithSpaces>
  <Paragraphs>127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