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Khouri Halim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84" w:type="dxa"/>
        <w:jc w:val="left"/>
        <w:tblInd w:w="-7" w:type="dxa"/>
        <w:tblLayout w:type="fixed"/>
        <w:tblCellMar>
          <w:top w:w="60" w:type="dxa"/>
          <w:left w:w="60" w:type="dxa"/>
          <w:bottom w:w="60" w:type="dxa"/>
          <w:right w:w="60" w:type="dxa"/>
        </w:tblCellMar>
      </w:tblPr>
      <w:tblGrid>
        <w:gridCol w:w="1595"/>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31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177,998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177,998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supplemental equity award consisting of restricted stock units and performance stock units to promote retention of key executives and to incentivize share price appreciation measured against predetermined stock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portion of the supplemental equity award granted as performance stock units, which are eligible to vest, if at all, based on the achievement of predetermined 20-trading-day average closing stock prices during a four-year performance period, subject to the reporting person's continued employment through the applicable vesting date. The performance stock units are divided into three tranches: 33% eligible to be earned upon a 20-trading-day average closing price of $24.18, 33% upon a 20-trading-day average closing price of $31.43, and 34% upon a 20-trading-day average closing price of $38.68. For each tranche, the vesting date is the later of the third anniversary of the grant date September 1, 2029, and the date the applicable stock price is attained.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upbd-ex24.htm"/>
      <w:bookmarkStart w:id="3" w:name="ksupbdex24"/>
      <w:bookmarkEnd w:id="2"/>
      <w:bookmarkEnd w:id="3"/>
      <w:r>
        <w:rPr/>
        <w:t> </w:t>
      </w:r>
      <w:r>
        <w:br w:type="page"/>
      </w:r>
    </w:p>
    <w:p>
      <w:pPr>
        <w:pStyle w:val="TextBody"/>
        <w:bidi w:val="0"/>
        <w:spacing w:before="0" w:after="360"/>
        <w:jc w:val="center"/>
        <w:rPr>
          <w:rFonts w:ascii="sans-serif" w:hAnsi="sans-serif"/>
          <w:b/>
          <w:caps/>
          <w:color w:val="000000"/>
          <w:sz w:val="22"/>
        </w:rPr>
      </w:pPr>
      <w:r>
        <w:rPr>
          <w:rFonts w:ascii="sans-serif" w:hAnsi="sans-serif"/>
          <w:b/>
          <w:caps/>
          <w:color w:val="000000"/>
          <w:sz w:val="22"/>
        </w:rPr>
        <w:t>POWER OF ATTORNEY</w:t>
      </w:r>
    </w:p>
    <w:p>
      <w:pPr>
        <w:pStyle w:val="TextBody"/>
        <w:bidi w:val="0"/>
        <w:spacing w:before="0" w:after="240"/>
        <w:jc w:val="center"/>
        <w:rPr>
          <w:rFonts w:ascii="sans-serif" w:hAnsi="sans-serif"/>
          <w:b/>
          <w:color w:val="000000"/>
          <w:sz w:val="22"/>
        </w:rPr>
      </w:pPr>
      <w:r>
        <w:rPr>
          <w:rFonts w:ascii="sans-serif" w:hAnsi="sans-serif"/>
          <w:b/>
          <w:color w:val="000000"/>
          <w:sz w:val="22"/>
        </w:rPr>
        <w:t>Hal Khouri</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rFonts w:ascii="sans-serif" w:hAnsi="sans-serif"/>
          <w:sz w:val="22"/>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sans-serif" w:hAnsi="sans-serif"/>
          <w:sz w:val="20"/>
        </w:rPr>
      </w:pPr>
      <w:r>
        <w:rPr>
          <w:rFonts w:ascii="sans-serif" w:hAnsi="sans-serif"/>
          <w:color w:val="000000"/>
          <w:sz w:val="20"/>
        </w:rPr>
        <w:t xml:space="preserve">Power of Attorney of Hal Khouri | Page </w:t>
      </w:r>
      <w:r>
        <w:rPr>
          <w:rFonts w:ascii="sans-serif" w:hAnsi="sans-serif"/>
          <w:b/>
          <w:color w:val="000000"/>
          <w:sz w:val="20"/>
        </w:rPr>
        <w:t>1</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sz w:val="22"/>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3rd 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Hal Khouri </w:t>
      </w:r>
    </w:p>
    <w:p>
      <w:pPr>
        <w:pStyle w:val="TextBody"/>
        <w:bidi w:val="0"/>
        <w:jc w:val="left"/>
        <w:rPr>
          <w:rFonts w:ascii="sans-serif" w:hAnsi="sans-serif"/>
          <w:color w:val="000000"/>
          <w:sz w:val="22"/>
        </w:rPr>
      </w:pPr>
      <w:r>
        <w:rPr>
          <w:rFonts w:ascii="sans-serif" w:hAnsi="sans-serif"/>
          <w:color w:val="000000"/>
          <w:sz w:val="22"/>
        </w:rPr>
        <w:t>Name: Hal Khouri</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sans-serif" w:hAnsi="sans-serif"/>
          <w:sz w:val="20"/>
        </w:rPr>
      </w:pPr>
      <w:r>
        <w:rPr>
          <w:rFonts w:ascii="sans-serif" w:hAnsi="sans-serif"/>
          <w:color w:val="000000"/>
          <w:sz w:val="20"/>
        </w:rPr>
        <w:t xml:space="preserve">Power of Attorney of Hal Khouri | Page </w:t>
      </w:r>
      <w:r>
        <w:rPr>
          <w:rFonts w:ascii="sans-serif" w:hAnsi="sans-serif"/>
          <w:b/>
          <w:color w:val="000000"/>
          <w:sz w:val="20"/>
        </w:rPr>
        <w:t>2</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3120"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1234</Words>
  <Characters>6626</Characters>
  <CharactersWithSpaces>7780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