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6"/>
        </w:rPr>
      </w:pPr>
      <w:r>
        <w:rPr>
          <w:rFonts w:ascii="Times New Roman;sans-serif" w:hAnsi="Times New Roman;sans-serif"/>
          <w:b/>
          <w:color w:val="000000"/>
          <w:sz w:val="26"/>
        </w:rPr>
        <w:t xml:space="preserve">UNITED STATES </w:t>
      </w:r>
    </w:p>
    <w:p>
      <w:pPr>
        <w:pStyle w:val="TextBody"/>
        <w:bidi w:val="0"/>
        <w:spacing w:lineRule="auto" w:line="288" w:before="0" w:after="0"/>
        <w:ind w:left="0" w:right="0" w:firstLine="72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pPr>
      <w:r>
        <w:rPr>
          <w:rFonts w:ascii="Times New Roman;sans-serif" w:hAnsi="Times New Roman;sans-serif"/>
          <w:b/>
          <w:color w:val="000000"/>
          <w:sz w:val="18"/>
        </w:rPr>
        <w:t>Washington, D.C. 20549</w:t>
      </w:r>
      <w:r>
        <w:rPr>
          <w:color w:val="000000"/>
        </w:rPr>
        <w:t> </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10-Q </w:t>
      </w:r>
    </w:p>
    <w:tbl>
      <w:tblPr>
        <w:tblW w:w="9158" w:type="dxa"/>
        <w:jc w:val="center"/>
        <w:tblInd w:w="0" w:type="dxa"/>
        <w:tblLayout w:type="fixed"/>
        <w:tblCellMar>
          <w:top w:w="28" w:type="dxa"/>
          <w:left w:w="28" w:type="dxa"/>
          <w:bottom w:w="28" w:type="dxa"/>
          <w:right w:w="28" w:type="dxa"/>
        </w:tblCellMar>
      </w:tblPr>
      <w:tblGrid>
        <w:gridCol w:w="172"/>
        <w:gridCol w:w="151"/>
        <w:gridCol w:w="151"/>
        <w:gridCol w:w="2538"/>
        <w:gridCol w:w="2538"/>
        <w:gridCol w:w="3608"/>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1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 One)</w:t>
            </w:r>
          </w:p>
        </w:tc>
      </w:tr>
      <w:tr>
        <w:trPr/>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September 30, 2024 </w:t>
      </w:r>
    </w:p>
    <w:p>
      <w:pPr>
        <w:pStyle w:val="TextBody"/>
        <w:bidi w:val="0"/>
        <w:spacing w:lineRule="auto" w:line="288" w:before="0" w:after="0"/>
        <w:jc w:val="center"/>
        <w:rPr/>
      </w:pPr>
      <w:r>
        <w:rPr>
          <w:rFonts w:ascii="Times New Roman;sans-serif" w:hAnsi="Times New Roman;sans-serif"/>
          <w:b/>
          <w:color w:val="000000"/>
          <w:sz w:val="14"/>
        </w:rPr>
        <w:t>or</w:t>
      </w:r>
      <w:r>
        <w:rPr>
          <w:color w:val="000000"/>
        </w:rPr>
        <w:t> </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w:t>
      </w:r>
    </w:p>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Commission File Number: 001-38047 </w:t>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Upbound Group, Inc. </w:t>
      </w:r>
    </w:p>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(Exact name of registrant as specified in its charter)</w:t>
      </w:r>
    </w:p>
    <w:tbl>
      <w:tblPr>
        <w:tblW w:w="4750" w:type="dxa"/>
        <w:jc w:val="center"/>
        <w:tblInd w:w="0" w:type="dxa"/>
        <w:tblLayout w:type="fixed"/>
        <w:tblCellMar>
          <w:top w:w="28" w:type="dxa"/>
          <w:left w:w="28" w:type="dxa"/>
          <w:bottom w:w="28" w:type="dxa"/>
          <w:right w:w="28" w:type="dxa"/>
        </w:tblCellMar>
      </w:tblPr>
      <w:tblGrid>
        <w:gridCol w:w="1086"/>
        <w:gridCol w:w="952"/>
        <w:gridCol w:w="961"/>
        <w:gridCol w:w="109"/>
        <w:gridCol w:w="109"/>
        <w:gridCol w:w="109"/>
        <w:gridCol w:w="416"/>
        <w:gridCol w:w="416"/>
        <w:gridCol w:w="592"/>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45-0491516</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(I.R.S. Employer</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7"/>
              </w:rPr>
            </w:pPr>
            <w:r>
              <w:rPr>
                <w:rFonts w:ascii="Times New Roman;sans-serif" w:hAnsi="Times New Roman;sans-serif"/>
                <w:b w:val="false"/>
                <w:i/>
                <w:color w:val="000000"/>
                <w:sz w:val="17"/>
              </w:rPr>
              <w:t>Identification No.)</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5501 Headquarters Drive, Plano,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75024</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(Zip Code)</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(972) 801-1100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tbl>
      <w:tblPr>
        <w:tblW w:w="6268" w:type="dxa"/>
        <w:jc w:val="center"/>
        <w:tblInd w:w="0" w:type="dxa"/>
        <w:tblLayout w:type="fixed"/>
        <w:tblCellMar>
          <w:top w:w="28" w:type="dxa"/>
          <w:left w:w="28" w:type="dxa"/>
          <w:bottom w:w="28" w:type="dxa"/>
          <w:right w:w="28" w:type="dxa"/>
        </w:tblCellMar>
      </w:tblPr>
      <w:tblGrid>
        <w:gridCol w:w="845"/>
        <w:gridCol w:w="744"/>
        <w:gridCol w:w="750"/>
        <w:gridCol w:w="409"/>
        <w:gridCol w:w="409"/>
        <w:gridCol w:w="411"/>
        <w:gridCol w:w="791"/>
        <w:gridCol w:w="791"/>
        <w:gridCol w:w="1118"/>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$.01 par value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UPBD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The Nasdaq Global Select Market</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Arial;sans-serif" w:hAnsi="Arial;sans-serif"/>
          <w:b w:val="false"/>
          <w:color w:val="000000"/>
          <w:sz w:val="17"/>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jc w:val="both"/>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89"/>
        <w:gridCol w:w="1135"/>
        <w:gridCol w:w="1075"/>
        <w:gridCol w:w="223"/>
        <w:gridCol w:w="223"/>
        <w:gridCol w:w="223"/>
        <w:gridCol w:w="223"/>
        <w:gridCol w:w="223"/>
        <w:gridCol w:w="223"/>
        <w:gridCol w:w="223"/>
        <w:gridCol w:w="223"/>
        <w:gridCol w:w="223"/>
        <w:gridCol w:w="1436"/>
        <w:gridCol w:w="1436"/>
        <w:gridCol w:w="1446"/>
        <w:gridCol w:w="109"/>
        <w:gridCol w:w="109"/>
        <w:gridCol w:w="163"/>
      </w:tblGrid>
      <w:tr>
        <w:trPr/>
        <w:tc>
          <w:tcPr>
            <w:tcW w:w="12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Large accelerated filer</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Accelerated filer</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Non-accelerated filer</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Smaller reporting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Emerging Growth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2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Indicate by check mark whether the registrant is a shell company (as defined in Rule 12b-2 of the Exchange Act).</w:t>
      </w:r>
    </w:p>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Yes ☐ No ☒</w:t>
      </w:r>
    </w:p>
    <w:p>
      <w:pPr>
        <w:pStyle w:val="TextBody"/>
        <w:bidi w:val="0"/>
        <w:spacing w:lineRule="auto" w:line="288" w:before="60" w:after="283"/>
        <w:jc w:val="both"/>
        <w:rPr/>
      </w:pPr>
      <w:r>
        <w:rPr>
          <w:rFonts w:ascii="Arial;sans-serif" w:hAnsi="Arial;sans-serif"/>
          <w:b w:val="false"/>
          <w:color w:val="000000"/>
          <w:sz w:val="17"/>
        </w:rPr>
        <w:t>Indicate the number of shares outstanding of each of the issuer</w:t>
      </w:r>
      <w:r>
        <w:rPr>
          <w:color w:val="000000"/>
        </w:rPr>
        <w:t>’</w:t>
      </w:r>
      <w:r>
        <w:rPr>
          <w:rFonts w:ascii="Arial;sans-serif" w:hAnsi="Arial;sans-serif"/>
          <w:b w:val="false"/>
          <w:color w:val="000000"/>
          <w:sz w:val="17"/>
        </w:rPr>
        <w:t>s classes of common stock, as of October 24, 2024:</w:t>
      </w:r>
    </w:p>
    <w:tbl>
      <w:tblPr>
        <w:tblW w:w="3642" w:type="dxa"/>
        <w:jc w:val="left"/>
        <w:tblInd w:w="0" w:type="dxa"/>
        <w:tblLayout w:type="fixed"/>
        <w:tblCellMar>
          <w:top w:w="28" w:type="dxa"/>
          <w:left w:w="28" w:type="dxa"/>
          <w:bottom w:w="28" w:type="dxa"/>
          <w:right w:w="28" w:type="dxa"/>
        </w:tblCellMar>
      </w:tblPr>
      <w:tblGrid>
        <w:gridCol w:w="830"/>
        <w:gridCol w:w="727"/>
        <w:gridCol w:w="737"/>
        <w:gridCol w:w="109"/>
        <w:gridCol w:w="109"/>
        <w:gridCol w:w="109"/>
        <w:gridCol w:w="299"/>
        <w:gridCol w:w="299"/>
        <w:gridCol w:w="423"/>
      </w:tblGrid>
      <w:tr>
        <w:trPr/>
        <w:tc>
          <w:tcPr>
            <w:tcW w:w="8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Outstanding</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54,699,602</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1"/>
        <w:gridCol w:w="281"/>
        <w:gridCol w:w="284"/>
        <w:gridCol w:w="2833"/>
        <w:gridCol w:w="2833"/>
        <w:gridCol w:w="2840"/>
        <w:gridCol w:w="237"/>
        <w:gridCol w:w="237"/>
        <w:gridCol w:w="339"/>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3">
              <w:r>
                <w:rPr>
                  <w:rStyle w:val="InternetLink"/>
                  <w:rFonts w:ascii="Times New Roman;sans-serif" w:hAnsi="Times New Roman;sans-serif"/>
                  <w:b/>
                  <w:strike w:val="false"/>
                  <w:dstrike w:val="false"/>
                  <w:color w:val="000000"/>
                  <w:sz w:val="20"/>
                  <w:u w:val="none"/>
                  <w:effect w:val="none"/>
                </w:rPr>
                <w:t>PART 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3">
              <w:r>
                <w:rPr>
                  <w:rStyle w:val="InternetLink"/>
                  <w:rFonts w:ascii="Times New Roman;sans-serif" w:hAnsi="Times New Roman;sans-serif"/>
                  <w:b/>
                  <w:strike w:val="false"/>
                  <w:dstrike w:val="false"/>
                  <w:color w:val="000000"/>
                  <w:sz w:val="20"/>
                  <w:u w:val="none"/>
                  <w:effect w:val="none"/>
                </w:rPr>
                <w:t>FINANCIAL INFORMATION</w:t>
              </w:r>
            </w:hyperlink>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3">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3">
              <w:r>
                <w:rPr>
                  <w:rStyle w:val="InternetLink"/>
                  <w:rFonts w:ascii="Times New Roman;sans-serif" w:hAnsi="Times New Roman;sans-serif"/>
                  <w:b w:val="false"/>
                  <w:strike w:val="false"/>
                  <w:dstrike w:val="false"/>
                  <w:color w:val="000000"/>
                  <w:sz w:val="20"/>
                  <w:u w:val="none"/>
                  <w:effect w:val="none"/>
                </w:rPr>
                <w:t>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
              <w:r>
                <w:rPr>
                  <w:rStyle w:val="InternetLink"/>
                  <w:rFonts w:ascii="Times New Roman;sans-serif" w:hAnsi="Times New Roman;sans-serif"/>
                  <w:b w:val="false"/>
                  <w:strike w:val="false"/>
                  <w:dstrike w:val="false"/>
                  <w:color w:val="000080"/>
                  <w:sz w:val="20"/>
                  <w:u w:val="single"/>
                  <w:effect w:val="none"/>
                </w:rPr>
                <w:t>Condensed Consolidated Statements of Operations for the</w:t>
              </w:r>
            </w:hyperlink>
            <w:hyperlink w:anchor="i50f66da4ddeb4db89261e583abade740_19">
              <w:r>
                <w:rPr>
                  <w:rStyle w:val="InternetLink"/>
                  <w:rFonts w:ascii="Times New Roman;sans-serif" w:hAnsi="Times New Roman;sans-serif"/>
                  <w:b w:val="false"/>
                  <w:strike w:val="false"/>
                  <w:dstrike w:val="false"/>
                  <w:color w:val="000080"/>
                  <w:sz w:val="20"/>
                  <w:u w:val="single"/>
                  <w:effect w:val="none"/>
                </w:rPr>
                <w:t xml:space="preserve"> three-month and</w:t>
              </w:r>
            </w:hyperlink>
            <w:hyperlink w:anchor="i50f66da4ddeb4db89261e583abade740_16">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nine-month</w:t>
            </w:r>
            <w:hyperlink w:anchor="i50f66da4ddeb4db89261e583abade740_16">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September 30, 2024</w:t>
            </w:r>
            <w:hyperlink w:anchor="i50f66da4ddeb4db89261e583abade740_16">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9">
              <w:r>
                <w:rPr>
                  <w:rStyle w:val="InternetLink"/>
                  <w:rFonts w:ascii="Times New Roman;sans-serif" w:hAnsi="Times New Roman;sans-serif"/>
                  <w:b w:val="false"/>
                  <w:strike w:val="false"/>
                  <w:dstrike w:val="false"/>
                  <w:color w:val="000080"/>
                  <w:sz w:val="20"/>
                  <w:u w:val="single"/>
                  <w:effect w:val="none"/>
                </w:rPr>
                <w:t>Condensed Consolidated Statements of Comprehensive</w:t>
              </w:r>
            </w:hyperlink>
            <w:hyperlink w:anchor="i50f66da4ddeb4db89261e583abade740_19">
              <w:r>
                <w:rPr>
                  <w:rStyle w:val="InternetLink"/>
                  <w:rFonts w:ascii="Times New Roman;sans-serif" w:hAnsi="Times New Roman;sans-serif"/>
                  <w:b w:val="false"/>
                  <w:strike w:val="false"/>
                  <w:dstrike w:val="false"/>
                  <w:color w:val="000080"/>
                  <w:sz w:val="20"/>
                  <w:u w:val="single"/>
                  <w:effect w:val="none"/>
                </w:rPr>
                <w:t xml:space="preserve"> Income</w:t>
              </w:r>
            </w:hyperlink>
            <w:hyperlink w:anchor="i50f66da4ddeb4db89261e583abade740_19">
              <w:r>
                <w:rPr>
                  <w:rStyle w:val="InternetLink"/>
                  <w:rFonts w:ascii="Times New Roman;sans-serif" w:hAnsi="Times New Roman;sans-serif"/>
                  <w:b w:val="false"/>
                  <w:strike w:val="false"/>
                  <w:dstrike w:val="false"/>
                  <w:color w:val="000080"/>
                  <w:sz w:val="20"/>
                  <w:u w:val="single"/>
                  <w:effect w:val="none"/>
                </w:rPr>
                <w:t xml:space="preserve"> </w:t>
              </w:r>
            </w:hyperlink>
            <w:hyperlink w:anchor="i50f66da4ddeb4db89261e583abade740_19">
              <w:r>
                <w:rPr>
                  <w:rStyle w:val="InternetLink"/>
                  <w:rFonts w:ascii="Times New Roman;sans-serif" w:hAnsi="Times New Roman;sans-serif"/>
                  <w:b w:val="false"/>
                  <w:strike w:val="false"/>
                  <w:dstrike w:val="false"/>
                  <w:color w:val="000080"/>
                  <w:sz w:val="20"/>
                  <w:u w:val="single"/>
                  <w:effect w:val="none"/>
                </w:rPr>
                <w:t>for the</w:t>
              </w:r>
            </w:hyperlink>
            <w:hyperlink w:anchor="i50f66da4ddeb4db89261e583abade740_19">
              <w:r>
                <w:rPr>
                  <w:rStyle w:val="InternetLink"/>
                  <w:rFonts w:ascii="Times New Roman;sans-serif" w:hAnsi="Times New Roman;sans-serif"/>
                  <w:b w:val="false"/>
                  <w:strike w:val="false"/>
                  <w:dstrike w:val="false"/>
                  <w:color w:val="000080"/>
                  <w:sz w:val="20"/>
                  <w:u w:val="single"/>
                  <w:effect w:val="none"/>
                </w:rPr>
                <w:t xml:space="preserve"> three-month and </w:t>
              </w:r>
            </w:hyperlink>
            <w:r>
              <w:rPr>
                <w:rFonts w:ascii="Times New Roman;sans-serif" w:hAnsi="Times New Roman;sans-serif"/>
                <w:b w:val="false"/>
                <w:color w:val="000000"/>
                <w:sz w:val="20"/>
              </w:rPr>
              <w:t>nine-month</w:t>
            </w:r>
            <w:hyperlink w:anchor="i50f66da4ddeb4db89261e583abade740_19">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September 30, 2024</w:t>
            </w:r>
            <w:hyperlink w:anchor="i50f66da4ddeb4db89261e583abade740_19">
              <w:r>
                <w:rPr>
                  <w:rStyle w:val="InternetLink"/>
                  <w:rFonts w:ascii="Times New Roman;sans-serif" w:hAnsi="Times New Roman;sans-serif"/>
                  <w:b w:val="false"/>
                  <w:strike w:val="false"/>
                  <w:dstrike w:val="false"/>
                  <w:color w:val="000080"/>
                  <w:sz w:val="20"/>
                  <w:u w:val="single"/>
                  <w:effect w:val="none"/>
                </w:rPr>
                <w:t xml:space="preserve"> and</w:t>
              </w:r>
            </w:hyperlink>
            <w:hyperlink w:anchor="i50f66da4ddeb4db89261e583abade740_19">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9">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22">
              <w:r>
                <w:rPr>
                  <w:rStyle w:val="InternetLink"/>
                  <w:rFonts w:ascii="Times New Roman;sans-serif" w:hAnsi="Times New Roman;sans-serif"/>
                  <w:b w:val="false"/>
                  <w:strike w:val="false"/>
                  <w:dstrike w:val="false"/>
                  <w:color w:val="000000"/>
                  <w:sz w:val="20"/>
                  <w:u w:val="none"/>
                  <w:effect w:val="none"/>
                </w:rPr>
                <w:t>Condensed Consolidated Balance Sheets as of</w:t>
              </w:r>
            </w:hyperlink>
            <w:r>
              <w:rPr>
                <w:rFonts w:ascii="Times New Roman;sans-serif" w:hAnsi="Times New Roman;sans-serif"/>
                <w:b w:val="false"/>
                <w:color w:val="000000"/>
                <w:sz w:val="20"/>
              </w:rPr>
              <w:t xml:space="preserve"> September 30, 2024</w:t>
            </w:r>
            <w:hyperlink w:anchor="i50f66da4ddeb4db89261e583abade740_22">
              <w:r>
                <w:rPr>
                  <w:rStyle w:val="InternetLink"/>
                  <w:rFonts w:ascii="Times New Roman;sans-serif" w:hAnsi="Times New Roman;sans-serif"/>
                  <w:b w:val="false"/>
                  <w:strike w:val="false"/>
                  <w:dstrike w:val="false"/>
                  <w:color w:val="000080"/>
                  <w:sz w:val="20"/>
                  <w:u w:val="single"/>
                  <w:effect w:val="none"/>
                </w:rPr>
                <w:t xml:space="preserve"> and</w:t>
              </w:r>
            </w:hyperlink>
            <w:hyperlink w:anchor="i50f66da4ddeb4db89261e583abade740_22">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December 31, 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25">
              <w:r>
                <w:rPr>
                  <w:rStyle w:val="InternetLink"/>
                  <w:rFonts w:ascii="Times New Roman;sans-serif" w:hAnsi="Times New Roman;sans-serif"/>
                  <w:b w:val="false"/>
                  <w:strike w:val="false"/>
                  <w:dstrike w:val="false"/>
                  <w:color w:val="000080"/>
                  <w:sz w:val="20"/>
                  <w:u w:val="single"/>
                  <w:effect w:val="none"/>
                </w:rPr>
                <w:t>Condensed Consolidated Statement</w:t>
              </w:r>
            </w:hyperlink>
            <w:hyperlink w:anchor="i50f66da4ddeb4db89261e583abade740_25">
              <w:r>
                <w:rPr>
                  <w:rStyle w:val="InternetLink"/>
                  <w:rFonts w:ascii="Times New Roman;sans-serif" w:hAnsi="Times New Roman;sans-serif"/>
                  <w:b w:val="false"/>
                  <w:strike w:val="false"/>
                  <w:dstrike w:val="false"/>
                  <w:color w:val="000080"/>
                  <w:sz w:val="20"/>
                  <w:u w:val="single"/>
                  <w:effect w:val="none"/>
                </w:rPr>
                <w:t>s</w:t>
              </w:r>
            </w:hyperlink>
            <w:hyperlink w:anchor="i50f66da4ddeb4db89261e583abade740_25">
              <w:r>
                <w:rPr>
                  <w:rStyle w:val="InternetLink"/>
                  <w:rFonts w:ascii="Times New Roman;sans-serif" w:hAnsi="Times New Roman;sans-serif"/>
                  <w:b w:val="false"/>
                  <w:strike w:val="false"/>
                  <w:dstrike w:val="false"/>
                  <w:color w:val="000080"/>
                  <w:sz w:val="20"/>
                  <w:u w:val="single"/>
                  <w:effect w:val="none"/>
                </w:rPr>
                <w:t xml:space="preserve"> of Stockholders</w:t>
              </w:r>
            </w:hyperlink>
            <w:hyperlink w:anchor="i50f66da4ddeb4db89261e583abade740_25">
              <w:r>
                <w:rPr>
                  <w:rStyle w:val="InternetLink"/>
                  <w:rFonts w:ascii="Times New Roman;sans-serif" w:hAnsi="Times New Roman;sans-serif"/>
                  <w:b w:val="false"/>
                  <w:strike w:val="false"/>
                  <w:dstrike w:val="false"/>
                  <w:color w:val="000080"/>
                  <w:sz w:val="20"/>
                  <w:u w:val="single"/>
                  <w:effect w:val="none"/>
                </w:rPr>
                <w:t>’</w:t>
              </w:r>
            </w:hyperlink>
            <w:hyperlink w:anchor="i50f66da4ddeb4db89261e583abade740_25">
              <w:r>
                <w:rPr>
                  <w:rStyle w:val="InternetLink"/>
                  <w:rFonts w:ascii="Times New Roman;sans-serif" w:hAnsi="Times New Roman;sans-serif"/>
                  <w:b w:val="false"/>
                  <w:strike w:val="false"/>
                  <w:dstrike w:val="false"/>
                  <w:color w:val="000080"/>
                  <w:sz w:val="20"/>
                  <w:u w:val="single"/>
                  <w:effect w:val="none"/>
                </w:rPr>
                <w:t xml:space="preserve"> Equity for the</w:t>
              </w:r>
            </w:hyperlink>
            <w:hyperlink w:anchor="i50f66da4ddeb4db89261e583abade740_25">
              <w:r>
                <w:rPr>
                  <w:rStyle w:val="InternetLink"/>
                  <w:rFonts w:ascii="Times New Roman;sans-serif" w:hAnsi="Times New Roman;sans-serif"/>
                  <w:b w:val="false"/>
                  <w:strike w:val="false"/>
                  <w:dstrike w:val="false"/>
                  <w:color w:val="000080"/>
                  <w:sz w:val="20"/>
                  <w:u w:val="single"/>
                  <w:effect w:val="none"/>
                </w:rPr>
                <w:t xml:space="preserve"> </w:t>
              </w:r>
            </w:hyperlink>
            <w:r>
              <w:rPr>
                <w:rFonts w:ascii="Times New Roman;sans-serif" w:hAnsi="Times New Roman;sans-serif"/>
                <w:b w:val="false"/>
                <w:color w:val="000000"/>
                <w:sz w:val="20"/>
              </w:rPr>
              <w:t>nine-month</w:t>
            </w:r>
            <w:hyperlink w:anchor="i50f66da4ddeb4db89261e583abade740_25">
              <w:r>
                <w:rPr>
                  <w:rStyle w:val="InternetLink"/>
                  <w:rFonts w:ascii="Times New Roman;sans-serif" w:hAnsi="Times New Roman;sans-serif"/>
                  <w:b w:val="false"/>
                  <w:strike w:val="false"/>
                  <w:dstrike w:val="false"/>
                  <w:color w:val="000000"/>
                  <w:sz w:val="20"/>
                  <w:u w:val="none"/>
                  <w:effect w:val="none"/>
                </w:rPr>
                <w:t xml:space="preserve"> periods ending</w:t>
              </w:r>
            </w:hyperlink>
            <w:r>
              <w:rPr>
                <w:rFonts w:ascii="Times New Roman;sans-serif" w:hAnsi="Times New Roman;sans-serif"/>
                <w:b w:val="false"/>
                <w:color w:val="000000"/>
                <w:sz w:val="20"/>
              </w:rPr>
              <w:t xml:space="preserve"> September 30, 2024</w:t>
            </w:r>
            <w:hyperlink w:anchor="i50f66da4ddeb4db89261e583abade740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for the </w:t>
              </w:r>
            </w:hyperlink>
            <w:r>
              <w:rPr>
                <w:rFonts w:ascii="Times New Roman;sans-serif" w:hAnsi="Times New Roman;sans-serif"/>
                <w:b w:val="false"/>
                <w:color w:val="000000"/>
                <w:sz w:val="20"/>
              </w:rPr>
              <w:t>nine-month</w:t>
            </w:r>
            <w:hyperlink w:anchor="i50f66da4ddeb4db89261e583abade740_28">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September 30, 2024</w:t>
            </w:r>
            <w:hyperlink w:anchor="i50f66da4ddeb4db89261e583abade740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28">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31">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31">
              <w:r>
                <w:rPr>
                  <w:rStyle w:val="InternetLink"/>
                  <w:rFonts w:ascii="Times New Roman;sans-serif" w:hAnsi="Times New Roman;sans-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76">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76">
              <w:r>
                <w:rPr>
                  <w:rStyle w:val="InternetLink"/>
                  <w:rFonts w:ascii="Times New Roman;sans-serif" w:hAnsi="Times New Roman;sans-serif"/>
                  <w:b w:val="false"/>
                  <w:strike w:val="false"/>
                  <w:dstrike w:val="false"/>
                  <w:color w:val="000080"/>
                  <w:sz w:val="20"/>
                  <w:u w:val="single"/>
                  <w:effect w:val="none"/>
                </w:rPr>
                <w:t>Management</w:t>
              </w:r>
            </w:hyperlink>
            <w:hyperlink w:anchor="i50f66da4ddeb4db89261e583abade740_76">
              <w:r>
                <w:rPr>
                  <w:rStyle w:val="InternetLink"/>
                  <w:rFonts w:ascii="Times New Roman;sans-serif" w:hAnsi="Times New Roman;sans-serif"/>
                  <w:b w:val="false"/>
                  <w:strike w:val="false"/>
                  <w:dstrike w:val="false"/>
                  <w:color w:val="000080"/>
                  <w:sz w:val="20"/>
                  <w:u w:val="single"/>
                  <w:effect w:val="none"/>
                </w:rPr>
                <w:t>’</w:t>
              </w:r>
            </w:hyperlink>
            <w:hyperlink w:anchor="i50f66da4ddeb4db89261e583abade740_76">
              <w:r>
                <w:rPr>
                  <w:rStyle w:val="InternetLink"/>
                  <w:rFonts w:ascii="Times New Roman;sans-serif" w:hAnsi="Times New Roman;sans-serif"/>
                  <w:b w:val="false"/>
                  <w:strike w:val="false"/>
                  <w:dstrike w:val="false"/>
                  <w:color w:val="000080"/>
                  <w:sz w:val="20"/>
                  <w:u w:val="single"/>
                  <w:effect w:val="none"/>
                </w:rPr>
                <w: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79">
              <w:r>
                <w:rPr>
                  <w:rStyle w:val="InternetLink"/>
                  <w:rFonts w:ascii="Times New Roman;sans-serif" w:hAnsi="Times New Roman;sans-serif"/>
                  <w:b w:val="false"/>
                  <w:strike w:val="false"/>
                  <w:dstrike w:val="false"/>
                  <w:color w:val="000000"/>
                  <w:sz w:val="20"/>
                  <w:u w:val="none"/>
                  <w:effect w:val="none"/>
                </w:rPr>
                <w:t>22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45">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45">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45">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48">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48">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48">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51">
              <w:r>
                <w:rPr>
                  <w:rStyle w:val="InternetLink"/>
                  <w:rFonts w:ascii="Times New Roman;sans-serif" w:hAnsi="Times New Roman;sans-serif"/>
                  <w:b/>
                  <w:strike w:val="false"/>
                  <w:dstrike w:val="false"/>
                  <w:color w:val="000000"/>
                  <w:sz w:val="20"/>
                  <w:u w:val="none"/>
                  <w:effect w:val="none"/>
                </w:rPr>
                <w:t>PART II.</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51">
              <w:r>
                <w:rPr>
                  <w:rStyle w:val="InternetLink"/>
                  <w:rFonts w:ascii="Times New Roman;sans-serif" w:hAnsi="Times New Roman;sans-serif"/>
                  <w:b/>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54">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54">
              <w:r>
                <w:rPr>
                  <w:rStyle w:val="InternetLink"/>
                  <w:rFonts w:ascii="Times New Roman;sans-serif" w:hAnsi="Times New Roman;sans-serif"/>
                  <w:b w:val="false"/>
                  <w:strike w:val="false"/>
                  <w:dstrike w:val="false"/>
                  <w:color w:val="000000"/>
                  <w:sz w:val="20"/>
                  <w:u w:val="none"/>
                  <w:effect w:val="non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54">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57">
              <w:r>
                <w:rPr>
                  <w:rStyle w:val="InternetLink"/>
                  <w:rFonts w:ascii="Times New Roman;sans-serif" w:hAnsi="Times New Roman;sans-serif"/>
                  <w:b w:val="false"/>
                  <w:strike w:val="false"/>
                  <w:dstrike w:val="false"/>
                  <w:color w:val="000000"/>
                  <w:sz w:val="20"/>
                  <w:u w:val="none"/>
                  <w:effect w:val="none"/>
                </w:rPr>
                <w:t>Item 1A.</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57">
              <w:r>
                <w:rPr>
                  <w:rStyle w:val="InternetLink"/>
                  <w:rFonts w:ascii="Times New Roman;sans-serif" w:hAnsi="Times New Roman;sans-serif"/>
                  <w:b w:val="false"/>
                  <w:strike w:val="false"/>
                  <w:dstrike w:val="false"/>
                  <w:color w:val="000000"/>
                  <w:sz w:val="20"/>
                  <w:u w:val="none"/>
                  <w:effect w:val="non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57">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0">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0">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60">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3">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3">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63">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6">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6">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66">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9">
              <w:r>
                <w:rPr>
                  <w:rStyle w:val="InternetLink"/>
                  <w:rFonts w:ascii="Times New Roman;sans-serif" w:hAnsi="Times New Roman;sans-serif"/>
                  <w:b w:val="false"/>
                  <w:strike w:val="false"/>
                  <w:dstrike w:val="false"/>
                  <w:color w:val="000000"/>
                  <w:sz w:val="20"/>
                  <w:u w:val="none"/>
                  <w:effect w:val="none"/>
                </w:rPr>
                <w:t>Item 5.</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69">
              <w:r>
                <w:rPr>
                  <w:rStyle w:val="InternetLink"/>
                  <w:rFonts w:ascii="Times New Roman;sans-serif" w:hAnsi="Times New Roman;sans-serif"/>
                  <w:b w:val="false"/>
                  <w:strike w:val="false"/>
                  <w:dstrike w:val="false"/>
                  <w:color w:val="000000"/>
                  <w:sz w:val="20"/>
                  <w:u w:val="none"/>
                  <w:effect w:val="non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69">
              <w:r>
                <w:rPr>
                  <w:rStyle w:val="InternetLink"/>
                  <w:rFonts w:ascii="Times New Roman;sans-serif" w:hAnsi="Times New Roman;sans-serif"/>
                  <w:b w:val="false"/>
                  <w:strike w:val="false"/>
                  <w:dstrike w:val="false"/>
                  <w:color w:val="000000"/>
                  <w:sz w:val="20"/>
                  <w:u w:val="none"/>
                  <w:effect w:val="none"/>
                </w:rPr>
                <w:t>36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72">
              <w:r>
                <w:rPr>
                  <w:rStyle w:val="InternetLink"/>
                  <w:rFonts w:ascii="Times New Roman;sans-serif" w:hAnsi="Times New Roman;sans-serif"/>
                  <w:b w:val="false"/>
                  <w:strike w:val="false"/>
                  <w:dstrike w:val="false"/>
                  <w:color w:val="000000"/>
                  <w:sz w:val="20"/>
                  <w:u w:val="none"/>
                  <w:effect w:val="none"/>
                </w:rPr>
                <w:t>Item 6.</w:t>
              </w:r>
            </w:hyperlink>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72">
              <w:r>
                <w:rPr>
                  <w:rStyle w:val="InternetLink"/>
                  <w:rFonts w:ascii="Times New Roman;sans-serif" w:hAnsi="Times New Roman;sans-serif"/>
                  <w:b w:val="false"/>
                  <w:strike w:val="false"/>
                  <w:dstrike w:val="false"/>
                  <w:color w:val="000000"/>
                  <w:sz w:val="20"/>
                  <w:u w:val="none"/>
                  <w:effect w:val="non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66da4ddeb4db89261e583abade740_172">
              <w:r>
                <w:rPr>
                  <w:rStyle w:val="InternetLink"/>
                  <w:rFonts w:ascii="Times New Roman;sans-serif" w:hAnsi="Times New Roman;sans-serif"/>
                  <w:b w:val="false"/>
                  <w:strike w:val="false"/>
                  <w:dstrike w:val="false"/>
                  <w:color w:val="000000"/>
                  <w:sz w:val="20"/>
                  <w:u w:val="none"/>
                  <w:effect w:val="none"/>
                </w:rPr>
                <w:t>37</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f66da4ddeb4db89261e583abade740_175">
              <w:r>
                <w:rPr>
                  <w:rStyle w:val="InternetLink"/>
                  <w:rFonts w:ascii="Times New Roman;sans-serif" w:hAnsi="Times New Roman;sans-serif"/>
                  <w:b/>
                  <w:strike w:val="false"/>
                  <w:dstrike w:val="false"/>
                  <w:color w:val="000000"/>
                  <w:sz w:val="20"/>
                  <w:u w:val="none"/>
                  <w:effect w:val="none"/>
                </w:rPr>
                <w:t>SIGNATURES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9601" w:type="dxa"/>
        <w:jc w:val="left"/>
        <w:tblInd w:w="0" w:type="dxa"/>
        <w:tblLayout w:type="fixed"/>
        <w:tblCellMar>
          <w:top w:w="28" w:type="dxa"/>
          <w:left w:w="28" w:type="dxa"/>
          <w:bottom w:w="28" w:type="dxa"/>
          <w:right w:w="28" w:type="dxa"/>
        </w:tblCellMar>
      </w:tblPr>
      <w:tblGrid>
        <w:gridCol w:w="1312"/>
        <w:gridCol w:w="1154"/>
        <w:gridCol w:w="1163"/>
        <w:gridCol w:w="216"/>
        <w:gridCol w:w="847"/>
        <w:gridCol w:w="111"/>
        <w:gridCol w:w="111"/>
        <w:gridCol w:w="111"/>
        <w:gridCol w:w="111"/>
        <w:gridCol w:w="216"/>
        <w:gridCol w:w="847"/>
        <w:gridCol w:w="111"/>
        <w:gridCol w:w="109"/>
        <w:gridCol w:w="109"/>
        <w:gridCol w:w="109"/>
        <w:gridCol w:w="211"/>
        <w:gridCol w:w="976"/>
        <w:gridCol w:w="109"/>
        <w:gridCol w:w="109"/>
        <w:gridCol w:w="109"/>
        <w:gridCol w:w="109"/>
        <w:gridCol w:w="211"/>
        <w:gridCol w:w="97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merchandise sales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2,974,322 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rentals and fees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 sold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installment sales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cost of merchandise sold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labor</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Non-labor operating expenses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and charges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refinancing charges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common share</w:t>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23"/>
        <w:gridCol w:w="1473"/>
        <w:gridCol w:w="1480"/>
        <w:gridCol w:w="219"/>
        <w:gridCol w:w="751"/>
        <w:gridCol w:w="113"/>
        <w:gridCol w:w="113"/>
        <w:gridCol w:w="113"/>
        <w:gridCol w:w="113"/>
        <w:gridCol w:w="219"/>
        <w:gridCol w:w="641"/>
        <w:gridCol w:w="113"/>
        <w:gridCol w:w="109"/>
        <w:gridCol w:w="109"/>
        <w:gridCol w:w="109"/>
        <w:gridCol w:w="215"/>
        <w:gridCol w:w="734"/>
        <w:gridCol w:w="111"/>
        <w:gridCol w:w="111"/>
        <w:gridCol w:w="111"/>
        <w:gridCol w:w="111"/>
        <w:gridCol w:w="215"/>
        <w:gridCol w:w="734"/>
        <w:gridCol w:w="165"/>
      </w:tblGrid>
      <w:tr>
        <w:trPr/>
        <w:tc>
          <w:tcPr>
            <w:tcW w:w="202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 of $(675) and $(725), $(1,516) and $1,202 for the three and nine months ended September 30, 2024 and 2023,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4"/>
        <w:gridCol w:w="2072"/>
        <w:gridCol w:w="2087"/>
        <w:gridCol w:w="228"/>
        <w:gridCol w:w="1057"/>
        <w:gridCol w:w="118"/>
        <w:gridCol w:w="109"/>
        <w:gridCol w:w="109"/>
        <w:gridCol w:w="109"/>
        <w:gridCol w:w="224"/>
        <w:gridCol w:w="1040"/>
        <w:gridCol w:w="168"/>
      </w:tblGrid>
      <w:tr>
        <w:trPr/>
        <w:tc>
          <w:tcPr>
            <w:tcW w:w="288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par value data)</w:t>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doubtful accounts of $13,773 and $14,254 in 2024 and 2023, respectively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 net</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held for installment sale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assets, net of accumulated depreciation of $640,997 and $611,120 in 2024 and 2023, respectively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2,721,430 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net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1,966,670 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2,161,058 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250,000,000 shares authorized; 125,756,530 and 125,415,059 shares issued in September 30, 2024 and December 31, 2023, respectively</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71,060,928 shares in September 30, 2024 and December 31, 2023</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560,372 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2,578,490 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2,721,430 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581" w:type="dxa"/>
        <w:jc w:val="center"/>
        <w:tblInd w:w="0" w:type="dxa"/>
        <w:tblLayout w:type="fixed"/>
        <w:tblCellMar>
          <w:top w:w="28" w:type="dxa"/>
          <w:left w:w="28" w:type="dxa"/>
          <w:bottom w:w="28" w:type="dxa"/>
          <w:right w:w="28" w:type="dxa"/>
        </w:tblCellMar>
      </w:tblPr>
      <w:tblGrid>
        <w:gridCol w:w="536"/>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211"/>
        <w:gridCol w:w="82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2016" w:type="dxa"/>
        <w:jc w:val="center"/>
        <w:tblInd w:w="0" w:type="dxa"/>
        <w:tblLayout w:type="fixed"/>
        <w:tblCellMar>
          <w:top w:w="28" w:type="dxa"/>
          <w:left w:w="28" w:type="dxa"/>
          <w:bottom w:w="28" w:type="dxa"/>
          <w:right w:w="28" w:type="dxa"/>
        </w:tblCellMar>
      </w:tblPr>
      <w:tblGrid>
        <w:gridCol w:w="971"/>
        <w:gridCol w:w="406"/>
        <w:gridCol w:w="409"/>
        <w:gridCol w:w="413"/>
        <w:gridCol w:w="413"/>
        <w:gridCol w:w="196"/>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share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stock awards vested and options 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9386" w:type="dxa"/>
        <w:jc w:val="left"/>
        <w:tblInd w:w="0" w:type="dxa"/>
        <w:tblLayout w:type="fixed"/>
        <w:tblCellMar>
          <w:top w:w="28" w:type="dxa"/>
          <w:left w:w="28" w:type="dxa"/>
          <w:bottom w:w="28" w:type="dxa"/>
          <w:right w:w="28" w:type="dxa"/>
        </w:tblCellMar>
      </w:tblPr>
      <w:tblGrid>
        <w:gridCol w:w="2444"/>
        <w:gridCol w:w="2151"/>
        <w:gridCol w:w="2155"/>
        <w:gridCol w:w="217"/>
        <w:gridCol w:w="744"/>
        <w:gridCol w:w="112"/>
        <w:gridCol w:w="112"/>
        <w:gridCol w:w="112"/>
        <w:gridCol w:w="112"/>
        <w:gridCol w:w="217"/>
        <w:gridCol w:w="852"/>
        <w:gridCol w:w="158"/>
      </w:tblGrid>
      <w:tr>
        <w:trPr/>
        <w:tc>
          <w:tcPr>
            <w:tcW w:w="244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rental merchandise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or disposal of property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fees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debt financing fees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acquired assets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and lease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loan issuance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payment of employee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1 - Basis of Presentation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2023.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Nature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report four operating segments: Acima, Rent-A-Center, Mexico, and Franchising.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Acima segment, which primarily operates in the United States and Puerto Rico, includes the operations of Acima Holdings and certain locations previously operating under our Acceptance Now brand and generally offers consumers who do not qualify for traditional financing the lease-to-own transaction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Rent-A-Center segment consists of company-owned lease-to-own stores in the United States and Puerto Rico that lease household durable goods to customers through lease purchase agreements. We also offer merchandise on an installment sales basis in certain of our stores under the names “Get It Now” and “Home Choice” in Minnesota and Wisconsin. Our Rent-A-Center segment operates through our company-owned stores and e-commerce platforms through rentacenter.com, getitnowstores.com and homechoicestores.com.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Mexico segment consists of our company-owned stores in Mexico that lease household durable goods to customers on a lease-to-own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Rent-A-Center Franchising International, Inc., an indirect wholly-owned subsidiary of Upbound Group, Inc., is a franchisor of lease-to-own stores. Our Franchising segment’s primary source of revenue is the sale of rental merchandise to our franchisees, who in turn offer the merchandise to the general public for rent or purchase under a lease-to-own transaction. The balance of our Franchising segment’s revenue is generated primarily from royalties based on franchisees’ monthly gross revenues.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Newly Adopted Accounting Pronouncements</w:t>
      </w:r>
    </w:p>
    <w:p>
      <w:pPr>
        <w:pStyle w:val="TextBody"/>
        <w:bidi w:val="0"/>
        <w:spacing w:lineRule="auto" w:line="288" w:before="120" w:after="283"/>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requires enhanced disclosures of significant segment expenses on a quarterly and annual basis and is intended to improve the transparency of reportable segment disclosures. Adoption of ASU 2023-07 was required for us beginning January 1, 2024 for our Annual Report on Form 10-K for the year ended December 31, 2024 and interim periods beginning in 2025. We will include required disclosures updates beginning with our Annual Report on Form 10-K for fiscal year ended December 31, 2024 using a retrospective approach.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pPr>
      <w:r>
        <w:rPr>
          <w:rFonts w:ascii="Times New Roman;sans-serif" w:hAnsi="Times New Roman;sans-serif"/>
          <w:b/>
          <w:color w:val="000000"/>
          <w:sz w:val="20"/>
        </w:rPr>
        <w:t>Note 2 -</w:t>
      </w:r>
      <w:r>
        <w:rPr>
          <w:color w:val="000000"/>
        </w:rPr>
        <w:t xml:space="preserve"> </w:t>
      </w:r>
      <w:r>
        <w:rPr>
          <w:rFonts w:ascii="Times New Roman;sans-serif" w:hAnsi="Times New Roman;sans-serif"/>
          <w:b/>
          <w:color w:val="000000"/>
          <w:sz w:val="20"/>
        </w:rPr>
        <w:t>Divestitures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Refranchise Sale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9, 2024, we sold 55 Rent-A-Center stores in the states of New York and New Jersey to a franchisee. We received cash consideration of approximately $19.1 million, including approximately $0.6 million related to franchise fees. The sale included on rent and held for rent inventory of approximately $13.0 million, property assets of approximately $2.0 million, and prorated rent and other miscellaneous expenses of $0.4 million, resulting in a net gain on sale of approximately $3.1 million. The gain on sale was recorded to non-labor operating expenses in our condensed consolidated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 Revenues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our revenue for the periods ended September 30, 2024 and 2023:</w:t>
      </w:r>
    </w:p>
    <w:tbl>
      <w:tblPr>
        <w:tblW w:w="9463" w:type="dxa"/>
        <w:jc w:val="left"/>
        <w:tblInd w:w="0" w:type="dxa"/>
        <w:tblLayout w:type="fixed"/>
        <w:tblCellMar>
          <w:top w:w="28" w:type="dxa"/>
          <w:left w:w="28" w:type="dxa"/>
          <w:bottom w:w="28" w:type="dxa"/>
          <w:right w:w="28" w:type="dxa"/>
        </w:tblCellMar>
      </w:tblPr>
      <w:tblGrid>
        <w:gridCol w:w="869"/>
        <w:gridCol w:w="764"/>
        <w:gridCol w:w="767"/>
        <w:gridCol w:w="211"/>
        <w:gridCol w:w="826"/>
        <w:gridCol w:w="109"/>
        <w:gridCol w:w="109"/>
        <w:gridCol w:w="109"/>
        <w:gridCol w:w="109"/>
        <w:gridCol w:w="218"/>
        <w:gridCol w:w="854"/>
        <w:gridCol w:w="114"/>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06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458,743 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23" w:type="dxa"/>
        <w:jc w:val="left"/>
        <w:tblInd w:w="0" w:type="dxa"/>
        <w:tblLayout w:type="fixed"/>
        <w:tblCellMar>
          <w:top w:w="28" w:type="dxa"/>
          <w:left w:w="28" w:type="dxa"/>
          <w:bottom w:w="28" w:type="dxa"/>
          <w:right w:w="28" w:type="dxa"/>
        </w:tblCellMar>
      </w:tblPr>
      <w:tblGrid>
        <w:gridCol w:w="869"/>
        <w:gridCol w:w="764"/>
        <w:gridCol w:w="767"/>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32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merchandise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13" w:type="dxa"/>
        <w:jc w:val="left"/>
        <w:tblInd w:w="0" w:type="dxa"/>
        <w:tblLayout w:type="fixed"/>
        <w:tblCellMar>
          <w:top w:w="28" w:type="dxa"/>
          <w:left w:w="28" w:type="dxa"/>
          <w:bottom w:w="28" w:type="dxa"/>
          <w:right w:w="28" w:type="dxa"/>
        </w:tblCellMar>
      </w:tblPr>
      <w:tblGrid>
        <w:gridCol w:w="869"/>
        <w:gridCol w:w="764"/>
        <w:gridCol w:w="767"/>
        <w:gridCol w:w="211"/>
        <w:gridCol w:w="826"/>
        <w:gridCol w:w="109"/>
        <w:gridCol w:w="109"/>
        <w:gridCol w:w="109"/>
        <w:gridCol w:w="109"/>
        <w:gridCol w:w="218"/>
        <w:gridCol w:w="854"/>
        <w:gridCol w:w="114"/>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691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merchandise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453,632 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23" w:type="dxa"/>
        <w:jc w:val="left"/>
        <w:tblInd w:w="0" w:type="dxa"/>
        <w:tblLayout w:type="fixed"/>
        <w:tblCellMar>
          <w:top w:w="28" w:type="dxa"/>
          <w:left w:w="28" w:type="dxa"/>
          <w:bottom w:w="28" w:type="dxa"/>
          <w:right w:w="28" w:type="dxa"/>
        </w:tblCellMar>
      </w:tblPr>
      <w:tblGrid>
        <w:gridCol w:w="869"/>
        <w:gridCol w:w="764"/>
        <w:gridCol w:w="767"/>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323"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merchandise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Lease Purchase Agreements</w:t>
      </w:r>
    </w:p>
    <w:p>
      <w:pPr>
        <w:pStyle w:val="TextBody"/>
        <w:bidi w:val="0"/>
        <w:spacing w:lineRule="auto" w:line="288" w:before="120" w:after="283"/>
        <w:jc w:val="both"/>
        <w:rPr/>
      </w:pPr>
      <w:r>
        <w:rPr>
          <w:rFonts w:ascii="Times New Roman;sans-serif" w:hAnsi="Times New Roman;sans-serif"/>
          <w:b w:val="false"/>
          <w:i/>
          <w:color w:val="000000"/>
          <w:sz w:val="20"/>
        </w:rPr>
        <w:t>Rentals and Fees.</w:t>
      </w:r>
      <w:r>
        <w:rPr>
          <w:color w:val="000000"/>
        </w:rPr>
        <w:t xml:space="preserve"> </w:t>
      </w:r>
      <w:r>
        <w:rPr>
          <w:rFonts w:ascii="Times New Roman;sans-serif" w:hAnsi="Times New Roman;sans-serif"/>
          <w:b w:val="false"/>
          <w:color w:val="000000"/>
          <w:sz w:val="20"/>
        </w:rPr>
        <w:t>Rental merchandise is leased to customers pursuant to lease-to-own agreements, which provide for weekly, bi-weekly, semi-monthly or 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payments received at our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4 for additional information regarding accrued lease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received for rental payments, including fees, prior to the period in which it should be recognized, is deferred and recognized according to the lease term. At September 30, 2024 and December 31, 2023, we had $62.7 million and $68.6 million, respectively, in deferred revenue included in accrued liabilities related to our lease-to-own agreements. Revenue related to various payment, reinstatement or late fees is recognized when paid by the customer at the point service is provided. Rental merchandise in our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Revenue for product plans is recognized over the term of the plan. Costs incurred related to product plans are primarily recognized in cost of revenues.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lineRule="auto" w:line="288" w:before="120" w:after="283"/>
        <w:jc w:val="both"/>
        <w:rPr/>
      </w:pPr>
      <w:r>
        <w:rPr>
          <w:rFonts w:ascii="Times New Roman;sans-serif" w:hAnsi="Times New Roman;sans-serif"/>
          <w:b w:val="false"/>
          <w:i/>
          <w:color w:val="000000"/>
          <w:sz w:val="20"/>
        </w:rPr>
        <w:t>Merchandise Sales.</w:t>
      </w:r>
      <w:r>
        <w:rPr>
          <w:color w:val="000000"/>
        </w:rPr>
        <w:t xml:space="preserve"> </w:t>
      </w:r>
      <w:r>
        <w:rPr>
          <w:rFonts w:ascii="Times New Roman;sans-serif" w:hAnsi="Times New Roman;sans-serif"/>
          <w:b w:val="false"/>
          <w:color w:val="000000"/>
          <w:sz w:val="20"/>
        </w:rPr>
        <w:t>Merchandise sales include payments received for the exercise of the early purchase options offered through our lease-to-own agreements or merchandise sold through point-of-sale transactions. Revenue for merchandise sales is recognized when payment is received and ownership of the merchandise passes to the customer. The remaining net value of merchandise sold is recorded to cost of merchandise sold at the time of the transaction.</w:t>
      </w:r>
    </w:p>
    <w:p>
      <w:pPr>
        <w:pStyle w:val="TextBody"/>
        <w:bidi w:val="0"/>
        <w:spacing w:lineRule="auto" w:line="288" w:before="120" w:after="283"/>
        <w:jc w:val="both"/>
        <w:rPr/>
      </w:pPr>
      <w:r>
        <w:rPr>
          <w:rFonts w:ascii="Times New Roman;sans-serif" w:hAnsi="Times New Roman;sans-serif"/>
          <w:b w:val="false"/>
          <w:i/>
          <w:color w:val="000000"/>
          <w:sz w:val="20"/>
        </w:rPr>
        <w:t>Installment Sales.</w:t>
      </w:r>
      <w:r>
        <w:rPr>
          <w:color w:val="000000"/>
        </w:rPr>
        <w:t xml:space="preserve"> </w:t>
      </w:r>
      <w:r>
        <w:rPr>
          <w:rFonts w:ascii="Times New Roman;sans-serif" w:hAnsi="Times New Roman;sans-serif"/>
          <w:b w:val="false"/>
          <w:color w:val="000000"/>
          <w:sz w:val="20"/>
        </w:rPr>
        <w:t xml:space="preserve">Revenue from the sale of merchandise in our retail installment stores is recognized when the installment note is signed and control of the merchandise has passed to the customer. The cost of merchandise sold through installment agreements is recognized in cost of installment sales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costs, when the installment payment plan is complete and the service plan goes into effect. Customers can cancel extended service plans at any time during the installment agreement period and receive a refund for payments previously made towards the plan. At September 30, 2024 and December 31, 2023, we had $0.6 million and $1.1 million, respectively, in deferred revenue included in accrued liabilities related to extended service plans.</w:t>
      </w:r>
    </w:p>
    <w:p>
      <w:pPr>
        <w:pStyle w:val="TextBody"/>
        <w:bidi w:val="0"/>
        <w:spacing w:lineRule="auto" w:line="288" w:before="120" w:after="283"/>
        <w:jc w:val="both"/>
        <w:rPr/>
      </w:pPr>
      <w:r>
        <w:rPr>
          <w:rFonts w:ascii="Times New Roman;sans-serif" w:hAnsi="Times New Roman;sans-serif"/>
          <w:b w:val="false"/>
          <w:i/>
          <w:color w:val="000000"/>
          <w:sz w:val="20"/>
        </w:rPr>
        <w:t>Franchise Merchandise Sales.</w:t>
      </w:r>
      <w:r>
        <w:rPr>
          <w:color w:val="000000"/>
        </w:rPr>
        <w:t xml:space="preserve"> </w:t>
      </w:r>
      <w:r>
        <w:rPr>
          <w:rFonts w:ascii="Times New Roman;sans-serif" w:hAnsi="Times New Roman;sans-serif"/>
          <w:b w:val="false"/>
          <w:color w:val="000000"/>
          <w:sz w:val="20"/>
        </w:rPr>
        <w:t xml:space="preserve">Revenue from the sale of rental merchandise is recognized upon shipment of the merchandise to the franchisee. </w:t>
      </w:r>
    </w:p>
    <w:p>
      <w:pPr>
        <w:pStyle w:val="TextBody"/>
        <w:bidi w:val="0"/>
        <w:spacing w:lineRule="auto" w:line="288" w:before="120" w:after="283"/>
        <w:jc w:val="both"/>
        <w:rPr/>
      </w:pPr>
      <w:r>
        <w:rPr>
          <w:rFonts w:ascii="Times New Roman;sans-serif" w:hAnsi="Times New Roman;sans-serif"/>
          <w:b w:val="false"/>
          <w:i/>
          <w:color w:val="000000"/>
          <w:sz w:val="20"/>
        </w:rPr>
        <w:t>Royalty Income and Fees.</w:t>
      </w:r>
      <w:r>
        <w:rPr>
          <w:color w:val="000000"/>
        </w:rPr>
        <w:t xml:space="preserve"> </w:t>
      </w:r>
      <w:r>
        <w:rPr>
          <w:rFonts w:ascii="Times New Roman;sans-serif" w:hAnsi="Times New Roman;sans-serif"/>
          <w:b w:val="false"/>
          <w:color w:val="000000"/>
          <w:sz w:val="20"/>
        </w:rPr>
        <w:t>Franchise royalties, including franchisee contributions to corporate advertising funds, represent sales-based royalties calculated 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September 30, 2024 and December 31, 2023, we had $2.9 million and $3.0 million, respectively, in deferred revenue included in accrued liabilities related to franchise fees.</w:t>
      </w:r>
    </w:p>
    <w:p>
      <w:pPr>
        <w:pStyle w:val="TextBody"/>
        <w:bidi w:val="0"/>
        <w:spacing w:lineRule="auto" w:line="288" w:before="120" w:after="283"/>
        <w:jc w:val="both"/>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Other revenue consists of revenue generated by other miscellaneous product plans offered to our rental and installment customers. Revenue for other product plans is recognized in accordance with the terms of the applicable plan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 Receivables and Allowance for Doubtful Accounts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each of the nine months ended September 30, 2024 and 2023 were $7.9 million and $8.7 million,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consist of the following:</w:t>
      </w:r>
    </w:p>
    <w:tbl>
      <w:tblPr>
        <w:tblW w:w="7526" w:type="dxa"/>
        <w:jc w:val="left"/>
        <w:tblInd w:w="0" w:type="dxa"/>
        <w:tblLayout w:type="fixed"/>
        <w:tblCellMar>
          <w:top w:w="28" w:type="dxa"/>
          <w:left w:w="28" w:type="dxa"/>
          <w:bottom w:w="28" w:type="dxa"/>
          <w:right w:w="28" w:type="dxa"/>
        </w:tblCellMar>
      </w:tblPr>
      <w:tblGrid>
        <w:gridCol w:w="1489"/>
        <w:gridCol w:w="1309"/>
        <w:gridCol w:w="1312"/>
        <w:gridCol w:w="289"/>
        <w:gridCol w:w="1092"/>
        <w:gridCol w:w="163"/>
        <w:gridCol w:w="109"/>
        <w:gridCol w:w="109"/>
        <w:gridCol w:w="109"/>
        <w:gridCol w:w="279"/>
        <w:gridCol w:w="1047"/>
        <w:gridCol w:w="219"/>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sales receivables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and notes receivables</w:t>
            </w:r>
            <w:r>
              <w:rPr>
                <w:rFonts w:ascii="Times New Roman;sans-serif" w:hAnsi="Times New Roman;sans-serif"/>
                <w:b w:val="false"/>
                <w:color w:val="000000"/>
                <w:sz w:val="12"/>
              </w:rPr>
              <w:t>(1)</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w:t>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125,259 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Less allowance for doubtful accounts</w:t>
            </w:r>
            <w:r>
              <w:rPr>
                <w:rFonts w:ascii="Times New Roman;sans-serif" w:hAnsi="Times New Roman;sans-serif"/>
                <w:b w:val="false"/>
                <w:color w:val="000000"/>
                <w:sz w:val="12"/>
              </w:rPr>
              <w:t>(2)</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 net of allowance for doubtful accounts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111,005 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 xml:space="preserve">Trade and notes receivables includes accrued revenue, adjusted for the probability of collection, related to our lease-to-own agreements of $44.3 million and $36.8 million at September 30, 2024 and December 31, 2023, respectively. </w:t>
      </w:r>
    </w:p>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(2) </w:t>
      </w:r>
      <w:r>
        <w:rPr>
          <w:rFonts w:ascii="Times New Roman;sans-serif" w:hAnsi="Times New Roman;sans-serif"/>
          <w:b w:val="false"/>
          <w:color w:val="000000"/>
          <w:sz w:val="14"/>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doubtful accounts related to Franchising trade and notes receivables was $1.5 million and $1.2 million at September 30, 2024 and December 31, 2023, respectively, and the allowance for doubtful accounts related to installment sales receivables was $12.3 million and $13.0 million at September 30, 2024 and December 31, 2023,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allowance for doubtful accounts are as follows:</w:t>
      </w:r>
    </w:p>
    <w:tbl>
      <w:tblPr>
        <w:tblW w:w="5191" w:type="dxa"/>
        <w:jc w:val="left"/>
        <w:tblInd w:w="0" w:type="dxa"/>
        <w:tblLayout w:type="fixed"/>
        <w:tblCellMar>
          <w:top w:w="28" w:type="dxa"/>
          <w:left w:w="28" w:type="dxa"/>
          <w:bottom w:w="28" w:type="dxa"/>
          <w:right w:w="28" w:type="dxa"/>
        </w:tblCellMar>
      </w:tblPr>
      <w:tblGrid>
        <w:gridCol w:w="1146"/>
        <w:gridCol w:w="1008"/>
        <w:gridCol w:w="1011"/>
        <w:gridCol w:w="318"/>
        <w:gridCol w:w="1050"/>
        <w:gridCol w:w="177"/>
        <w:gridCol w:w="109"/>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allowance for doubtful accounts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Bad debt expense</w:t>
            </w:r>
            <w:r>
              <w:rPr>
                <w:rFonts w:ascii="Times New Roman;sans-serif" w:hAnsi="Times New Roman;sans-serif"/>
                <w:b w:val="false"/>
                <w:color w:val="000000"/>
                <w:sz w:val="12"/>
              </w:rPr>
              <w:t>(1)</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written off, net of recoveries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Ending allowance for doubtful accounts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Uncollectible installment payments, franchisee obligations, and other corporate receivables are recognized in non-labor operating expenses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 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was 24.9% for the nine months ended September 30, 2024, compared to 76.1% for the nine months ended September 30, 2023. The reduction in the effective tax rate for the nine months ended September 30, 2024 was primarily attributable to a lower tax impact of stock compensation expense related to stock consideration issued to the former owners of Acima Holdings in the form of restricted stock awards, compared to the prior year period. Please reference Note 9 for additional information regarding the recognition of these restricted stock awards in our condensed consolidated financial statements. For tax purposes, restricted stock awards subject to restricted stock agreements issued to the former owners of Acima Holdings were recorded as goodwill and are amortized over a period of 15 years from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 Senior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17, 2021, we entered into a credit agreement with JPMorgan Chase Bank, N.A., as administrative agent, and lenders party thereto, providing for a seven-year $875 million senior secured term loan facility (the “Term Loan Facility”), as amended on September 21, 2021, June 15, 2023 and May 28, 2024, and an Asset Based Loan Credit Facility (the “ABL Credit Facility”), as amended August 10, 2022 and June 7, 2024,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third party legal and other professional fees, of which $25.3 million was capitalized in accordance with ASC Topic 470, “Debt” and recorded as a reduction of our outstanding senior debt, net in our Condensed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we entered into a First Amendment to the ABL Credit Facility, effective as of August 10, 2022. The amendment effected the replacement of LIBOR with Term Secured Overnight Financing Rate (“Term SOFR”) as the benchmark rate of interest thereunder.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15, 2023, we entered into a Second Amendment to the Term Loan Facility, effective as of June 15, 2023. The amendment effected the replacement of LIBOR with Term SOFR as the benchmark rate of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28, 2024 we entered into a Third Amendment to the Term Loan Facility, effective as of May 28, 2024. The amendment, in addition to certain other changes,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Third Amendment to the Term Loan Facility, we incurred approximately $2.0 million in debt issuance costs, including third party arrangement and other professional fees, of which approximately $1.8 million were expensed as debt refinance charges in our Condensed Consolidated Statement of Operations, and approximately $0.2 million were capitalized and recorded as a reduction to our outstanding senior debt in our Condensed Consolidated Balance Sheets. In addition, in accordance with ASC Topic 470, “Debt”, we recorded approximately $4.4 million in write-offs of unamortized debt issuance costs and original issue discount previously capitalized upon the issuance of the Term Loan Facility on February 17, 2021. The write-offs were recorded as debt refinance charges in our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2024, we entered into a Second Amendment to the ABL Credit Facility, effective as of June 7, 2024. The amendment, in addition to certain other changes, extended the maturity date for loans outstanding to June 7, 2029 (subject to certain springing maturity provisions).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Second Amendment to the ABL Credit Facility, we incurred approximately $3.2 million in debt issuance costs, including third-party arrangement and other professional fees, which were capitalized and recorded as a reduction to our outstanding senior debt in our Condensed Consolidated Balance Sheets. In addition, in accordance with ASC Topic 470, “Debt”, we recorded approximately $0.4 million in write-offs of unamortized debt issuance costs previously capitalized upon the issuance of the ABL Credit Facility on February 17, 2021. The write-offs were recorded as debt refinance charges in our Condensed Consolidated Statement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total remaining balance of unamortized debt issuance costs and original issue discount related to our senior debt reported in the Condensed Consolidated Balance Sheets was approximately $9.4 million and $0.8 million, respectively. Remaining unamortized debt issuance costs and original issue discount will be amortized to interest expense over the remaining terms of the ABL Credit Facility and Term Loan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no outstanding borrowings under our ABL Credit Facility at September 30, 2024 and borrowing capacity of $494.4 million, net of issued letters of credit of approximately $55.6 million. The amount outstanding under the Term Loan Facility was $804.5 million at September 30, 2024.</w:t>
      </w: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bears interest at a fluctuating rate determined by reference to an adjusted Term SOFR rate plus an applicable margin of 1.50% to 2.00%. The total interest rate on the ABL Credit Facility at September 30, 2024 was 7.35%. A commitment fee equal to 0.250% to 0.375% of the unused portion of the ABL Credit Facility fluctuates dependent upon average utilization for the prior month as defined by a pricing grid included in the governing documents of the ABL Credit Facility. The commitment fee at September 30, 2024 was 0.375%. We paid $0.7 million of commitment fees during the third quarter of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ABL Credit Facility may be borrowed, repaid and re-borrowed until June 7, 2029,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September 30, 2024, we were in compliance with all requirements and conditions set forth in our ABL Credit Facility governing documents.</w:t>
      </w: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Term Loan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borrowings under the Term Loan Facility is payable at a fluctuating rate of interest determined by reference to the Term SOFR rate plus an applicable margin of 2.75%, subject to a 0.50% Term SOFR floor. The total interest rate on the Term Loan Facility was 8.00% at September 30,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governing documents of the Term Loan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scheduled maturity dates of our outstanding senior debt at September 30, 2024 for each of the years ending December 31:</w:t>
      </w:r>
    </w:p>
    <w:tbl>
      <w:tblPr>
        <w:tblW w:w="4788"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109"/>
        <w:gridCol w:w="308"/>
        <w:gridCol w:w="1156"/>
        <w:gridCol w:w="171"/>
        <w:gridCol w:w="109"/>
        <w:gridCol w:w="109"/>
        <w:gridCol w:w="109"/>
        <w:gridCol w:w="196"/>
        <w:gridCol w:w="73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Term Loan Facility</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804,521 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804,521 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804,521 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Annual installment requirements were reduced by the amount of the excess cash flow payment described above, in accordance with the terms of the credit agreement governing the Term Loan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Senior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September 30, 2024, the total remaining balance of unamortized debt issuance costs related to our Notes reported in the Condensed Consolidated Balance Sheets was approximately $8.6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also provides for events of default, which, if any of them occurs, would permit or require the principal, premium, if any, and interest on all the then outstanding Notes to be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 Fair Value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and cash equivalents, receivables, payables, borrowings against our ABL Credit Facility and Term Loan Facility, and outstanding Notes. The carrying amount of cash and cash equivalents, receivables and payables approximates fair value at September 30, 2024 and December 31, 2023, because of the short maturities of these instruments. In addition, the interest rates on our Term Loan Facility and ABL Credit Facility are variable and, therefore, we believe the carrying value of outstanding borrowings approximates their fair value.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Notes is based on Level 1 inputs and was as follows at September 30, 2024:</w:t>
      </w:r>
    </w:p>
    <w:tbl>
      <w:tblPr>
        <w:tblW w:w="5134" w:type="dxa"/>
        <w:jc w:val="left"/>
        <w:tblInd w:w="0" w:type="dxa"/>
        <w:tblLayout w:type="fixed"/>
        <w:tblCellMar>
          <w:top w:w="28" w:type="dxa"/>
          <w:left w:w="28" w:type="dxa"/>
          <w:bottom w:w="28" w:type="dxa"/>
          <w:right w:w="28" w:type="dxa"/>
        </w:tblCellMar>
      </w:tblPr>
      <w:tblGrid>
        <w:gridCol w:w="407"/>
        <w:gridCol w:w="358"/>
        <w:gridCol w:w="359"/>
        <w:gridCol w:w="234"/>
        <w:gridCol w:w="880"/>
        <w:gridCol w:w="130"/>
        <w:gridCol w:w="109"/>
        <w:gridCol w:w="109"/>
        <w:gridCol w:w="109"/>
        <w:gridCol w:w="196"/>
        <w:gridCol w:w="736"/>
        <w:gridCol w:w="109"/>
        <w:gridCol w:w="109"/>
        <w:gridCol w:w="109"/>
        <w:gridCol w:w="109"/>
        <w:gridCol w:w="196"/>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Difference</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9 - Other Gains and Charges</w:t>
      </w:r>
    </w:p>
    <w:p>
      <w:pPr>
        <w:pStyle w:val="TextBody"/>
        <w:bidi w:val="0"/>
        <w:spacing w:lineRule="auto" w:line="288" w:before="120" w:after="283"/>
        <w:jc w:val="both"/>
        <w:rPr/>
      </w:pPr>
      <w:r>
        <w:rPr>
          <w:rFonts w:ascii="Times New Roman;sans-serif" w:hAnsi="Times New Roman;sans-serif"/>
          <w:b w:val="false"/>
          <w:i/>
          <w:color w:val="000000"/>
          <w:sz w:val="20"/>
        </w:rPr>
        <w:t>Acima Holdings Acquisition.</w:t>
      </w:r>
      <w:r>
        <w:rPr>
          <w:color w:val="000000"/>
        </w:rPr>
        <w:t xml:space="preserve"> </w:t>
      </w:r>
      <w:r>
        <w:rPr>
          <w:rFonts w:ascii="Times New Roman;sans-serif" w:hAnsi="Times New Roman;sans-serif"/>
          <w:b w:val="false"/>
          <w:color w:val="000000"/>
          <w:sz w:val="20"/>
        </w:rPr>
        <w:t>On February 17, 2021, we completed the acquisition of Acima Holdings, a leading provider of virtual lease-to-own solutions. Included in the aggregate consideration 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nine months ended September 30, 2024 and 2023, we recognized approximately $4.9 million and $128.1 million in stock compensation expense, respectively, related to these restricted stock agreements. See Note 11 for additional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assets acquired as part of the transaction included $520 million in intangible assets and $170 million in developed technology. During the nine months ended September 30, 2024 and 2023, we recognized approximately $34.5 million and $42.8 million in amortization expense, respectively, related to acquired intangible assets. We also recognized approximately $11.9 million in incremental depreciation expense related to acquired technology assets during both the nine months ended September 30, 2024 and 2023.</w:t>
      </w:r>
    </w:p>
    <w:p>
      <w:pPr>
        <w:pStyle w:val="TextBody"/>
        <w:bidi w:val="0"/>
        <w:spacing w:lineRule="auto" w:line="288" w:before="120" w:after="283"/>
        <w:jc w:val="both"/>
        <w:rPr/>
      </w:pP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 xml:space="preserve">As disclosed further in Note 12, "Contingencies", in this Form 10-Q and as previously disclosed, we are currently party to recently filed regulatory lawsuits with the Consumer Financial Protection Bureau and with the New York Attorney General, as well as a multi-state regulatory investigation by attorney's general offices from forty states and the District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Columbia. These matters relate to lease-to-own transactions for our Acima subsidiary, which was acquired in 2021. We believe these regulatory lawsuits and the multi-state investigation are not representative of historical regulatory matters that arise in the ordinary course of our business. During the nine months ended September 30, 2024, we recorded expenses of $8.2 million related to estimated legal settlement reserves for certain of these regulatory matters based on the current status of the legal settlement discussions. We will continue to evaluate and modify our legal settlement reserves as appropriate in future periods based on future developments. In addition, for these regulatory matters we incurred litigation and defense expenses of $3.5 million for the nine months ended September 30, 2024.</w:t>
      </w:r>
    </w:p>
    <w:p>
      <w:pPr>
        <w:pStyle w:val="TextBody"/>
        <w:bidi w:val="0"/>
        <w:spacing w:lineRule="auto" w:line="288" w:before="120" w:after="283"/>
        <w:jc w:val="both"/>
        <w:rPr/>
      </w:pPr>
      <w:r>
        <w:rPr>
          <w:rFonts w:ascii="Times New Roman;sans-serif" w:hAnsi="Times New Roman;sans-serif"/>
          <w:b w:val="false"/>
          <w:i/>
          <w:color w:val="000000"/>
          <w:sz w:val="20"/>
        </w:rPr>
        <w:t xml:space="preserve">Internally Developed Software Depreciation. </w:t>
      </w:r>
      <w:r>
        <w:rPr>
          <w:rFonts w:ascii="Times New Roman;sans-serif" w:hAnsi="Times New Roman;sans-serif"/>
          <w:b w:val="false"/>
          <w:color w:val="000000"/>
          <w:sz w:val="20"/>
        </w:rPr>
        <w:t xml:space="preserve">During the third quarter of 2023, we completed initial development and began pilot testing a new internally developed point-of-sale system for our Rent-A-Center lease-to-own stores. Deployment of the new system across our lease-to-own store network began in the second quarter of 2024 and was completed in the third quarter of 2024, at which time our existing point-of-sale software was retired. Therefore, in the third quarter of 2023, we accelerated the remaining useful lives of our existing point-of-sale software assets to align with the deployment timeline of our new point-of-sale system, which resulted in the recognition of additional depreciation expense of $6.1 million and $4.6 million for the nine months ended September 30, 2024 and 2023, respectively. </w:t>
      </w:r>
    </w:p>
    <w:p>
      <w:pPr>
        <w:pStyle w:val="TextBody"/>
        <w:bidi w:val="0"/>
        <w:spacing w:lineRule="auto" w:line="288" w:before="120" w:after="283"/>
        <w:jc w:val="both"/>
        <w:rPr/>
      </w:pPr>
      <w:r>
        <w:rPr>
          <w:rFonts w:ascii="Times New Roman;sans-serif" w:hAnsi="Times New Roman;sans-serif"/>
          <w:b w:val="false"/>
          <w:i/>
          <w:color w:val="000000"/>
          <w:sz w:val="20"/>
        </w:rPr>
        <w:t xml:space="preserve">Stock Award Letter Agreement. </w:t>
      </w:r>
      <w:r>
        <w:rPr>
          <w:rFonts w:ascii="Times New Roman;sans-serif" w:hAnsi="Times New Roman;sans-serif"/>
          <w:b w:val="false"/>
          <w:color w:val="000000"/>
          <w:sz w:val="20"/>
        </w:rPr>
        <w:t>On April 3, 2024, we entered into a letter agreement with the Company’s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nine months ended September 30, 2024 due to this letter agreement was approximately $3.4 million.</w:t>
      </w:r>
    </w:p>
    <w:p>
      <w:pPr>
        <w:pStyle w:val="TextBody"/>
        <w:bidi w:val="0"/>
        <w:spacing w:lineRule="auto" w:line="288" w:before="120" w:after="283"/>
        <w:jc w:val="both"/>
        <w:rPr/>
      </w:pPr>
      <w:r>
        <w:rPr>
          <w:rFonts w:ascii="Times New Roman;sans-serif" w:hAnsi="Times New Roman;sans-serif"/>
          <w:b w:val="false"/>
          <w:i/>
          <w:color w:val="000000"/>
          <w:sz w:val="20"/>
        </w:rPr>
        <w:t xml:space="preserve">Store Consolidations. </w:t>
      </w:r>
      <w:r>
        <w:rPr>
          <w:rFonts w:ascii="Times New Roman;sans-serif" w:hAnsi="Times New Roman;sans-serif"/>
          <w:b w:val="false"/>
          <w:color w:val="000000"/>
          <w:sz w:val="20"/>
        </w:rPr>
        <w:t>During the first half of 2024, we closed 55 Rent-A-Center stores, resulting in pre-tax charges of $5.3 million in lease impairment charges, $0.6 million in disposal of fixed assets and $1.0 million in other miscellaneous shutdown and holding costs.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other gains and charges is summarized in the below table:</w:t>
      </w:r>
    </w:p>
    <w:tbl>
      <w:tblPr>
        <w:tblW w:w="10205" w:type="dxa"/>
        <w:jc w:val="left"/>
        <w:tblInd w:w="0" w:type="dxa"/>
        <w:tblLayout w:type="fixed"/>
        <w:tblCellMar>
          <w:top w:w="28" w:type="dxa"/>
          <w:left w:w="28" w:type="dxa"/>
          <w:bottom w:w="28" w:type="dxa"/>
          <w:right w:w="28" w:type="dxa"/>
        </w:tblCellMar>
      </w:tblPr>
      <w:tblGrid>
        <w:gridCol w:w="1196"/>
        <w:gridCol w:w="1019"/>
        <w:gridCol w:w="1025"/>
        <w:gridCol w:w="226"/>
        <w:gridCol w:w="772"/>
        <w:gridCol w:w="116"/>
        <w:gridCol w:w="116"/>
        <w:gridCol w:w="116"/>
        <w:gridCol w:w="116"/>
        <w:gridCol w:w="226"/>
        <w:gridCol w:w="772"/>
        <w:gridCol w:w="116"/>
        <w:gridCol w:w="109"/>
        <w:gridCol w:w="109"/>
        <w:gridCol w:w="109"/>
        <w:gridCol w:w="109"/>
        <w:gridCol w:w="109"/>
        <w:gridCol w:w="352"/>
        <w:gridCol w:w="1204"/>
        <w:gridCol w:w="181"/>
        <w:gridCol w:w="181"/>
        <w:gridCol w:w="181"/>
        <w:gridCol w:w="109"/>
        <w:gridCol w:w="109"/>
        <w:gridCol w:w="109"/>
        <w:gridCol w:w="109"/>
        <w:gridCol w:w="109"/>
        <w:gridCol w:w="211"/>
        <w:gridCol w:w="826"/>
        <w:gridCol w:w="163"/>
      </w:tblGrid>
      <w:tr>
        <w:trPr/>
        <w:tc>
          <w:tcPr>
            <w:tcW w:w="11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745" w:type="dxa"/>
            <w:gridSpan w:val="8"/>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 acquired assets depreciation and amortization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matters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software depreciation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 equity consideration vesting</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stock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gains and charges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Primarily represents shutdown and holding expenses related to store closures for both the three and nine months ended September 30, 2024 and interest income on tax refunds for prior years received in 2023 for both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10 - Segment Information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such as: furniture, including mattresses; tires; consumer electronics; appliances; tools; handbags; computers; smartphones; and accessories.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as of and for the three and nine months ended September 30, 2024 and 2023 is as follows:</w:t>
      </w:r>
    </w:p>
    <w:tbl>
      <w:tblPr>
        <w:tblW w:w="7380" w:type="dxa"/>
        <w:jc w:val="left"/>
        <w:tblInd w:w="0" w:type="dxa"/>
        <w:tblLayout w:type="fixed"/>
        <w:tblCellMar>
          <w:top w:w="28" w:type="dxa"/>
          <w:left w:w="28" w:type="dxa"/>
          <w:bottom w:w="28" w:type="dxa"/>
          <w:right w:w="28" w:type="dxa"/>
        </w:tblCellMar>
      </w:tblPr>
      <w:tblGrid>
        <w:gridCol w:w="560"/>
        <w:gridCol w:w="378"/>
        <w:gridCol w:w="38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2,974,322 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86" w:type="dxa"/>
        <w:jc w:val="left"/>
        <w:tblInd w:w="0" w:type="dxa"/>
        <w:tblLayout w:type="fixed"/>
        <w:tblCellMar>
          <w:top w:w="28" w:type="dxa"/>
          <w:left w:w="28" w:type="dxa"/>
          <w:bottom w:w="28" w:type="dxa"/>
          <w:right w:w="28" w:type="dxa"/>
        </w:tblCellMar>
      </w:tblPr>
      <w:tblGrid>
        <w:gridCol w:w="547"/>
        <w:gridCol w:w="481"/>
        <w:gridCol w:w="486"/>
        <w:gridCol w:w="216"/>
        <w:gridCol w:w="847"/>
        <w:gridCol w:w="111"/>
        <w:gridCol w:w="111"/>
        <w:gridCol w:w="111"/>
        <w:gridCol w:w="111"/>
        <w:gridCol w:w="216"/>
        <w:gridCol w:w="847"/>
        <w:gridCol w:w="111"/>
        <w:gridCol w:w="109"/>
        <w:gridCol w:w="109"/>
        <w:gridCol w:w="109"/>
        <w:gridCol w:w="211"/>
        <w:gridCol w:w="976"/>
        <w:gridCol w:w="109"/>
        <w:gridCol w:w="109"/>
        <w:gridCol w:w="109"/>
        <w:gridCol w:w="109"/>
        <w:gridCol w:w="211"/>
        <w:gridCol w:w="97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511,086 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497,166 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47" w:type="dxa"/>
        <w:jc w:val="left"/>
        <w:tblInd w:w="0" w:type="dxa"/>
        <w:tblLayout w:type="fixed"/>
        <w:tblCellMar>
          <w:top w:w="28" w:type="dxa"/>
          <w:left w:w="28" w:type="dxa"/>
          <w:bottom w:w="28" w:type="dxa"/>
          <w:right w:w="28" w:type="dxa"/>
        </w:tblCellMar>
      </w:tblPr>
      <w:tblGrid>
        <w:gridCol w:w="788"/>
        <w:gridCol w:w="693"/>
        <w:gridCol w:w="694"/>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profit </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profit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Includes stock compensation expense of $4.9 million</w:t>
      </w:r>
      <w:r>
        <w:rPr>
          <w:color w:val="000000"/>
        </w:rPr>
        <w:t xml:space="preserve"> </w:t>
      </w:r>
      <w:r>
        <w:rPr>
          <w:rFonts w:ascii="Times New Roman;sans-serif" w:hAnsi="Times New Roman;sans-serif"/>
          <w:b w:val="false"/>
          <w:color w:val="000000"/>
          <w:sz w:val="14"/>
        </w:rPr>
        <w:t>recognized for the nine months ended September 30, 2024 and $9.4 million and</w:t>
      </w:r>
      <w:r>
        <w:rPr>
          <w:color w:val="000000"/>
        </w:rPr>
        <w:t xml:space="preserve"> </w:t>
      </w:r>
      <w:r>
        <w:rPr>
          <w:rFonts w:ascii="Times New Roman;sans-serif" w:hAnsi="Times New Roman;sans-serif"/>
          <w:b w:val="false"/>
          <w:color w:val="000000"/>
          <w:sz w:val="14"/>
        </w:rPr>
        <w:t>$128.1 million recognized for the three and nine months ended September 30, 2023, respectively, related to common stock issued to Acima Holdings employees under restricted stock agreements as part of the acquisition consideration subject to vesting restrictions as described in Note 11. These restricted stock agreements were fully vested during the three months ended March 31, 2024.</w:t>
      </w:r>
    </w:p>
    <w:p>
      <w:pPr>
        <w:pStyle w:val="TextBody"/>
        <w:bidi w:val="0"/>
        <w:spacing w:before="0" w:after="0"/>
        <w:ind w:left="0" w:right="0" w:hanging="180"/>
        <w:jc w:val="both"/>
        <w:rPr/>
      </w:pPr>
      <w:r>
        <w:rPr/>
      </w:r>
    </w:p>
    <w:tbl>
      <w:tblPr>
        <w:tblW w:w="8690" w:type="dxa"/>
        <w:jc w:val="left"/>
        <w:tblInd w:w="0" w:type="dxa"/>
        <w:tblLayout w:type="fixed"/>
        <w:tblCellMar>
          <w:top w:w="28" w:type="dxa"/>
          <w:left w:w="28" w:type="dxa"/>
          <w:bottom w:w="28" w:type="dxa"/>
          <w:right w:w="28" w:type="dxa"/>
        </w:tblCellMar>
      </w:tblPr>
      <w:tblGrid>
        <w:gridCol w:w="1103"/>
        <w:gridCol w:w="969"/>
        <w:gridCol w:w="973"/>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Acima</w:t>
            </w:r>
            <w:r>
              <w:rPr>
                <w:rFonts w:ascii="Times New Roman;sans-serif" w:hAnsi="Times New Roman;sans-serif"/>
                <w:b w:val="false"/>
                <w:color w:val="000000"/>
                <w:sz w:val="13"/>
              </w:rPr>
              <w:t>(1)</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(2)</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Excludes amortization expense of approximately $10.9 million and $34.5 million for the three and nine months ended September 30, 2024, and $14.3 million and $42.8 million for the three and nine months ended September 30, 2023, respectively, recorded to other gains and charges in the Condensed Consolidated Statements of Operations, related to intangible assets acquired upon closing of the Acima Holdings acquisition. See Note 9 for additional information.</w:t>
      </w:r>
    </w:p>
    <w:p>
      <w:pPr>
        <w:pStyle w:val="TextBody"/>
        <w:bidi w:val="0"/>
        <w:spacing w:lineRule="auto" w:line="288" w:before="0" w:after="0"/>
        <w:ind w:left="0" w:right="0" w:hanging="180"/>
        <w:jc w:val="left"/>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Excludes depreciation expense of approximately $4.0 million and $18.0 million for the three and nine months ended September 30, 2024, and $8.6 million and $16.5 million for the three and nine months ended September 30, 2023 recorded to other gains and charges in the Condensed Consolidated Statements of Operations, related to software acquired upon closing of the Acima Holdings acquisition and accelerated software depreciation. See Note 9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894" w:type="dxa"/>
        <w:jc w:val="left"/>
        <w:tblInd w:w="0" w:type="dxa"/>
        <w:tblLayout w:type="fixed"/>
        <w:tblCellMar>
          <w:top w:w="28" w:type="dxa"/>
          <w:left w:w="28" w:type="dxa"/>
          <w:bottom w:w="28" w:type="dxa"/>
          <w:right w:w="28" w:type="dxa"/>
        </w:tblCellMar>
      </w:tblPr>
      <w:tblGrid>
        <w:gridCol w:w="812"/>
        <w:gridCol w:w="714"/>
        <w:gridCol w:w="723"/>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8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07" w:type="dxa"/>
        <w:jc w:val="left"/>
        <w:tblInd w:w="0" w:type="dxa"/>
        <w:tblLayout w:type="fixed"/>
        <w:tblCellMar>
          <w:top w:w="28" w:type="dxa"/>
          <w:left w:w="28" w:type="dxa"/>
          <w:bottom w:w="28" w:type="dxa"/>
          <w:right w:w="28" w:type="dxa"/>
        </w:tblCellMar>
      </w:tblPr>
      <w:tblGrid>
        <w:gridCol w:w="1118"/>
        <w:gridCol w:w="982"/>
        <w:gridCol w:w="990"/>
        <w:gridCol w:w="251"/>
        <w:gridCol w:w="1164"/>
        <w:gridCol w:w="130"/>
        <w:gridCol w:w="109"/>
        <w:gridCol w:w="109"/>
        <w:gridCol w:w="109"/>
        <w:gridCol w:w="243"/>
        <w:gridCol w:w="1125"/>
        <w:gridCol w:w="177"/>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 rental merchandise, net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 rent rental merchandise,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1,016,716 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1,109,896 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6" w:type="dxa"/>
        <w:jc w:val="left"/>
        <w:tblInd w:w="0" w:type="dxa"/>
        <w:tblLayout w:type="fixed"/>
        <w:tblCellMar>
          <w:top w:w="28" w:type="dxa"/>
          <w:left w:w="28" w:type="dxa"/>
          <w:bottom w:w="28" w:type="dxa"/>
          <w:right w:w="28" w:type="dxa"/>
        </w:tblCellMar>
      </w:tblPr>
      <w:tblGrid>
        <w:gridCol w:w="1270"/>
        <w:gridCol w:w="1116"/>
        <w:gridCol w:w="1124"/>
        <w:gridCol w:w="284"/>
        <w:gridCol w:w="1114"/>
        <w:gridCol w:w="147"/>
        <w:gridCol w:w="109"/>
        <w:gridCol w:w="109"/>
        <w:gridCol w:w="109"/>
        <w:gridCol w:w="273"/>
        <w:gridCol w:w="1072"/>
        <w:gridCol w:w="199"/>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 rental merchandise, net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 for rent rental merchandise,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92" w:type="dxa"/>
        <w:jc w:val="left"/>
        <w:tblInd w:w="0" w:type="dxa"/>
        <w:tblLayout w:type="fixed"/>
        <w:tblCellMar>
          <w:top w:w="28" w:type="dxa"/>
          <w:left w:w="28" w:type="dxa"/>
          <w:bottom w:w="28" w:type="dxa"/>
          <w:right w:w="28" w:type="dxa"/>
        </w:tblCellMar>
      </w:tblPr>
      <w:tblGrid>
        <w:gridCol w:w="788"/>
        <w:gridCol w:w="693"/>
        <w:gridCol w:w="694"/>
        <w:gridCol w:w="251"/>
        <w:gridCol w:w="1164"/>
        <w:gridCol w:w="130"/>
        <w:gridCol w:w="109"/>
        <w:gridCol w:w="109"/>
        <w:gridCol w:w="109"/>
        <w:gridCol w:w="243"/>
        <w:gridCol w:w="1125"/>
        <w:gridCol w:w="177"/>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segment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segments</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2,212,464 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2,358,322 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2,578,490 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2,721,430 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 Common Stock and Stock-Based Compensation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nine months ended September 30, 2024. During the nine months ended September 30, 2023, we repurchased 916,269 shares of our common stock for an aggregate purchase price of approximately $27.1 million. Approximately $235.0 million remains available for repurchases under the current authorization at September 30, 2024.</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$5.9 million and $6.2 million in compensation expense related to stock awards issued under the Upbound Group, Inc. Amended 2021 Long-Term Incentive Plan (the “2021 Plan”) and 2016 Long-Term Incentive Plan (the “2016 Plan”) during the three months ended September 30, 2024 and 2023, respectively, and $19.3 million and $18.6 million during the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September 30, 2024 and 2023, respectively. During the nine months ended September 30, 2024, we granted 496,803 market-based performance units and 284,702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nine months ended September 30, 2024 was $38.40 and $33.69,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Acima Holdings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were recognized as stock compensation expense over the vesting term in accordance with ASC Topic 718, “Stock-based Compensation” and recorded to other gains and charges in our unaudited Condensed Consolidated Statements of Operations. We recognized $4.9 million in stock compensation expense related to these restricted stock agreements during the nine months ended September 30, 2024, and $9.4 million and $128.1 million during the three and nine months ended September 30, 2023, respectively. These restricted stock agreements were fully vested during the three months ended March 31, 2024. Stock compensation expense recognized during the nine months ended September 30, 2023 for these restricted stock agreements included $78.4 million attributable to the acceleration of vesting provisions, primarily related to former employee and Acima founder Aaron Allred’s transition from Executive Vice President of Acima to an advisory role in early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 2024, we entered into a letter agreement with the Company’s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three and nine months ended September 30, 2024 due to this letter agreement was approximately $1.7 million and $3.4 million, respectively, and was recorded to other gains and charges in our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 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along with our subsidiaries, are party to various legal proceedings and governmental inquiries and investigations given the nature of our business. We regularly monitor developments related to these matters,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 matters described below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We cannot predict the ultimate resolution of our pending legal proceedings and governmental inquiries and investigations or other similar matters that may arise in the future given the nature of our business and the inherent uncertainty associated with legal proceedings and governmental inquiries and investigations, including those described below. We have incurred legal and related expenses, and we expect to incur substantial additional legal and related expenses, associated with the litigation and investigations discussed below.</w:t>
      </w:r>
    </w:p>
    <w:p>
      <w:pPr>
        <w:pStyle w:val="TextBody"/>
        <w:bidi w:val="0"/>
        <w:spacing w:lineRule="auto" w:line="288" w:before="120" w:after="283"/>
        <w:jc w:val="both"/>
        <w:rPr/>
      </w:pPr>
      <w:r>
        <w:rPr>
          <w:rFonts w:ascii="Times New Roman;sans-serif" w:hAnsi="Times New Roman;sans-serif"/>
          <w:b w:val="false"/>
          <w:i/>
          <w:color w:val="000000"/>
          <w:sz w:val="20"/>
        </w:rPr>
        <w:t>Unclaimed Property.</w:t>
      </w:r>
      <w:r>
        <w:rPr>
          <w:color w:val="000000"/>
        </w:rPr>
        <w:t xml:space="preserve"> </w:t>
      </w:r>
      <w:r>
        <w:rPr>
          <w:rFonts w:ascii="Times New Roman;sans-serif" w:hAnsi="Times New Roman;sans-serif"/>
          <w:b w:val="false"/>
          <w:color w:val="000000"/>
          <w:sz w:val="20"/>
        </w:rPr>
        <w:t>We are subject to unclaimed property audits by states in the ordinary course of business. The property subject to review in the audit 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pStyle w:val="TextBody"/>
        <w:bidi w:val="0"/>
        <w:spacing w:lineRule="auto" w:line="288" w:before="120" w:after="283"/>
        <w:jc w:val="both"/>
        <w:rPr/>
      </w:pPr>
      <w:r>
        <w:rPr>
          <w:rFonts w:ascii="Times New Roman;sans-serif" w:hAnsi="Times New Roman;sans-serif"/>
          <w:b w:val="false"/>
          <w:i/>
          <w:color w:val="000000"/>
          <w:sz w:val="20"/>
        </w:rPr>
        <w:t>Consumer Financial Protection Bureau (</w:t>
      </w:r>
      <w:r>
        <w:rPr>
          <w:color w:val="000000"/>
        </w:rPr>
        <w:t>“</w:t>
      </w:r>
      <w:r>
        <w:rPr>
          <w:rFonts w:ascii="Times New Roman;sans-serif" w:hAnsi="Times New Roman;sans-serif"/>
          <w:b w:val="false"/>
          <w:i/>
          <w:color w:val="000000"/>
          <w:sz w:val="20"/>
        </w:rPr>
        <w:t>CFPB</w:t>
      </w:r>
      <w:r>
        <w:rPr>
          <w:color w:val="000000"/>
        </w:rPr>
        <w:t>”</w:t>
      </w:r>
      <w:r>
        <w:rPr>
          <w:rFonts w:ascii="Times New Roman;sans-serif" w:hAnsi="Times New Roman;sans-serif"/>
          <w:b w:val="false"/>
          <w:i/>
          <w:color w:val="000000"/>
          <w:sz w:val="20"/>
        </w:rPr>
        <w:t>) Litigation.</w:t>
      </w:r>
      <w:r>
        <w:rPr>
          <w:color w:val="000000"/>
        </w:rPr>
        <w:t xml:space="preserve"> </w:t>
      </w:r>
      <w:r>
        <w:rPr>
          <w:rFonts w:ascii="Times New Roman;sans-serif" w:hAnsi="Times New Roman;sans-serif"/>
          <w:b w:val="false"/>
          <w:color w:val="000000"/>
          <w:sz w:val="20"/>
        </w:rPr>
        <w:t xml:space="preserve">In October 2020, prior to the December 2020 execution of the definitive agreement to acquire Acima, Acima received a Civil Investigative Demand (the “CID”) from the CFPB requesting certain information, documents and data relating to Acima’s products, services and practices from January 1, 2015 forward. The stated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responded to all CIDs and cooperated with the CFPB throughout their investigation.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in accordance with the CFPB’s Notice and Opportunity to Respond and Advise (“NORA”) process, the CFPB staff notified Acima that the staff may recommend that the CFPB take legal action against Acima based on allegations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and seek remedies including restitution, disgorgement, damages, injunctive relief, and civil money penalties. In June 2023, Acima submitted its response to the NORA notice.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2024, Acima was informed by the CFPB staff that the CFPB authorized “sue or settle” authority pursuant to the NORA process. The CFPB subsequently provided Acima with a settlement proposal. Although Acima engaged in discussions with the CFPB regarding its settlement demands, Acima’s efforts to negotiate a resolution were met with the CFPB’s threat of imminent commencement of litigation, refusal to meet with Acima in person to discuss a potential resolution, and what Acima believes were unsupportable demands.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on July 22, 2024, Acima filed a lawsuit against the CFPB in the U.S. District Court for the Eastern District of Texas. Acima seeks to halt what it contends is the CFPB’s unauthorized attempt to expand its authority as limited by federal law and usurp the long-standing, comprehensive state regulatory framework governing the lease-to-own industry. Acima filed this action reluctantly, only after concluding in its judgment that the CFPB was not prepared to settle with Acima on acceptable terms. On July 26, 2024, the CFPB filed a lawsuit against Acima and its former founder in the U.S. District Court for the District of Utah, alleging violations of the consumer financial protection laws and regulations described above in connection with the CFPB’s May 2023 NORA notice. The CFPB’s lawsuit seeks injunctive relief, unspecified monetary relief and civil penalties and other relief. Both lawsuits remain pending. Acima will vigorously prosecute the lawsuit it filed and defend itself against the CFPB’s lawsuit.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provide any assurance that Acima’s litigation against the CFPB will be successful or that Acima will be successful in defending against the CFPB’s litigation, and that the CFPB’s ongoing regulatory efforts will not lead to the imposition of financial and other relief, and/or require changes to Acima’s business practices or operations that could materially and adversely affect our business, financial condition, results of operations or reputation.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Acima, $45 million of a $50 million initial holdback escrowed at the closing of the transaction remains available for fines, penalties or customer restitution paid in connection with a resolution of the CFPB matter, including an adverse litigation outcome. Although the CFPB’s complaint does not contain a specific monetary demand, the CFPB’s initial monetary settlement demand exceeded the remaining $45 million holdback by a substantial amount. Therefore, there can be no assurance that the remaining escrowed amount will be sufficient to address all covered losses that may ultimately be incurred for this matter. In addition, Acima has incurred and expects to continue to incur substantial legal and related expenses associated with this matter, which are not recoverable from the holdback amount.</w:t>
      </w:r>
    </w:p>
    <w:p>
      <w:pPr>
        <w:pStyle w:val="TextBody"/>
        <w:bidi w:val="0"/>
        <w:spacing w:lineRule="auto" w:line="288" w:before="120" w:after="283"/>
        <w:jc w:val="both"/>
        <w:rPr/>
      </w:pPr>
      <w:r>
        <w:rPr>
          <w:rFonts w:ascii="Times New Roman;sans-serif" w:hAnsi="Times New Roman;sans-serif"/>
          <w:b w:val="false"/>
          <w:i/>
          <w:color w:val="000000"/>
          <w:sz w:val="20"/>
        </w:rPr>
        <w:t>Multi-State Attorneys’ General Investigation.</w:t>
      </w:r>
      <w:r>
        <w:rPr>
          <w:color w:val="000000"/>
        </w:rPr>
        <w:t xml:space="preserve"> </w:t>
      </w:r>
      <w:r>
        <w:rPr>
          <w:rFonts w:ascii="Times New Roman;sans-serif" w:hAnsi="Times New Roman;sans-serif"/>
          <w:b w:val="false"/>
          <w:color w:val="000000"/>
          <w:sz w:val="20"/>
        </w:rPr>
        <w:t>In November 2021, Acima received a letter from the Nebraska Attorney General’s office stating that the 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and attended meetings with officials at many of the applicable attorneys’ general offices including members of the Executive Committee, which is leading the negotiations on behalf of the multistate group (the “Multistate”). Based on our engagement with the Multistate, it is our understanding that the investigation involves forty states and the District of Columbia. In April 2022, we received a request for information and documents, and we have produced various records in response to the request. In March 2024, the Multistate presented their findings and allegations from their investigation to Acima. In May 2024, Acima submitted its response to the Multistate’s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2024, Acima received a settlement proposal from the Multistate. Since then, the parties have continued to engage in conversations regarding a potential resolution and Acima has responded to the Multistate’s initial settlement proposal and monetary demand. As of the date of this Quarterly Report on Form 10-Q, although we would not be willing to agree to the Multistate’s monetary demand which we believe is unsupportable or agree to a number of the other terms presented by the Multistate, we expect to continue to discuss the potential resolution of this matter. We are currently unable to predict whether or on what terms, including the amount of a monetary payment and the nature of business practice changes, any settlement with the Multistate, or individual members of the group, can be achieved. If we are unable to reach agreement on terms acceptable to us and to the various states involved in the group, some or all of such states may commence legal proceedings against Acima. We cannot provide any assurance that any settlement or adverse result in litigation will not require a monetary payment and/or changes to Acima’s business practices or operations that could materially and adversely affect our business, financial condition, results of operations or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pPr>
      <w:r>
        <w:rPr>
          <w:rFonts w:ascii="Times New Roman;sans-serif" w:hAnsi="Times New Roman;sans-serif"/>
          <w:b w:val="false"/>
          <w:i/>
          <w:color w:val="000000"/>
          <w:sz w:val="20"/>
        </w:rPr>
        <w:t xml:space="preserve">New York Attorney General Litigation. </w:t>
      </w:r>
      <w:r>
        <w:rPr>
          <w:rFonts w:ascii="Times New Roman;sans-serif" w:hAnsi="Times New Roman;sans-serif"/>
          <w:b w:val="false"/>
          <w:color w:val="000000"/>
          <w:sz w:val="20"/>
        </w:rPr>
        <w:t>The New York Attorney General (the “NYAG”) issued a subpoena to our Acima subsidiary in January 2020, prior to our acquisition of Acima, seeking information with respect to various business practices in connection with Acima’s lease-to-own transactions. Acima received additional subpoenas from the NYAG in August 2021 and July 2023. Acima cooperated with the NYAG throughout its investigation. In March 2023, the NYAG provided Acima with a proposed assurance of discontinuance alleging violations of 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On August 14, 2024, despite Acima’s cooperation with the investigation and its active engagement in settlement discussions with the NYAG, the NYAG filed a lawsuit against Acima in the Supreme Court of the State of New York, County of New York. The lawsuit alleges violations of various consumer financial protection laws and regulations similar to those set forth in the NYAG’s March 2023 proposed assurance of discontinuance. The lawsuit seeks injunctive relief, unspecified monetary relief and civil penalties and other relief. Acima will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pStyle w:val="TextBody"/>
        <w:bidi w:val="0"/>
        <w:spacing w:lineRule="auto" w:line="288" w:before="120" w:after="283"/>
        <w:jc w:val="both"/>
        <w:rPr/>
      </w:pPr>
      <w:r>
        <w:rPr>
          <w:rFonts w:ascii="Times New Roman;sans-serif" w:hAnsi="Times New Roman;sans-serif"/>
          <w:b w:val="false"/>
          <w:i/>
          <w:color w:val="000000"/>
          <w:sz w:val="20"/>
        </w:rPr>
        <w:t xml:space="preserve">McBurnie Litigation. </w:t>
      </w:r>
      <w:r>
        <w:rPr>
          <w:rFonts w:ascii="Times New Roman;sans-serif" w:hAnsi="Times New Roman;sans-serif"/>
          <w:b w:val="false"/>
          <w:color w:val="000000"/>
          <w:sz w:val="20"/>
        </w:rPr>
        <w:t xml:space="preserve">We are a defendant in a putative class action entitled </w:t>
      </w:r>
      <w:r>
        <w:rPr>
          <w:rFonts w:ascii="Times New Roman;sans-serif" w:hAnsi="Times New Roman;sans-serif"/>
          <w:b w:val="false"/>
          <w:i/>
          <w:color w:val="000000"/>
          <w:sz w:val="20"/>
        </w:rPr>
        <w:t>McBurnie, et al. v. Acceptance Now, LLC</w:t>
      </w:r>
      <w:r>
        <w:rPr>
          <w:rFonts w:ascii="Times New Roman;sans-serif" w:hAnsi="Times New Roman;sans-serif"/>
          <w:b w:val="false"/>
          <w:color w:val="000000"/>
          <w:sz w:val="20"/>
        </w:rPr>
        <w:t>, brought on behalf of individuals who entered into a rental purchase agreement with the Company’s Acceptance Now business in California and were charged a processing fee and/or an expedited fee. Plaintiffs allege that the fees they were charged were neither “reasonable” nor “actually incurred” in violation of the Karnette Rental-Purchase Act and other California state consumer protection laws. Plaintiffs seek unspecified actual damages pursuant to the Karnette Rental-Purchase Act; statutory damages pursuant to the Karnette Rental-Purchase Act; attorneys’ fees and costs; exemplary damages; and public injunctions for alleged violations of the Karnette Rental-Purchase Act, the California Consumers Legal Remedies Act, and California unfair competition laws. The action is currently pending in the United States District Court for the Northern District of California. In November 2022, the District Court denied our motion to compel arbitration, and in December 2022, we filed an interlocutory appeal of that denial with the United States Court of Appeals for the Ninth Circuit, pending which the District Court proceedings were stayed. In March 2024, the Court of Appeals affirmed the District Court’s denial of our motion to compel arbitration and its finding that plaintiffs’ challenge to the processing fee was not moot, while remanding the action to the District Court to consider whether plaintiffs have standing to challenge the expedited payment fee. Plaintiffs have since notified the District Court that they do not intend to pursue their claims regarding the expedited payment fee. In June 2024, we filed a petition for certiorari with the U.S. Supreme Court, appealing the decision from the Court of Appeals. Our petition for certiorari was denied by the Supreme Court in October 2024. At the same time, proceedings before the District Court have resumed. Under the current scheduling order, this matter is scheduled for trial in October 2025. We will continue to vigorously defend this case. We are currently unable to predict the eventual outcome of this litigation.</w:t>
      </w:r>
    </w:p>
    <w:p>
      <w:pPr>
        <w:pStyle w:val="TextBody"/>
        <w:bidi w:val="0"/>
        <w:spacing w:lineRule="auto" w:line="288" w:before="120" w:after="283"/>
        <w:jc w:val="both"/>
        <w:rPr/>
      </w:pPr>
      <w:r>
        <w:rPr>
          <w:rFonts w:ascii="Times New Roman;sans-serif" w:hAnsi="Times New Roman;sans-serif"/>
          <w:b w:val="false"/>
          <w:i/>
          <w:color w:val="000000"/>
          <w:sz w:val="20"/>
        </w:rPr>
        <w:t xml:space="preserve">FlexShopper Litigation. </w:t>
      </w:r>
      <w:r>
        <w:rPr>
          <w:rFonts w:ascii="Times New Roman;sans-serif" w:hAnsi="Times New Roman;sans-serif"/>
          <w:b w:val="false"/>
          <w:color w:val="000000"/>
          <w:sz w:val="20"/>
        </w:rPr>
        <w:t>On September 30, 2024, FlexShopper, Inc. (“FlexShopper”) filed a patent infringement lawsuit against Upbound Group, Inc, Acima Holdings, LLC and Acima Digital, LLC in the United States District Court for the Eastern District of Texas. On October 1, 2024, FlexShopper issued a press release announcing the lawsuit and a similar lawsuit it filed against another lease-to-own company, Katapult Holdings, Inc. The lawsuit filed against our company seeks damages and an injunction for alleged violations of five patents assigned to FlexShopper with respect to certain online lease-to-own transactions in connection with Acima’s e-commerce third-party retailer lease-to-own business. We will vigorously defend the lawsuit. We are currently unable to predict the eventual timing or outcome of this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 Earnings Per Common Share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Summarized basic and diluted earnings per common share were calculated as follows:</w:t>
      </w:r>
    </w:p>
    <w:tbl>
      <w:tblPr>
        <w:tblW w:w="10205" w:type="dxa"/>
        <w:jc w:val="left"/>
        <w:tblInd w:w="0" w:type="dxa"/>
        <w:tblLayout w:type="fixed"/>
        <w:tblCellMar>
          <w:top w:w="28" w:type="dxa"/>
          <w:left w:w="28" w:type="dxa"/>
          <w:bottom w:w="28" w:type="dxa"/>
          <w:right w:w="28" w:type="dxa"/>
        </w:tblCellMar>
      </w:tblPr>
      <w:tblGrid>
        <w:gridCol w:w="1842"/>
        <w:gridCol w:w="1464"/>
        <w:gridCol w:w="1454"/>
        <w:gridCol w:w="234"/>
        <w:gridCol w:w="803"/>
        <w:gridCol w:w="121"/>
        <w:gridCol w:w="121"/>
        <w:gridCol w:w="121"/>
        <w:gridCol w:w="121"/>
        <w:gridCol w:w="234"/>
        <w:gridCol w:w="686"/>
        <w:gridCol w:w="121"/>
        <w:gridCol w:w="109"/>
        <w:gridCol w:w="109"/>
        <w:gridCol w:w="109"/>
        <w:gridCol w:w="229"/>
        <w:gridCol w:w="782"/>
        <w:gridCol w:w="118"/>
        <w:gridCol w:w="118"/>
        <w:gridCol w:w="118"/>
        <w:gridCol w:w="118"/>
        <w:gridCol w:w="229"/>
        <w:gridCol w:w="668"/>
        <w:gridCol w:w="176"/>
      </w:tblGrid>
      <w:tr>
        <w:trPr/>
        <w:tc>
          <w:tcPr>
            <w:tcW w:w="184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dilutive stock awards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earnings per common share</w:t>
            </w:r>
            <w:r>
              <w:rPr>
                <w:rFonts w:ascii="Times New Roman;sans-serif" w:hAnsi="Times New Roman;sans-serif"/>
                <w:b w:val="false"/>
                <w:color w:val="000000"/>
                <w:sz w:val="13"/>
              </w:rPr>
              <w:t>(1)</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securities excluded from diluted earnings per common share:</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restricted share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share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Weighted-average dilutive shares outstanding for the nine months ended September 30, 2023, includes approximately 0.4 million common shares, issued in connection with the acquisition of Acima Holdings and subject to vesting conditions under restricted stock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and of our segments, our growth strategies, our expectations, plans and strategy relating to our capital structure and capital allocation, including any share repurchases under our share repurchase program, the potential impact of the matters discussed in Note 12, and other statements that are not historical facts.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2023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general strength of the economy and other economic conditions affecting consumer preferences and spending, including the availability of credit to our target consumers and to other consumers, impacts from continued inflation, central bank monetary policy initiatives to address inflation concerns, and a possible recession or slowdown in economic growth;</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factors affecting the disposable income available to our current and potential customers;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the unemployment rate;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capital market conditions, including changes in interest rates and availability of funding sources for us;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credit ratings;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difficulties encountered in improving the financial and operational performance of our business segments;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associated with pricing, value proposition and other changes and strategies being deployed in our businesses;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 xml:space="preserve">our ability to continue to effectively execute our strategic initiatives, including mitigating risks associated with any potential mergers and acquisitions, or refranchising opportunities; </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potential acquisition candidates, complete acquisitions and successfully integrate acquired companies;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failure to manage our operating labor and non-labor operating expenses, including merchandise losses;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caused by the operation of our information management systems or disruptions in the systems of our host retailers;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related to our virtual lease-to-own business, including our ability to continue to develop and successfully implement the necessary technologies;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achieve the benefits expected from our integrated virtual and staffed third-party retailer offering and to successfully grow this business segment;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exposure to potential operating margin degradation due to the higher cost of merchandise and higher merchandise losses in our Acima segment compared to our Rent-A-Center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litigation or administrative proceedings to which we are or may be a party to from time to time and changes in estimates relating to litigation reserves, including in each case in connection with the regulatory and litigation matters described in Note 12 to our condensed consolidated financial statements included in this Quarterly Report on Form 10-Q;</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compliance with applicable statutes and regulations governing our businesses, impacts from the enforcement of existing laws and regulations and the enactment of new laws and regulations adversely affecting our business, including in connection with the regulatory matters described in Note 12 to our condensed consolidated financial statements included in this Quarterly Report on Form 10-Q, and any legislative or other regulatory enforcement efforts that seek to re-characterize store-based or virtual lease-to-own transactions as credit sales and to apply consumer credit laws and regulations to our business;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transition to more-readily scalable “cloud-based” solutions;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develop and successfully implement digital or e-commerce capabilities, including mobile applications;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protect our proprietary intellectual property;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or that of our host retailers to protect the integrity and security of customer, employee, supplier and host retailer information, which may be adversely affected by hacking, computer viruses, or similar disruptions;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impairment of our goodwill or other intangible assets;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in our supply chain;</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limitations of, or disruptions in, our distribution network;</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rapid inflation or deflation in the prices of our products and other related costs;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allegations of product safety and quality control issues, including recalls;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execute, as well as the effectiveness of, store consolidations, including our ability to retain the revenue from customer accounts merged into another store location as a result of a store consolidation;</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available cash flow and our ability to generate sufficient cash flow to continue paying dividends;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increased competition from traditional competitors, virtual lease-to-own competitors, online retailers, Buy-Now-Pay-Later and other fintech companies and other competitors, including subprime lenders;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and successfully market products and services that appeal to our current and future targeted customer segments and to accurately estimate the size of the total addressable market;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consumer preferences and perceptions of our brands;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effectively provide consumers with additional products and services beyond lease-to-own, including through third-party partnerships;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retain the revenue associated with acquired customer accounts and enhance the performance of acquired stores;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enter into new rental or lease purchase agreements and collect on our existing rental or lease purchase agreements;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tariff policies;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adverse changes in the economic conditions of the industries, countries or markets that we serve;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information technology and data security costs;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impact of any breaches in data security or other disturbances to our information technology and other networks;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estimates relating to self-insurance liabilities and income tax reserves;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effective tax rate;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maintain an effective system of internal controls;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the other risks detailed from time to time in our reports furnished or filed with the United States Securities and Exchange Commission (the “SEC”).</w:t>
      </w:r>
    </w:p>
    <w:p>
      <w:pPr>
        <w:pStyle w:val="TextBody"/>
        <w:bidi w:val="0"/>
        <w:spacing w:lineRule="auto" w:line="288" w:before="120" w:after="283"/>
        <w:jc w:val="both"/>
        <w:rPr/>
      </w:pPr>
      <w:r>
        <w:rPr>
          <w:rFonts w:ascii="Times New Roman;sans-serif" w:hAnsi="Times New Roman;sans-serif"/>
          <w:b w:val="false"/>
          <w:color w:val="000000"/>
          <w:sz w:val="20"/>
        </w:rPr>
        <w:t>Additional important factors that could cause our actual results to differ materially from our expectations are discussed under the section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year ended December 31, 2023 and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 in local communities around the country. We were incorporated in the State of Delaware in 1986, and our common stock is traded on the Nasdaq Global Select Market under the ticker symbol “UPBD.”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focused on achieving our mission to elevate financial opportunity for all and growing our business through emphasis on the following key initiatives: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Grow penetration with current Acima third-party retailers and build on our strength with small to medium size businesses while also adding new national and regional third-party retailers to our platform and expanding our direct-to-consumer channels;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At Rent-A-Center, accelerate the shift to e-commerce, improve the fully integrated omni-channel customer experience and expand product categories, which we expect will increase brand awareness and customer loyalty;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Leverage data analytics capabilities to attract new customers, approve more customers and mitigate risk across business segments;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Upgrade and integrate technology platforms to allow for a more simplified and seamless consumer experience, third-party retailer and waterfall integration and consumer transaction process and coworker efficiency;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Execute on market opportunities and enhance our competitive position across both traditional and virtual lease-to-own solutions, and implement complementary products and services that supplement our current offerings and provide our customers more financial alternatives;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Develop centers of excellence that will be leveraged across the organization to support our various business segments, utilizing best practices to drive efficiency and growth.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20" w:after="283"/>
        <w:jc w:val="both"/>
        <w:rPr/>
      </w:pPr>
      <w:r>
        <w:rPr>
          <w:rFonts w:ascii="Times New Roman;sans-serif" w:hAnsi="Times New Roman;sans-serif"/>
          <w:b w:val="false"/>
          <w:i/>
          <w:color w:val="000000"/>
          <w:sz w:val="20"/>
        </w:rPr>
        <w:t>Dividend.</w:t>
      </w:r>
      <w:r>
        <w:rPr>
          <w:color w:val="000000"/>
        </w:rPr>
        <w:t xml:space="preserve"> </w:t>
      </w:r>
      <w:r>
        <w:rPr>
          <w:rFonts w:ascii="Times New Roman;sans-serif" w:hAnsi="Times New Roman;sans-serif"/>
          <w:b w:val="false"/>
          <w:color w:val="000000"/>
          <w:sz w:val="20"/>
        </w:rPr>
        <w:t>On September 19, 2024, we announced that our board of directors approved a quarterly cash dividend of $0.37 per share for the fourth quarter of 2024. The dividend was paid on October 22, 2024 to our common stockholders of record as of the close of business on October 1, 2024.</w:t>
      </w:r>
    </w:p>
    <w:p>
      <w:pPr>
        <w:pStyle w:val="TextBody"/>
        <w:bidi w:val="0"/>
        <w:spacing w:lineRule="auto" w:line="288" w:before="180" w:after="283"/>
        <w:jc w:val="both"/>
        <w:rPr/>
      </w:pPr>
      <w:r>
        <w:rPr>
          <w:rFonts w:ascii="Times New Roman;sans-serif" w:hAnsi="Times New Roman;sans-serif"/>
          <w:b w:val="false"/>
          <w:i/>
          <w:color w:val="000000"/>
          <w:sz w:val="20"/>
        </w:rPr>
        <w:t xml:space="preserve">Refranchise Sale. </w:t>
      </w:r>
      <w:r>
        <w:rPr>
          <w:rFonts w:ascii="Times New Roman;sans-serif" w:hAnsi="Times New Roman;sans-serif"/>
          <w:b w:val="false"/>
          <w:color w:val="000000"/>
          <w:sz w:val="20"/>
        </w:rPr>
        <w:t>On September 9, 2024, we sold 55 Rent-A-Center stores in the states of New York and New Jersey to a franchisee. We received cash consideration of approximately $19.1 million, including approximately $0.6 million related to franchise fees. The sale included on rent and held for rent inventory of approximately $13.0 million, property assets of approximately $2.0 million, and prorated rent and other miscellaneous expenses of $0.4 million, resulting in a net gain on sale of approximately $3.1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Business and Operational Trends</w:t>
      </w:r>
    </w:p>
    <w:p>
      <w:pPr>
        <w:pStyle w:val="TextBody"/>
        <w:bidi w:val="0"/>
        <w:spacing w:lineRule="auto" w:line="288" w:before="120" w:after="120"/>
        <w:jc w:val="both"/>
        <w:rPr/>
      </w:pPr>
      <w:r>
        <w:rPr>
          <w:rFonts w:ascii="Times New Roman;sans-serif" w:hAnsi="Times New Roman;sans-serif"/>
          <w:b w:val="false"/>
          <w:i/>
          <w:color w:val="000000"/>
          <w:sz w:val="20"/>
        </w:rPr>
        <w:t xml:space="preserve">Macroeconomic Conditions. </w:t>
      </w:r>
      <w:r>
        <w:rPr>
          <w:rFonts w:ascii="Times New Roman;sans-serif" w:hAnsi="Times New Roman;sans-serif"/>
          <w:b w:val="false"/>
          <w:color w:val="000000"/>
          <w:sz w:val="20"/>
        </w:rPr>
        <w:t>In recent years, we have experienced significant change in our business and operational trends driven by macroeconomic 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and global supply chain disruptions resulting in reduced product availability and rising product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lease-to-own industry has historically remained a resilient business model throughout various economic cycles, the full extent to which our risk management strategy and these macroeconomic trends (including consumer spending and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behavior) may impact our business in future periods is uncertain. The continuation of negative and volatile macroeconomic trends may have a material adverse impact on our financial statements, including our results of operations, operating cash flows, liquidity and capital resources.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“Risk Factors” in Part I, Item 1A in our Annual Report on Form 10-K for the year ended December 31, 2023, for additional discussion of impacts to our business and additional risks associated with macroeconomic conditions.</w:t>
      </w:r>
    </w:p>
    <w:p>
      <w:pPr>
        <w:pStyle w:val="TextBody"/>
        <w:bidi w:val="0"/>
        <w:spacing w:lineRule="auto" w:line="288" w:before="120" w:after="120"/>
        <w:jc w:val="both"/>
        <w:rPr/>
      </w:pPr>
      <w:r>
        <w:rPr>
          <w:rFonts w:ascii="Times New Roman;sans-serif" w:hAnsi="Times New Roman;sans-serif"/>
          <w:b w:val="false"/>
          <w:i/>
          <w:color w:val="000000"/>
          <w:sz w:val="20"/>
        </w:rPr>
        <w:t xml:space="preserve">Rent-A-Center e-commerce revenue. </w:t>
      </w:r>
      <w:r>
        <w:rPr>
          <w:rFonts w:ascii="Times New Roman;sans-serif" w:hAnsi="Times New Roman;sans-serif"/>
          <w:b w:val="false"/>
          <w:color w:val="000000"/>
          <w:sz w:val="20"/>
        </w:rPr>
        <w:t>In recent years, e-commerce revenues increased as a percentage of total rentals and fees revenue in our Rent-A-Center segment. For the nine months ended September 30, 2024 and 2023, e-commerce revenues represented approximately 26% of total lease-to-own revenues.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focuses on our results of operations and our liquidity and capital resources. You should read this discussion in conjunction with the condensed consolidated financial statements and notes thereto for the nine months ended September 30, 2024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Key Metrics</w:t>
      </w:r>
    </w:p>
    <w:p>
      <w:pPr>
        <w:pStyle w:val="TextBody"/>
        <w:bidi w:val="0"/>
        <w:spacing w:lineRule="auto" w:line="268" w:before="120" w:after="120"/>
        <w:jc w:val="both"/>
        <w:rPr/>
      </w:pPr>
      <w:r>
        <w:rPr>
          <w:rFonts w:ascii="Times New Roman;sans-serif" w:hAnsi="Times New Roman;sans-serif"/>
          <w:b w:val="false"/>
          <w:i/>
          <w:color w:val="000000"/>
          <w:sz w:val="20"/>
        </w:rPr>
        <w:t xml:space="preserve">Gross Merchandise Volume (“GMV”): </w:t>
      </w:r>
      <w:r>
        <w:rPr>
          <w:rFonts w:ascii="Times New Roman;sans-serif" w:hAnsi="Times New Roman;sans-serif"/>
          <w:b w:val="false"/>
          <w:color w:val="000000"/>
          <w:sz w:val="20"/>
        </w:rPr>
        <w:t xml:space="preserve">The Company defines Gross Merchandise Volume as the retail value in U.S. dollars of merchandise acquired by the Acima segment that is leased to customers through a transaction that occurs within a defined period, net of estimated cancellations as of the measurement date. </w:t>
      </w:r>
    </w:p>
    <w:p>
      <w:pPr>
        <w:pStyle w:val="TextBody"/>
        <w:bidi w:val="0"/>
        <w:spacing w:lineRule="auto" w:line="268" w:before="120" w:after="283"/>
        <w:jc w:val="both"/>
        <w:rPr/>
      </w:pPr>
      <w:r>
        <w:rPr>
          <w:rFonts w:ascii="Times New Roman;sans-serif" w:hAnsi="Times New Roman;sans-serif"/>
          <w:b w:val="false"/>
          <w:i/>
          <w:color w:val="000000"/>
          <w:sz w:val="20"/>
        </w:rPr>
        <w:t>Lease Portfolio Value:</w:t>
      </w:r>
      <w:r>
        <w:rPr>
          <w:color w:val="000000"/>
        </w:rPr>
        <w:t xml:space="preserve"> </w:t>
      </w:r>
      <w:r>
        <w:rPr>
          <w:rFonts w:ascii="Times New Roman;sans-serif" w:hAnsi="Times New Roman;sans-serif"/>
          <w:b w:val="false"/>
          <w:color w:val="000000"/>
          <w:sz w:val="20"/>
        </w:rPr>
        <w:t>Represents the aggregate dollar value of the expected monthly rental income associated with current active lease agreements from our Rent-A-Center stores and e-commerce platform at the end of any given period.</w:t>
      </w:r>
    </w:p>
    <w:p>
      <w:pPr>
        <w:pStyle w:val="TextBody"/>
        <w:bidi w:val="0"/>
        <w:spacing w:lineRule="auto" w:line="268" w:before="120" w:after="283"/>
        <w:jc w:val="both"/>
        <w:rPr/>
      </w:pPr>
      <w:r>
        <w:rPr>
          <w:rFonts w:ascii="Times New Roman;sans-serif" w:hAnsi="Times New Roman;sans-serif"/>
          <w:b w:val="false"/>
          <w:i/>
          <w:color w:val="000000"/>
          <w:sz w:val="20"/>
        </w:rPr>
        <w:t>Same Store Lease Portfolio Value</w:t>
      </w:r>
      <w:r>
        <w:rPr>
          <w:rFonts w:ascii="Times New Roman;sans-serif" w:hAnsi="Times New Roman;sans-serif"/>
          <w:b w:val="false"/>
          <w:color w:val="000000"/>
          <w:sz w:val="20"/>
        </w:rPr>
        <w:t>: Represents the aggregate dollar value of the expected monthly rental income associated with current active lease agreements from our Rent-A-Center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pStyle w:val="TextBody"/>
        <w:bidi w:val="0"/>
        <w:spacing w:lineRule="auto" w:line="268" w:before="120" w:after="283"/>
        <w:jc w:val="both"/>
        <w:rPr/>
      </w:pPr>
      <w:r>
        <w:rPr>
          <w:rFonts w:ascii="Times New Roman;sans-serif" w:hAnsi="Times New Roman;sans-serif"/>
          <w:b w:val="false"/>
          <w:i/>
          <w:color w:val="000000"/>
          <w:sz w:val="20"/>
        </w:rPr>
        <w:t>Same Store Sales:</w:t>
      </w:r>
      <w:r>
        <w:rPr>
          <w:color w:val="000000"/>
        </w:rPr>
        <w:t xml:space="preserve"> </w:t>
      </w:r>
      <w:r>
        <w:rPr>
          <w:rFonts w:ascii="Times New Roman;sans-serif" w:hAnsi="Times New Roman;sans-serif"/>
          <w:b w:val="false"/>
          <w:color w:val="000000"/>
          <w:sz w:val="20"/>
        </w:rPr>
        <w:t>Same store sales generally represents revenue earned in Rent-A-Center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pStyle w:val="TextBody"/>
        <w:bidi w:val="0"/>
        <w:spacing w:lineRule="auto" w:line="268" w:before="120" w:after="283"/>
        <w:jc w:val="both"/>
        <w:rPr/>
      </w:pPr>
      <w:r>
        <w:rPr>
          <w:rFonts w:ascii="Times New Roman;sans-serif" w:hAnsi="Times New Roman;sans-serif"/>
          <w:b w:val="false"/>
          <w:i/>
          <w:color w:val="000000"/>
          <w:sz w:val="20"/>
        </w:rPr>
        <w:t>Lease Charge-Offs (“LCOs”) (previously referred to as “skip / stolen losses”):</w:t>
      </w:r>
      <w:r>
        <w:rPr>
          <w:color w:val="000000"/>
        </w:rPr>
        <w:t xml:space="preserve"> </w:t>
      </w:r>
      <w:r>
        <w:rPr>
          <w:rFonts w:ascii="Times New Roman;sans-serif" w:hAnsi="Times New Roman;sans-serif"/>
          <w:b w:val="false"/>
          <w:color w:val="000000"/>
          <w:sz w:val="20"/>
        </w:rPr>
        <w:t>Represents charge-offs of the net book value of unrecoverable on-rent merchandise with lease-to-own customers who are past due. This is typically expressed as a percentage of revenues for the applicable period. For the Rent-A-Center segment, LCOs exclude Get It Now and Home Choice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briefly summarizes certain of our financial information for the nine months ended September 30, 2024 as compared to the nine months ended September 30,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nine months of 2024, consolidated revenues and gross profit increased by approximately $267.0 million and $62.5 million, respectively, primarily due to an increase in the Acima segment revenues described below. Operating profit increased by approximately $105.5 million, primarily due to a decrease in other gains and charges of $104.5 million in addition to the increase in gross profit noted above, partially offset by an increase in non-labor operating expenses of $44.5 million, general and administrative expenses of $9.8 million and operating labor of $6.5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Acima segment revenues increased approximately $256.9 million for the nine months ended September 30, 2024, due to increases in rentals and fees revenues and merchandise sales of $193.9 million and $62.6 million, respectively, primarily resulting from higher GMV. Growth in GMV was primarily due to an increase in third-party retailer locations and productivity, which resulted in more leases per retailer, and expanded direct-to-consumer offerings. Operating profit increased approximately $10.8 million for the nine months ended September 30, 2024, primarily due to an increase in gross profit of $48.6 million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color w:val="000000"/>
          <w:sz w:val="20"/>
        </w:rPr>
        <w:t xml:space="preserve">decrease in other gains and charges of $8.3 million, partially offset by increases in non-labor operating expenses and operating labor costs of approximately $43.8 million and $2.0 million, respectively.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below for further discussion of Acima segment operating results for the nine months ended September 30, 2024.</w:t>
      </w:r>
    </w:p>
    <w:p>
      <w:pPr>
        <w:pStyle w:val="TextBody"/>
        <w:bidi w:val="0"/>
        <w:spacing w:lineRule="auto" w:line="288" w:before="120" w:after="283"/>
        <w:jc w:val="both"/>
        <w:rPr/>
      </w:pPr>
      <w:r>
        <w:rPr>
          <w:rFonts w:ascii="Times New Roman;sans-serif" w:hAnsi="Times New Roman;sans-serif"/>
          <w:b w:val="false"/>
          <w:color w:val="000000"/>
          <w:sz w:val="20"/>
        </w:rPr>
        <w:t xml:space="preserve">Revenues in our Rent-A-Center segment increased approximately $14.6 million for the nine months ended September 30, 2024 due to an increase in same store sales of 1.9% driven by an increase in rentals and fees revenues of $16.7 million, partially offset by a decrease in merchandise sales of $1.2 million. Operating profit decreased approximately $0.9 million for the nine months ended September 30, 2024, primarily due to an increase in operating labor and other gains and charges of $3.2 million and $7.0 million, respectively, partially offset by an increase in gross profit of approximately $9.7 million.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below for further discussion of Rent-A-Center segment operating results for the nine months ended September 30, 2024.</w:t>
      </w:r>
    </w:p>
    <w:p>
      <w:pPr>
        <w:pStyle w:val="TextBody"/>
        <w:bidi w:val="0"/>
        <w:spacing w:lineRule="auto" w:line="288" w:before="120" w:after="283"/>
        <w:jc w:val="both"/>
        <w:rPr/>
      </w:pPr>
      <w:r>
        <w:rPr>
          <w:rFonts w:ascii="Times New Roman;sans-serif" w:hAnsi="Times New Roman;sans-serif"/>
          <w:b w:val="false"/>
          <w:color w:val="000000"/>
          <w:sz w:val="20"/>
        </w:rPr>
        <w:t xml:space="preserve">The Mexico segment revenues increased by 8.9% for the nine months ended September 30, 2024, contributing to an increase in gross profit of 10.2%, or $4.0 million, primarily due to a 7.6% increase in same store sales driven by an increase in rentals and fees revenues of $4.6 million. Operating profit increased $0.7 million for the nine months ended September 30, 2024, primarily due to the increase in gross profit described above, partially offset by increases in general and administrative expenses and operating labor costs of approximately $2.1 million and $1.3 million, respectively.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below for further discussion of Mexico segment operating results for the nine months ended September 30, 2024.</w:t>
      </w:r>
    </w:p>
    <w:p>
      <w:pPr>
        <w:pStyle w:val="TextBody"/>
        <w:bidi w:val="0"/>
        <w:spacing w:lineRule="auto" w:line="288" w:before="120" w:after="283"/>
        <w:jc w:val="both"/>
        <w:rPr/>
      </w:pPr>
      <w:r>
        <w:rPr>
          <w:rFonts w:ascii="Times New Roman;sans-serif" w:hAnsi="Times New Roman;sans-serif"/>
          <w:b w:val="false"/>
          <w:color w:val="000000"/>
          <w:sz w:val="20"/>
        </w:rPr>
        <w:t xml:space="preserve">Revenues for the Franchising segment decreased $9.4 million for the nine months ended September 30, 2024, primarily due to a decrease in merchandise sales of $9.6 million. See </w:t>
      </w:r>
      <w:r>
        <w:rPr>
          <w:color w:val="000000"/>
        </w:rPr>
        <w:t>“</w:t>
      </w:r>
      <w:r>
        <w:rPr>
          <w:rFonts w:ascii="Times New Roman;sans-serif" w:hAnsi="Times New Roman;sans-serif"/>
          <w:b w:val="false"/>
          <w:color w:val="000000"/>
          <w:sz w:val="20"/>
        </w:rPr>
        <w:t>Segment Performance</w:t>
      </w:r>
      <w:r>
        <w:rPr>
          <w:color w:val="000000"/>
        </w:rPr>
        <w:t xml:space="preserve">” </w:t>
      </w:r>
      <w:r>
        <w:rPr>
          <w:rFonts w:ascii="Times New Roman;sans-serif" w:hAnsi="Times New Roman;sans-serif"/>
          <w:b w:val="false"/>
          <w:color w:val="000000"/>
          <w:sz w:val="20"/>
        </w:rPr>
        <w:t>below for further discussion of Franchising segment operating results for the nine months ended September 30,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operations was $166.7 million for the nine months ended September 30, 2024. As of September 30, 2024, we held $85.1 million of cash and cash equivalents and had outstanding indebtedness of $1.3 billion.</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reference for the discussion that follows.</w:t>
      </w:r>
    </w:p>
    <w:tbl>
      <w:tblPr>
        <w:tblW w:w="11495" w:type="dxa"/>
        <w:jc w:val="left"/>
        <w:tblInd w:w="0" w:type="dxa"/>
        <w:tblLayout w:type="fixed"/>
        <w:tblCellMar>
          <w:top w:w="28" w:type="dxa"/>
          <w:left w:w="28" w:type="dxa"/>
          <w:bottom w:w="28" w:type="dxa"/>
          <w:right w:w="28" w:type="dxa"/>
        </w:tblCellMar>
      </w:tblPr>
      <w:tblGrid>
        <w:gridCol w:w="584"/>
        <w:gridCol w:w="263"/>
        <w:gridCol w:w="26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77"/>
        <w:gridCol w:w="279"/>
        <w:gridCol w:w="256"/>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77"/>
        <w:gridCol w:w="279"/>
        <w:gridCol w:w="301"/>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Rentals and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merchandise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rentals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installment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cost of merchandise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labor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Non-labor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gains and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refinancing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percent change is not meaningful for comparison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September 30, 2024, compared to Three Months Ended September 30, 2023 </w:t>
      </w:r>
    </w:p>
    <w:p>
      <w:pPr>
        <w:pStyle w:val="TextBody"/>
        <w:bidi w:val="0"/>
        <w:spacing w:lineRule="auto" w:line="288" w:before="120" w:after="283"/>
        <w:jc w:val="both"/>
        <w:rPr/>
      </w:pPr>
      <w:r>
        <w:rPr>
          <w:rFonts w:ascii="Times New Roman;sans-serif" w:hAnsi="Times New Roman;sans-serif"/>
          <w:b w:val="false"/>
          <w:i/>
          <w:color w:val="000000"/>
          <w:sz w:val="20"/>
        </w:rPr>
        <w:t>Revenue.</w:t>
      </w:r>
      <w:r>
        <w:rPr>
          <w:color w:val="000000"/>
        </w:rPr>
        <w:t> </w:t>
      </w:r>
      <w:r>
        <w:rPr>
          <w:rFonts w:ascii="Times New Roman;sans-serif" w:hAnsi="Times New Roman;sans-serif"/>
          <w:b w:val="false"/>
          <w:color w:val="000000"/>
          <w:sz w:val="20"/>
        </w:rPr>
        <w:t xml:space="preserve">Total revenues increased by $89.8 million, or 9.2%, to $1,068.9 million for the three months ended September 30, 2024, from $979.1 million for the three months ended September 30, 2023. This increase was primarily due to an increase of approximately $91.0 million in the Acima segment, as discussed further in the section “Segment Performance” below. </w:t>
      </w:r>
    </w:p>
    <w:p>
      <w:pPr>
        <w:pStyle w:val="TextBody"/>
        <w:bidi w:val="0"/>
        <w:spacing w:lineRule="auto" w:line="288" w:before="120" w:after="283"/>
        <w:jc w:val="both"/>
        <w:rPr/>
      </w:pPr>
      <w:r>
        <w:rPr>
          <w:rFonts w:ascii="Times New Roman;sans-serif" w:hAnsi="Times New Roman;sans-serif"/>
          <w:b w:val="false"/>
          <w:i/>
          <w:color w:val="000000"/>
          <w:sz w:val="20"/>
        </w:rPr>
        <w:t>Cost of Rentals and Fees.</w:t>
      </w:r>
      <w:r>
        <w:rPr>
          <w:color w:val="000000"/>
        </w:rPr>
        <w:t> </w:t>
      </w:r>
      <w:r>
        <w:rPr>
          <w:rFonts w:ascii="Times New Roman;sans-serif" w:hAnsi="Times New Roman;sans-serif"/>
          <w:b w:val="false"/>
          <w:color w:val="000000"/>
          <w:sz w:val="20"/>
        </w:rPr>
        <w:t>Cost of rentals and fees consists primarily of depreciation of rental merchandise. Cost of rentals and fees for the three months ended September 30, 2024 increased by $45.6 million, or 15.4%, to $342.4 million as compared to $296.8 million for the three months ended September 30, 2023. The increase was primarily attributable to an increase of approximately $43.4 million and $2.4 million in the Acima and Rent-A-Center segments, respectively, driven by an increase in rentals and fees revenues. Cost of rentals and fees expressed as a percentage of rentals and fees revenue was 39.0% for the three months ended September 30, 2024, as compared to 36.8% for the three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Cost of Merchandise Sold.</w:t>
      </w:r>
      <w:r>
        <w:rPr>
          <w:color w:val="000000"/>
        </w:rPr>
        <w:t> </w:t>
      </w:r>
      <w:r>
        <w:rPr>
          <w:rFonts w:ascii="Times New Roman;sans-serif" w:hAnsi="Times New Roman;sans-serif"/>
          <w:b w:val="false"/>
          <w:color w:val="000000"/>
          <w:sz w:val="20"/>
        </w:rPr>
        <w:t xml:space="preserve">Cost of merchandise sold represents the net book value of rental merchandise at time of sale. Cost of merchandise sold increased by $36.0 million, or 23.0%, to $191.9 million for the three months ended September 30, 2024, from $155.9 million for the three months ended September 30, 2023, primarily attributable to an increase of $33.1 million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Acima segment, driven primarily by higher merchandise sales. The gross margin percent of merchandise sales decreased to (27.3)% for the three months ended September 30, 2024, from (22.2)% for the three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increased by $13.9 million, or 2.8%, to $511.1 million for the three months ended September 30, 2024, from $497.2 million for the three months ended September 30, 2023, primarily due to an increase of $14.5 million in the Acima segment, as discussed further in the section “Segment Performance” below. Gross profit as a percentage of total revenue decreased to 47.8% for the three months ended September 30, 2024, as compared to 50.8% for the three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Operating Labor.</w:t>
      </w:r>
      <w:r>
        <w:rPr>
          <w:color w:val="000000"/>
        </w:rPr>
        <w:t xml:space="preserve"> </w:t>
      </w:r>
      <w:r>
        <w:rPr>
          <w:rFonts w:ascii="Times New Roman;sans-serif" w:hAnsi="Times New Roman;sans-serif"/>
          <w:b w:val="false"/>
          <w:color w:val="000000"/>
          <w:sz w:val="20"/>
        </w:rPr>
        <w:t>Operating labor includes all salaries and wages paid to operational employees and district managers, together with payroll taxes and benefits. Operating labor increased by $0.5 million, or 0.4%, to $152.6 million for the three months ended September 30, 2024, as compared to $152.1 million for the three months ended September 30, 2023, primarily due to an increase of $0.7 million in the Acima segment. Operating labor expressed as a percentage of total revenue excluding franchise merchandise sales and royalty income and fees was 14.6% for the three months ended September 30, 2024, as compared to 16.0% for the three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Non-Labor Operating Expenses.</w:t>
      </w:r>
      <w:r>
        <w:rPr>
          <w:color w:val="000000"/>
        </w:rPr>
        <w:t> </w:t>
      </w:r>
      <w:r>
        <w:rPr>
          <w:rFonts w:ascii="Times New Roman;sans-serif" w:hAnsi="Times New Roman;sans-serif"/>
          <w:b w:val="false"/>
          <w:color w:val="000000"/>
          <w:sz w:val="20"/>
        </w:rPr>
        <w:t>Non-labor operating expenses include LCOs, occupancy, delivery, advertising, selling, insurance, travel and other operating expenses. Non-labor operating expenses increased by $4.5 million, or 2.4%, to $196.0 million for the three months ended September 30, 2024, as compared to $191.5 million for the three months ended September 30, 2023, due to an increase of $11.1 million in the Acima segment, primarily attributable to an increase of $9.4 million in LCOs and other merchandise losses, partially offset by a decrease of $5.9 million in the Rent-A-Center segment, primarily attributable to the net gain on refranchise sale of approximately $3.1 million. Non-labor operating expenses expressed as a percentage of total revenue excluding franchise merchandise sales and royalty income and fees was 18.8% for the three months ended September 30, 2024, compared to 20.2% for the three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General and Administrative Expenses.</w:t>
      </w:r>
      <w:r>
        <w:rPr>
          <w:color w:val="000000"/>
        </w:rPr>
        <w:t> </w:t>
      </w:r>
      <w:r>
        <w:rPr>
          <w:rFonts w:ascii="Times New Roman;sans-serif" w:hAnsi="Times New Roman;sans-serif"/>
          <w:b w:val="false"/>
          <w:color w:val="000000"/>
          <w:sz w:val="20"/>
        </w:rPr>
        <w:t>General and administrative expenses include all corporate overhead expenses related to our headquarters such as salaries, payroll taxes and benefits, stock-based compensation, occupancy, administrative and other expenses, as well as salaries and labor costs for our regional directors, divisional vice presidents and executive vice presidents. General and administrative expenses decreased by $2.4 million, or 4.5%, to $51.5 million for the three months ended September 30, 2024, as compared to $53.9 million for the three months ended September 30, 2023, primarily due to decreases in overhead labor costs. General and administrative expenses expressed as a percentage of total revenue was 4.8% for the three months ended September 30, 2024, compared to 5.5% for the three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 xml:space="preserve">Other Gains and Charges. </w:t>
      </w:r>
      <w:r>
        <w:rPr>
          <w:rFonts w:ascii="Times New Roman;sans-serif" w:hAnsi="Times New Roman;sans-serif"/>
          <w:b w:val="false"/>
          <w:color w:val="000000"/>
          <w:sz w:val="20"/>
        </w:rPr>
        <w:t>Other gains and charges decreased by $1.0 million, or 3.1%, to $28.1 million for the three months ended September 30, 2024, as compared to $29.1 million for the three months ended September 30, 2023. The decrease in other gains and charges was driven primarily by a decrease of $9.4 million in stock compensation expense related to the vesting of a portion of the equity consideration issued in connection with the acquisition of Acima Holdings for the three months ended September 30, 2024, as compared to the prior year period. The decrease in other gains and charges was also due to a decrease of $3.3 million in depreciation and amortization of acquired software and intangible assets, decrease of $4.6 million in accelerated software depreciation partially offset by an $11.1 million increase in legal settlement reserve and legal expenses, $1.7 million in accelerated stock compensation expense related to our letter agreement with the Company’s Chief Executive Officer for the three months ended September 30, 2024 and $3.1 million in interest income earned on tax refunds related to prior year returns received in the third quarter of 2023.</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increased by $12.0 million, or 20.7%, to $70.1 million for the three months ended September 30, 2024, as compared to $58.1 million for the three months ended September 30, 2023, primarily due to an increase in gross profit and a decrease in general and administrative expenses, partially offset by an increase in non-labor operating expenses, as described above. Operating profit expressed as a percentage of total revenue was 6.6% for the three months ended September 30, 2024, compared to 5.9% for the three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Income Tax Expense. </w:t>
      </w:r>
      <w:r>
        <w:rPr>
          <w:rFonts w:ascii="Times New Roman;sans-serif" w:hAnsi="Times New Roman;sans-serif"/>
          <w:b w:val="false"/>
          <w:color w:val="000000"/>
          <w:sz w:val="20"/>
        </w:rPr>
        <w:t xml:space="preserve">Income tax expense decreased by $13.8 million to $13.3 million for the three months ended September 30, 2024, as compared to $27.1 million for the three months ended September 30, 2023, primarily due to a lower effective tax rate for the three months ended September 30, 2024, attributable to a lower tax impact on stock compensation expense related to stock consideration issued to the former owners of Acima Holdings, compared to the prior year period, as well as a favorable adjustment related to foreign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pPr>
      <w:r>
        <w:rPr>
          <w:rFonts w:ascii="Times New Roman;sans-serif" w:hAnsi="Times New Roman;sans-serif"/>
          <w:b/>
          <w:i/>
          <w:color w:val="000000"/>
          <w:sz w:val="20"/>
        </w:rPr>
        <w:t>Nine Months Ended September 30, 2024, compared to Nine Months Ended September 30, 2023</w:t>
      </w:r>
      <w:r>
        <w:rPr>
          <w:color w:val="000000"/>
        </w:rPr>
        <w:t xml:space="preserve"> </w:t>
      </w:r>
    </w:p>
    <w:p>
      <w:pPr>
        <w:pStyle w:val="TextBody"/>
        <w:bidi w:val="0"/>
        <w:spacing w:lineRule="auto" w:line="288" w:before="120" w:after="283"/>
        <w:jc w:val="both"/>
        <w:rPr/>
      </w:pPr>
      <w:r>
        <w:rPr>
          <w:rFonts w:ascii="Times New Roman;sans-serif" w:hAnsi="Times New Roman;sans-serif"/>
          <w:b w:val="false"/>
          <w:i/>
          <w:color w:val="000000"/>
          <w:sz w:val="20"/>
        </w:rPr>
        <w:t>Revenue.</w:t>
      </w:r>
      <w:r>
        <w:rPr>
          <w:color w:val="000000"/>
        </w:rPr>
        <w:t> </w:t>
      </w:r>
      <w:r>
        <w:rPr>
          <w:rFonts w:ascii="Times New Roman;sans-serif" w:hAnsi="Times New Roman;sans-serif"/>
          <w:b w:val="false"/>
          <w:color w:val="000000"/>
          <w:sz w:val="20"/>
        </w:rPr>
        <w:t xml:space="preserve">Total revenue increased by $267.0 million, or 9.0%, to $3,241.3 million for the nine months ended September 30, 2024, from $2,974.3 million for the nine months ended September 30, 2023. The increase was primarily due to increases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$256.9 million and $14.6 million in the Acima and Rent-A-Center segments, respectively, as discussed further in the section “Segment Performance” below.</w:t>
      </w:r>
    </w:p>
    <w:p>
      <w:pPr>
        <w:pStyle w:val="TextBody"/>
        <w:bidi w:val="0"/>
        <w:spacing w:lineRule="auto" w:line="288" w:before="120" w:after="283"/>
        <w:jc w:val="both"/>
        <w:rPr/>
      </w:pPr>
      <w:r>
        <w:rPr>
          <w:rFonts w:ascii="Times New Roman;sans-serif" w:hAnsi="Times New Roman;sans-serif"/>
          <w:b w:val="false"/>
          <w:i/>
          <w:color w:val="000000"/>
          <w:sz w:val="20"/>
        </w:rPr>
        <w:t>Cost of Rentals and Fees.</w:t>
      </w:r>
      <w:r>
        <w:rPr>
          <w:color w:val="000000"/>
        </w:rPr>
        <w:t> </w:t>
      </w:r>
      <w:r>
        <w:rPr>
          <w:rFonts w:ascii="Times New Roman;sans-serif" w:hAnsi="Times New Roman;sans-serif"/>
          <w:b w:val="false"/>
          <w:color w:val="000000"/>
          <w:sz w:val="20"/>
        </w:rPr>
        <w:t>Cost of rentals and fees for the nine months ended September 30, 2024 increased by $122.4 million, or 13.8%, to $1,008.1 million, as compared to $885.7 million for the nine months ended September 30, 2023. The increase was primarily attributable to increases of approximately $119.5 million and $2.1 million in the Acima and Rent-A-Center segments, respectively, driven by an increase in rentals and fees revenues. Cost of rentals and fees expressed as a percentage of rentals and fees revenue increased to 38.2% for the nine months ended September 30, 2024, as compared to 36.6% for the nine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Cost of Merchandise Sold. </w:t>
      </w:r>
      <w:r>
        <w:rPr>
          <w:rFonts w:ascii="Times New Roman;sans-serif" w:hAnsi="Times New Roman;sans-serif"/>
          <w:b w:val="false"/>
          <w:color w:val="000000"/>
          <w:sz w:val="20"/>
        </w:rPr>
        <w:t xml:space="preserve">Cost of merchandise sold increased by $91.9 million, or 18.7%, to $584.8 million for the nine months ended September 30, 2024, from $492.9 million for the nine months ended September 30, 2023, primarily attributable to an increase of $88.8 million in the Acima segment, driven primarily by higher merchandise sales. The gross margin percent of merchandise sales decreased to (22.7)% for the nine months ended September 30, 2024, from (18.7)% for the nine months ended September 30, 2023. </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increased by $62.5 million, or 4.1%, to $1,572.1 million for the nine months ended September 30, 2024, from $1,509.7 million for the nine months ended September 30, 2023, due primarily to increases of $48.6 million, $9.7 million and $4.0 million in the Acima, Rent-A-Center and Mexico segments, respectively, as discussed further in the section “Segment Performance” below. Gross profit as a percentage of total revenue decreased to 48.5% for the nine months ended September 30, 2024, as compared to 50.8% for the nine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 xml:space="preserve">Operating Labor. </w:t>
      </w:r>
      <w:r>
        <w:rPr>
          <w:rFonts w:ascii="Times New Roman;sans-serif" w:hAnsi="Times New Roman;sans-serif"/>
          <w:b w:val="false"/>
          <w:color w:val="000000"/>
          <w:sz w:val="20"/>
        </w:rPr>
        <w:t>Operating labor increased by $6.5 million, or 1.4%, to $467.0 million for the nine months ended September 30, 2024, as compared to $460.5 million for the nine months ended September 30, 2023, primarily due to increases of $3.2 million and $2.0 million in the Rent-A-Center and Acima segments, respectively. Operating labor expressed as a percentage of total revenue excluding franchise merchandise sales and royalty income and fees was 14.8% for the nine months ended September 30, 2024, as compared to 16.0% for the nine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Non-Labor Operating Expenses.</w:t>
      </w:r>
      <w:r>
        <w:rPr>
          <w:color w:val="000000"/>
        </w:rPr>
        <w:t> </w:t>
      </w:r>
      <w:r>
        <w:rPr>
          <w:rFonts w:ascii="Times New Roman;sans-serif" w:hAnsi="Times New Roman;sans-serif"/>
          <w:b w:val="false"/>
          <w:color w:val="000000"/>
          <w:sz w:val="20"/>
        </w:rPr>
        <w:t>Non-labor operating expenses increased by $44.5 million, or 7.8%, to $613.8 million for the nine months ended September 30, 2024, as compared to $569.3 million for the nine months ended September 30, 2023, primarily due to an increase of $43.8 million in the Acima segment, including an increase of $33.4 million in LCOs and other merchandise losses. Non-labor operating expenses expressed as a percentage of total revenue excluding franchise merchandise sales and royalty income and fees was 19.4% for the nine months ended September 30, 2024, as compared to 19.7% for the nine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General and Administrative Expenses. </w:t>
      </w:r>
      <w:r>
        <w:rPr>
          <w:rFonts w:ascii="Times New Roman;sans-serif" w:hAnsi="Times New Roman;sans-serif"/>
          <w:b w:val="false"/>
          <w:color w:val="000000"/>
          <w:sz w:val="20"/>
        </w:rPr>
        <w:t>General and administrative expenses increased by $9.8 million, or 6.5%, to $160.2 million for the nine months ended September 30, 2024, as compared to $150.4 million for the nine months ended September 30, 2023, primarily due to increases in overhead labor. General and administrative expenses expressed as a percentage of total revenue were 4.9% for the nine months ended September 30, 2024, compared to 5.1% for the nine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 xml:space="preserve">Other Gains and Charges. </w:t>
      </w:r>
      <w:r>
        <w:rPr>
          <w:rFonts w:ascii="Times New Roman;sans-serif" w:hAnsi="Times New Roman;sans-serif"/>
          <w:b w:val="false"/>
          <w:color w:val="000000"/>
          <w:sz w:val="20"/>
        </w:rPr>
        <w:t>Other gains and charges decreased by $104.5 million to $79.9 million for the nine months ended September 30, 2024, as compared to $184.4 million for the nine months ended September 30, 2023. The decrease in other gains and charges was driven primarily by a decrease of $123.2 million in stock compensation expense recognized for the nine months ended September 30, 2024, related to restricted stock issued in connection with the Acima Holdings acquisition. The decrease in other gains and charges was also due to a decrease of $8.3 million in depreciation and amortization of acquired software and intangible assets, partially offset by increases of $11.7 million in legal settlement reserve and legal expenses, $6.0 million in lease impairment charges and fixed asset disposal, $3.4 million in accelerated stock compensation expense related to our letter agreement with the Company’s Chief Executive Officer, $1.5 million in accelerated software depreciation for the nine months ended September 30, 2024, and $3.1 million in interest income earned on tax refunds related to prior year returns received in the third quarter of 2023.</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 xml:space="preserve">Operating profit increased by $105.5 million to $212.5 million for the nine months ended September 30, 2024, as compared to $107.0 million for the nine months ended September 30, 2023, primarily due to the decrease in other gains and charges and increase in gross profit, partially offset by an increase in non-labor operating expenses, as described above. Operating profit expressed as a percentage of total revenue was 6.6% for the nine months ended September 30, 2024, compared to 3.6% for the nine months ended September 30, 2023. </w:t>
      </w:r>
    </w:p>
    <w:p>
      <w:pPr>
        <w:pStyle w:val="TextBody"/>
        <w:bidi w:val="0"/>
        <w:spacing w:lineRule="auto" w:line="288" w:before="120" w:after="283"/>
        <w:jc w:val="both"/>
        <w:rPr/>
      </w:pPr>
      <w:r>
        <w:rPr>
          <w:rFonts w:ascii="Times New Roman;sans-serif" w:hAnsi="Times New Roman;sans-serif"/>
          <w:b w:val="false"/>
          <w:i/>
          <w:color w:val="000000"/>
          <w:sz w:val="20"/>
        </w:rPr>
        <w:t>Income Tax Expense. </w:t>
      </w:r>
      <w:r>
        <w:rPr>
          <w:rFonts w:ascii="Times New Roman;sans-serif" w:hAnsi="Times New Roman;sans-serif"/>
          <w:b w:val="false"/>
          <w:color w:val="000000"/>
          <w:sz w:val="20"/>
        </w:rPr>
        <w:t xml:space="preserve">Income tax expense increased by $11.3 million to $30.7 million for the nine months ended September 30, 2024, as compared to $19.4 million for the nine months ended September 30, 2023, primarily due to the increase in earnings before income taxes for the nine months ended September 30, 2024 compared to the nine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a lower effective tax rate for the nine months ended September 30, 2024, driven by a lower tax impact on stock compensation expense related to stock consideration issued to the former owners of Acima Holdings, compared to the prior year period, as well as a favorable adjustment related to foreign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Segment Performance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Acima segment</w:t>
      </w:r>
    </w:p>
    <w:tbl>
      <w:tblPr>
        <w:tblW w:w="11319" w:type="dxa"/>
        <w:jc w:val="left"/>
        <w:tblInd w:w="0" w:type="dxa"/>
        <w:tblLayout w:type="fixed"/>
        <w:tblCellMar>
          <w:top w:w="28" w:type="dxa"/>
          <w:left w:w="28" w:type="dxa"/>
          <w:bottom w:w="28" w:type="dxa"/>
          <w:right w:w="28" w:type="dxa"/>
        </w:tblCellMar>
      </w:tblPr>
      <w:tblGrid>
        <w:gridCol w:w="479"/>
        <w:gridCol w:w="263"/>
        <w:gridCol w:w="264"/>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256"/>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5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Gross merchandise volume</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The increase in revenues for the three and nine months ended September 30, 2024, as compared to the three and nine months ended September 30, 2023, were primarily due to increases in rentals and fees revenues of $67.3 million and $193.9 million, respectively, and increases in merchandise sales revenue of $23.4 million and $62.6 million, respectively, resulting from higher GMV. Growth in GMV was primarily due to an increase in third-party retailer locations and productivity, which resulted in more leases per retailer, in addition to expanded direct-to-consumer offerings.</w:t>
      </w:r>
    </w:p>
    <w:p>
      <w:pPr>
        <w:pStyle w:val="TextBody"/>
        <w:bidi w:val="0"/>
        <w:spacing w:lineRule="auto" w:line="288" w:before="120" w:after="283"/>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Gross profit increased for the three and nine months ended September 30, 2024, as compared to the three and nine months ended September 30, 2023, driven primarily by the increase in revenues described above. Gross profit as a percentage of segment revenues decreased to 30.7% and 31.1% for the three and nine months ended September 30, 2024, compared to 33.5% and 33.3% for the three and nine months ended September 30, 2023, primarily due to an increase in merchandise sales as a percent of total revenue, and the conversion of Acceptance Now locations to the Acima platform.</w:t>
      </w:r>
    </w:p>
    <w:p>
      <w:pPr>
        <w:pStyle w:val="TextBody"/>
        <w:bidi w:val="0"/>
        <w:spacing w:lineRule="auto" w:line="288" w:before="120" w:after="283"/>
        <w:jc w:val="both"/>
        <w:rPr/>
      </w:pPr>
      <w:r>
        <w:rPr>
          <w:rFonts w:ascii="Times New Roman;sans-serif" w:hAnsi="Times New Roman;sans-serif"/>
          <w:b w:val="false"/>
          <w:i/>
          <w:color w:val="000000"/>
          <w:sz w:val="20"/>
        </w:rPr>
        <w:t xml:space="preserve">Operating Profit. </w:t>
      </w:r>
      <w:r>
        <w:rPr>
          <w:rFonts w:ascii="Times New Roman;sans-serif" w:hAnsi="Times New Roman;sans-serif"/>
          <w:b w:val="false"/>
          <w:color w:val="000000"/>
          <w:sz w:val="20"/>
        </w:rPr>
        <w:t>Operating profit as a percentage of segment revenues decreased to 11.3% and 11.1% for the three and nine months ended September 30, 2024 compared to 12.2% and 12.3% for the three and nine months ended September 30, 2023. The decrease in operating profit margin was primarily due to increases in non-labor operating expense of approximately $11.1 million and $43.8 million for the three and nine months ended September 30, 2024, respectively, and decreases in gross profit margin described above. The increases in non-labor are primarily attributable to increases of $9.4 million and $33.4 million in LCOs and other merchandise losses for the three and nine months ended September 30, 2024, respectively. Merchandise losses in our Acima locations due to LCOs, expressed as a percentage of revenues, were approximately 9.2% and 9.5% for the three and nine months ended September 30, 2024, respectively, compared to 9.4% and 9.1% for the three and nine months ended September 30, 2023, respectively. Merchandise losses in our Acima locations due to other merchandise losses, expressed as a percentage of revenues, were 0.3% and 0.2% for the three and nine months ended September 30, 2024, respectively, and were negligible for the three and nine months ended September 30, 2023. Other merchandise losses include unrepairable and missing merchandise and loss/damage waiver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Rent-A-Center segment</w:t>
      </w:r>
    </w:p>
    <w:tbl>
      <w:tblPr>
        <w:tblW w:w="11184" w:type="dxa"/>
        <w:jc w:val="left"/>
        <w:tblInd w:w="0" w:type="dxa"/>
        <w:tblLayout w:type="fixed"/>
        <w:tblCellMar>
          <w:top w:w="28" w:type="dxa"/>
          <w:left w:w="28" w:type="dxa"/>
          <w:bottom w:w="28" w:type="dxa"/>
          <w:right w:w="28" w:type="dxa"/>
        </w:tblCellMar>
      </w:tblPr>
      <w:tblGrid>
        <w:gridCol w:w="344"/>
        <w:gridCol w:w="263"/>
        <w:gridCol w:w="264"/>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77"/>
        <w:gridCol w:w="279"/>
        <w:gridCol w:w="256"/>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277"/>
        <w:gridCol w:w="279"/>
        <w:gridCol w:w="256"/>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Lease portfolio value</w:t>
            </w:r>
            <w:r>
              <w:rPr>
                <w:rFonts w:ascii="Times New Roman;sans-serif" w:hAnsi="Times New Roman;sans-serif"/>
                <w:b w:val="false"/>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Same store lease portfolio value</w:t>
            </w:r>
            <w:r>
              <w:rPr>
                <w:rFonts w:ascii="Times New Roman;sans-serif" w:hAnsi="Times New Roman;sans-serif"/>
                <w:b w:val="false"/>
                <w:color w:val="000000"/>
                <w:sz w:val="12"/>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same store revenue</w:t>
            </w:r>
            <w:r>
              <w:rPr>
                <w:rFonts w:ascii="Times New Roman;sans-serif" w:hAnsi="Times New Roman;sans-serif"/>
                <w:b w:val="false"/>
                <w:color w:val="000000"/>
                <w:sz w:val="12"/>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revenue calculation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bidi w:val="0"/>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The increase in revenues for the three and nine months ended September 30, 2024, as compared to three and nine months ended September 30, 2023, were primarily due to increases in same store sales of 2.6% and 1.9%, respectively, driven by increases in rentals and fees revenues of $4.3 million and $16.7 million, respectively.</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increased for the nine months ended September 30, 2024, as compared to nine months ended September 30, 2023, driven primarily by the increase in revenues described above. Gross profit as a percentage of segment revenues was 69.0% and 69.4% for the three and nine months ended September 30, 2024, respectively, as compared to 69.9% and 69.4% for the three and nine months ended September 30, 2023, respectively.</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as a percentage of segment revenues was 15.0% and 14.8% for the three and nine months ended September 30, 2024, respectively, compared to 14.1% and 15.1% for the three and nine months ended September 30, 2023, respectively. The increase in operating profit margin for the three months ended September 30, 2024, as compared to the three months ended September 30, 2023, was primarily due to a decrease in non-labor operating expenses of $5.9 million, which includes the net gain on refranchise sale of approximately $3.1 million. The decrease in operating profit margin for the nine months ended September 30, 2024, as compared to the nine months ended September 30, 2023, was primarily due to increases in operating labor and other gains and charges of $3.2 million and $7.0 million, respectively, partially offset by the increase in gross profit described above. Merchandise losses in our Rent-A-Center lease-to-own stores due to LCOs, expressed as a percentage of Rent-A-Center lease-to-own revenues, were approximately 4.9% and 4.6% for the three and nine months ended September 30, 2024, respectively, compared to 4.3% and 4.5% for the three and nine months ended September 30, 2023, respectively. Merchandise losses in our Rent-A-Center lease-to-own stores due to other merchandise losses, expressed as a percentage of Rent-A-Center lease-to-own revenues, were approximately 1.3% for both the three and nine months ended September 30, 2024, compared to approximately 1.5% and 1.4% for the three and nine months ended September 30, 2023, respectively. Other merchandise losses include unrepairable and missing merchandise and loss/damage waiver claims.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Mexico segment</w:t>
      </w:r>
    </w:p>
    <w:tbl>
      <w:tblPr>
        <w:tblW w:w="10205" w:type="dxa"/>
        <w:jc w:val="left"/>
        <w:tblInd w:w="0" w:type="dxa"/>
        <w:tblLayout w:type="fixed"/>
        <w:tblCellMar>
          <w:top w:w="28" w:type="dxa"/>
          <w:left w:w="28" w:type="dxa"/>
          <w:bottom w:w="28" w:type="dxa"/>
          <w:right w:w="28" w:type="dxa"/>
        </w:tblCellMar>
      </w:tblPr>
      <w:tblGrid>
        <w:gridCol w:w="388"/>
        <w:gridCol w:w="304"/>
        <w:gridCol w:w="305"/>
        <w:gridCol w:w="196"/>
        <w:gridCol w:w="646"/>
        <w:gridCol w:w="109"/>
        <w:gridCol w:w="109"/>
        <w:gridCol w:w="109"/>
        <w:gridCol w:w="109"/>
        <w:gridCol w:w="196"/>
        <w:gridCol w:w="646"/>
        <w:gridCol w:w="109"/>
        <w:gridCol w:w="109"/>
        <w:gridCol w:w="109"/>
        <w:gridCol w:w="109"/>
        <w:gridCol w:w="196"/>
        <w:gridCol w:w="439"/>
        <w:gridCol w:w="109"/>
        <w:gridCol w:w="109"/>
        <w:gridCol w:w="109"/>
        <w:gridCol w:w="109"/>
        <w:gridCol w:w="240"/>
        <w:gridCol w:w="243"/>
        <w:gridCol w:w="256"/>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305"/>
      </w:tblGrid>
      <w:tr>
        <w:trPr/>
        <w:tc>
          <w:tcPr>
            <w:tcW w:w="3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same store revenue</w:t>
            </w:r>
            <w:r>
              <w:rPr>
                <w:rFonts w:ascii="Times New Roman;sans-serif" w:hAnsi="Times New Roman;sans-serif"/>
                <w:b w:val="false"/>
                <w:color w:val="000000"/>
                <w:sz w:val="12"/>
              </w:rPr>
              <w:t>(1)</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revenue calculation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Revenues.</w:t>
      </w:r>
      <w:r>
        <w:rPr>
          <w:color w:val="000000"/>
        </w:rPr>
        <w:t> </w:t>
      </w:r>
      <w:r>
        <w:rPr>
          <w:rFonts w:ascii="Times New Roman;sans-serif" w:hAnsi="Times New Roman;sans-serif"/>
          <w:b w:val="false"/>
          <w:color w:val="000000"/>
          <w:sz w:val="20"/>
        </w:rPr>
        <w:t>Revenues were negatively impacted by exchange rate fluctuations of approximately $2.1 million for the three months ended September 30, 2024, as compared to the three months ended September 30, 2023. Revenues were positively impacted by exchange rate fluctuations of approximately $0.5 million for the nine months ended September 30, 2024, as compared to the nine months ended September 30, 2023. On a constant currency basis, revenues for the three and nine months ended September 30, 2024 increased approximately $1.5 million and $4.4 million, respectively, compared to the three and nine months ended September 30, 2023.</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was negatively impacted by exchange rate fluctuations of approximately $1.5 million for the three months ended September 30, 2024, as compared to the three months ended September 30, 2023. Gross profit was positively impacted by exchange rate fluctuations of approximately $0.3 million for the nine months ended September 30, 2024, as compared to the nine months ended September 30, 2023. On a constant currency basis, gross profit for the three and nine months ended September 30, 2024 increased by approximately $1.2 million and $3.7 million, respectively, as compared to the three and nine months ended September 30, 2023. Gross profit as a percentage of segment revenues was 72.1% and 71.8% for the three and nine months ended September 30, 2024, respectively, compared to 71.1% and 71.0% for the three and nine months ended September 30, 2023, respectively.</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was negatively impacted by exchange rate fluctuations of approximately $0.1 million for the three months ended September 30, 2024, as compared to the three months ended September 30, 2023. Operating profit was positively impacted by exchange rate fluctuations of approximately $0.1 million for the nine months ended September 30, 2024, as compared to the nine months ended September 30, 2023. On a constant currency basis, operating profit for the three months ended September 30, 2024 decreased by approximately $0.1 million, as compared to the three months ended September 30, 2023. On a constant currency basis, operating profit for the nine months ended September 30, 2024 increased by approximately $0.6 million, as compared to the three and nine months ended September 30, 2023. Operating profit as a percentage of segment revenues increased to 4.6% and 6.8% for the three and nine months ended September 30, 2024, respectively, compared to 5.7% and 6.2% for the three and nine months ended September 30, 2023, respectively, primarily due to lower LCOs.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Franchising segment</w:t>
      </w:r>
    </w:p>
    <w:tbl>
      <w:tblPr>
        <w:tblW w:w="10205" w:type="dxa"/>
        <w:jc w:val="left"/>
        <w:tblInd w:w="0" w:type="dxa"/>
        <w:tblLayout w:type="fixed"/>
        <w:tblCellMar>
          <w:top w:w="28" w:type="dxa"/>
          <w:left w:w="28" w:type="dxa"/>
          <w:bottom w:w="28" w:type="dxa"/>
          <w:right w:w="28" w:type="dxa"/>
        </w:tblCellMar>
      </w:tblPr>
      <w:tblGrid>
        <w:gridCol w:w="303"/>
        <w:gridCol w:w="267"/>
        <w:gridCol w:w="268"/>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40"/>
        <w:gridCol w:w="241"/>
        <w:gridCol w:w="256"/>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40"/>
        <w:gridCol w:w="241"/>
        <w:gridCol w:w="304"/>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Revenues decreased for the three and nine months ended September 30, 2024 compared to the three and nine months ended September 30, 2023, primarily due to decreases in merchandise purchases by franchisees of $5.9 million and $9.6 million, respectively.</w:t>
      </w:r>
    </w:p>
    <w:p>
      <w:pPr>
        <w:pStyle w:val="TextBody"/>
        <w:bidi w:val="0"/>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as a percentage of segment revenues increased to 26.7% and 25.7% for the three and nine months ended September 30, 2024, respectively, compared to 21.4% and 22.9% for the three and nine months ended September 30, 2023, respectively, primarily due to the changes in allocation of merchandise sales compared to royalty and fee revenue.</w:t>
      </w:r>
    </w:p>
    <w:p>
      <w:pPr>
        <w:pStyle w:val="TextBody"/>
        <w:bidi w:val="0"/>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as a percentage of segment revenues increased to 17.4% and 15.1% for the three and nine months ended September 30, 2024, respectively, compared to 11.6% and 14.7% for the three and nine months ended September 30, 2023, respectively. The increase in operating profit as a percentage of segment revenues for the three and nine months ended September 30, 2024 is primarily due to the changes in allocation of merchandise sales compared to royalty and fee revenue. The decrease for the nine months ended September 30, 2024 is also due to an increase in segment operating expenses of $1.2 million, compared to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pP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For the nine months ended September 30, 2024, we generated $166.7 million in operating cash flow, used cash in the amount of $291.6 million for debt repayments, $62.0 million for dividends and $44.2 million for capital expenditures, and had cash proceeds from indebtedness of $215.0 million and proceeds from sale of property assets of $18.3 million. We ended the third quarter of 2024 with $85.1 million of cash and cash equivalents and outstanding indebtedness of $1.3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Analysis of Cash Flow.</w:t>
      </w:r>
      <w:r>
        <w:rPr>
          <w:color w:val="000000"/>
        </w:rPr>
        <w:t xml:space="preserve"> </w:t>
      </w:r>
      <w:r>
        <w:rPr>
          <w:rFonts w:ascii="Times New Roman;sans-serif" w:hAnsi="Times New Roman;sans-serif"/>
          <w:b w:val="false"/>
          <w:color w:val="000000"/>
          <w:sz w:val="20"/>
        </w:rPr>
        <w:t>Cash provided by operating activities decreased by $53.2 million to $166.7 million for the nine months ended September 30, 2024, from $219.9 million for the nine months ended September 30, 2023, primarily due to an increase in our inventory purchases driven by increased consumer demand.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decreased to $27.3 million for the nine months ended September 30, 2024, compared to $36.2 million for the nine months ended September 30, 2023, primarily due to proceeds from sale of property assets of $18.3 million for the nine months ended September 30, 2024, partially offset by an increase in investment in store-related assets in our Rent-A-Center segment.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decreased to $145.9 million for the nine months ended September 30, 2024, compared to $223.8 million for the nine months ended September 30, 2023, primarily due to an increase in borrowings under the ABL Credit Facility of $215.0 million and a decrease in share repurchases of $24.0 million, partially offset by an increase in debt repayments of $157.3 million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Liquidity Requirements</w:t>
      </w:r>
      <w:r>
        <w:rPr>
          <w:rFonts w:ascii="Times New Roman;sans-serif" w:hAnsi="Times New Roman;sans-serif"/>
          <w:b w:val="false"/>
          <w:color w:val="000000"/>
          <w:sz w:val="20"/>
        </w:rPr>
        <w:t>. Our primary liquidity requirements are for rental merchandise purchases, which are impacted by consumer demand for our lease-to-own solutions. Other capital requirements include expenditures for technology and property assets, and debt service. Our primary source of liquidity has been cash provided by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October 24, 2024, we had approximately $53.1 million in cash on hand, and $474.4 million available under our ABL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Merchandise Losses</w:t>
      </w:r>
      <w:r>
        <w:rPr>
          <w:rFonts w:ascii="Times New Roman;sans-serif" w:hAnsi="Times New Roman;sans-serif"/>
          <w:b w:val="false"/>
          <w:color w:val="000000"/>
          <w:sz w:val="20"/>
        </w:rPr>
        <w:t>. Merchandise losses consist of the following:</w:t>
      </w:r>
    </w:p>
    <w:tbl>
      <w:tblPr>
        <w:tblW w:w="7997" w:type="dxa"/>
        <w:jc w:val="left"/>
        <w:tblInd w:w="0" w:type="dxa"/>
        <w:tblLayout w:type="fixed"/>
        <w:tblCellMar>
          <w:top w:w="28" w:type="dxa"/>
          <w:left w:w="28" w:type="dxa"/>
          <w:bottom w:w="28" w:type="dxa"/>
          <w:right w:w="28" w:type="dxa"/>
        </w:tblCellMar>
      </w:tblPr>
      <w:tblGrid>
        <w:gridCol w:w="842"/>
        <w:gridCol w:w="740"/>
        <w:gridCol w:w="743"/>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charge-offs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merchandise losses</w:t>
            </w:r>
            <w:r>
              <w:rPr>
                <w:rFonts w:ascii="Times New Roman;sans-serif" w:hAnsi="Times New Roman;sans-serif"/>
                <w:b w:val="false"/>
                <w:color w:val="000000"/>
                <w:sz w:val="13"/>
              </w:rPr>
              <w:t>(1)</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merchandise losses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Arial;sans-serif" w:hAnsi="Arial;sans-serif"/>
          <w:b w:val="false"/>
          <w:color w:val="000000"/>
          <w:sz w:val="9"/>
        </w:rPr>
        <w:t>(1)</w:t>
      </w:r>
      <w:r>
        <w:rPr>
          <w:rFonts w:ascii="Times New Roman;sans-serif" w:hAnsi="Times New Roman;sans-serif"/>
          <w:b w:val="false"/>
          <w:color w:val="000000"/>
          <w:sz w:val="14"/>
        </w:rPr>
        <w:t>Other merchandise losses include unrepairable and missing merchandise, and loss/damage waiver claims.</w:t>
      </w:r>
    </w:p>
    <w:p>
      <w:pPr>
        <w:pStyle w:val="TextBody"/>
        <w:bidi w:val="0"/>
        <w:spacing w:lineRule="auto" w:line="288" w:before="120" w:after="283"/>
        <w:jc w:val="both"/>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We make capital expenditures in order to maintain our existing operations, acquire new capital assets in new and acquired stores and invest in information technology. We spent $44.2 million and $36.2 million on capital expenditures during the nine months ended September 30, 2024 and 2023, respectively. The increase of $8.0 million is primarily due to higher investment in store-related assets in our Rent-A-Center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Acquisitions and New Location Openings.</w:t>
      </w:r>
      <w:r>
        <w:rPr>
          <w:color w:val="000000"/>
        </w:rPr>
        <w:t xml:space="preserve"> </w:t>
      </w:r>
      <w:r>
        <w:rPr>
          <w:rFonts w:ascii="Times New Roman;sans-serif" w:hAnsi="Times New Roman;sans-serif"/>
          <w:b w:val="false"/>
          <w:color w:val="000000"/>
          <w:sz w:val="20"/>
        </w:rPr>
        <w:t>The table below summarizes the store location activity for the nine-month period ended September 30, 2024 for our Rent-A-Center, Mexico and Franchising operating segments.</w:t>
      </w:r>
    </w:p>
    <w:tbl>
      <w:tblPr>
        <w:tblW w:w="8126" w:type="dxa"/>
        <w:jc w:val="left"/>
        <w:tblInd w:w="0" w:type="dxa"/>
        <w:tblLayout w:type="fixed"/>
        <w:tblCellMar>
          <w:top w:w="28" w:type="dxa"/>
          <w:left w:w="28" w:type="dxa"/>
          <w:bottom w:w="28" w:type="dxa"/>
          <w:right w:w="28" w:type="dxa"/>
        </w:tblCellMar>
      </w:tblPr>
      <w:tblGrid>
        <w:gridCol w:w="1260"/>
        <w:gridCol w:w="1108"/>
        <w:gridCol w:w="1112"/>
        <w:gridCol w:w="395"/>
        <w:gridCol w:w="395"/>
        <w:gridCol w:w="396"/>
        <w:gridCol w:w="109"/>
        <w:gridCol w:w="109"/>
        <w:gridCol w:w="109"/>
        <w:gridCol w:w="233"/>
        <w:gridCol w:w="233"/>
        <w:gridCol w:w="211"/>
        <w:gridCol w:w="109"/>
        <w:gridCol w:w="109"/>
        <w:gridCol w:w="109"/>
        <w:gridCol w:w="320"/>
        <w:gridCol w:w="320"/>
        <w:gridCol w:w="321"/>
        <w:gridCol w:w="109"/>
        <w:gridCol w:w="109"/>
        <w:gridCol w:w="109"/>
        <w:gridCol w:w="308"/>
        <w:gridCol w:w="308"/>
        <w:gridCol w:w="225"/>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Rent-A-Center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beginning of period</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location openings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 refranchising</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 locations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Merged with existing locations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Sold or closed with no surviving location</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end of period</w:t>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Senior Debt.</w:t>
      </w:r>
      <w:r>
        <w:rPr>
          <w:color w:val="000000"/>
        </w:rPr>
        <w:t xml:space="preserve"> </w:t>
      </w:r>
      <w:r>
        <w:rPr>
          <w:rFonts w:ascii="Times New Roman;sans-serif" w:hAnsi="Times New Roman;sans-serif"/>
          <w:b w:val="false"/>
          <w:color w:val="000000"/>
          <w:sz w:val="20"/>
        </w:rPr>
        <w:t xml:space="preserve">On February 17, 2021, we entered into a credit agreement with JPMorgan Chase Bank, N.A., as administrative agent, and lenders party 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June 7, 2024,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at a fluctuating rate determined by reference to an adjusted Term SOFR rate plus an applicable margin of 1.50% to 2.00%, which, as of October 24, 2024, was 6.95%.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June 7, 2029, at which time all amounts borrowed must be repaid.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also entered into a term loan credit agreement with JPMorgan Chase Bank, N.A., as administrative agent, and lenders party thereto, that provides for a seven-year $875 million senior secured term loan facility (as amended on May 28, 2024,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October 24, 2024 was 8.00%.</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October 24, 2024, we had outstanding borrowings of $804.5 million under the Term Loan Facility and available commitments of $474.4 million under our ABL Credit Facility, net of letters of credit.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6 of our condensed consolidated financial statements included in this Quarterly Report on Form 10-Q for additional information regarding our senior debt.</w:t>
      </w:r>
    </w:p>
    <w:p>
      <w:pPr>
        <w:pStyle w:val="TextBody"/>
        <w:bidi w:val="0"/>
        <w:spacing w:lineRule="auto" w:line="288" w:before="120" w:after="283"/>
        <w:jc w:val="both"/>
        <w:rPr/>
      </w:pPr>
      <w:r>
        <w:rPr>
          <w:rFonts w:ascii="Times New Roman;sans-serif" w:hAnsi="Times New Roman;sans-serif"/>
          <w:b w:val="false"/>
          <w:i/>
          <w:color w:val="000000"/>
          <w:sz w:val="20"/>
        </w:rPr>
        <w:t>Senior Notes</w:t>
      </w:r>
      <w:r>
        <w:rPr>
          <w:rFonts w:ascii="Times New Roman;sans-serif" w:hAnsi="Times New Roman;sans-serif"/>
          <w:b w:val="false"/>
          <w:color w:val="000000"/>
          <w:sz w:val="20"/>
        </w:rPr>
        <w:t>. On February 17, 2021, we issued $450 million in senior unsecured notes due February 15, 2029, at par value, bearing interest at 6.375% (the “Notes”).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Operating Leases</w:t>
      </w:r>
      <w:r>
        <w:rPr>
          <w:rFonts w:ascii="Times New Roman;sans-serif" w:hAnsi="Times New Roman;sans-serif"/>
          <w:b w:val="false"/>
          <w:color w:val="000000"/>
          <w:sz w:val="20"/>
        </w:rPr>
        <w:t>. We lease space for all of our Rent-A-Center and Mexico stores under operating leases expiring at various times through 2034.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September 30, 2024, our total remaining obligation for existing store lease contracts was approximately $321.1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September 30, 2024, our total remaining minimum obligation for existing Rent-A-Center vehicle lease contracts was approximately $4.2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lease vehicles for all of our Mexico stores which have terms expiring at various times through 2027 with rental rates adjusted periodically for inflation. As of September 30, 2024, our total remaining obligation for existing Mexico vehicle lease contracts was approximately $3.7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val="false"/>
          <w:i/>
          <w:color w:val="000000"/>
          <w:sz w:val="20"/>
        </w:rPr>
        <w:t>Uncertain Tax Position.</w:t>
      </w:r>
      <w:r>
        <w:rPr>
          <w:color w:val="000000"/>
        </w:rPr>
        <w:t xml:space="preserve"> </w:t>
      </w:r>
      <w:r>
        <w:rPr>
          <w:rFonts w:ascii="Times New Roman;sans-serif" w:hAnsi="Times New Roman;sans-serif"/>
          <w:b w:val="false"/>
          <w:color w:val="000000"/>
          <w:sz w:val="20"/>
        </w:rPr>
        <w:t>As of September 30, 2024, we have recorded $0.5 million in uncertain tax positions. Although these positions represent a potential future cash liability to us, the amounts and timing of such payments are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i/>
          <w:color w:val="000000"/>
          <w:sz w:val="20"/>
        </w:rPr>
        <w:t>Seasonality.</w:t>
      </w:r>
      <w:r>
        <w:rPr>
          <w:color w:val="000000"/>
        </w:rPr>
        <w:t xml:space="preserve"> </w:t>
      </w:r>
      <w:r>
        <w:rPr>
          <w:rFonts w:ascii="Times New Roman;sans-serif" w:hAnsi="Times New Roman;sans-serif"/>
          <w:b w:val="false"/>
          <w:color w:val="000000"/>
          <w:sz w:val="20"/>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20" w:after="283"/>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The adoption of ASU 2023-09 will be required for us for fiscal years beginning after December 15, 2024. We do not believe the adoption of this ASU will have a material impact on our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standards setting bodies that we adopt as of the specified effective date. As of September 30, 2024, unless otherwise discussed (including with respect to ASU 2023-07), we believe the impact of any other recently issued standards that are not yet effective are either not applicable to us at this time, or will not have a material impact on our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$450 million in Notes outstanding at a fixed interest rate of 6.375%. We also had $804.5 million outstanding under the Term Loan Facility at an interest rate indexed to the Term SOFR rate. Carrying value of the Term Loan Facility approximates fair value for such indebtedness. Based on our overall interest rate exposure at September 30, 2024, a hypothetical 1.0% increase or decrease in market interest rates would have the effect of causing an additional $8.0 million annualized pre-tax charge or credit to our Condensed Consolidated Statements of Operations. We have not entered into any interest rate swap agreements as of September 30,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Controls and Procedures.</w:t>
      </w:r>
    </w:p>
    <w:p>
      <w:pPr>
        <w:pStyle w:val="TextBody"/>
        <w:bidi w:val="0"/>
        <w:spacing w:lineRule="auto" w:line="288" w:before="120" w:after="283"/>
        <w:jc w:val="both"/>
        <w:rPr/>
      </w:pPr>
      <w:r>
        <w:rPr>
          <w:rFonts w:ascii="Times New Roman;sans-serif" w:hAnsi="Times New Roman;sans-serif"/>
          <w:b w:val="false"/>
          <w:i/>
          <w:color w:val="000000"/>
          <w:sz w:val="20"/>
        </w:rPr>
        <w:t>Disclosure Controls and Procedures</w:t>
      </w:r>
      <w:r>
        <w:rPr>
          <w:rFonts w:ascii="Times New Roman;sans-serif" w:hAnsi="Times New Roman;sans-serif"/>
          <w:b w:val="false"/>
          <w:color w:val="000000"/>
          <w:sz w:val="20"/>
        </w:rPr>
        <w:t>. 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September 30, 2024, our disclosure controls and procedures (as defined in Rules 13a–15(e) and 15d–15(e) under the Securities Exchange Act of 1934) were effective.</w:t>
      </w:r>
    </w:p>
    <w:p>
      <w:pPr>
        <w:pStyle w:val="TextBody"/>
        <w:bidi w:val="0"/>
        <w:spacing w:lineRule="auto" w:line="288" w:before="120" w:after="283"/>
        <w:jc w:val="both"/>
        <w:rPr/>
      </w:pPr>
      <w:r>
        <w:rPr>
          <w:rFonts w:ascii="Times New Roman;sans-serif" w:hAnsi="Times New Roman;sans-serif"/>
          <w:b w:val="false"/>
          <w:i/>
          <w:color w:val="000000"/>
          <w:sz w:val="20"/>
        </w:rPr>
        <w:t>Changes in Internal Controls over Financial Reporting</w:t>
      </w:r>
      <w:r>
        <w:rPr>
          <w:rFonts w:ascii="Times New Roman;sans-serif" w:hAnsi="Times New Roman;sans-serif"/>
          <w:b w:val="false"/>
          <w:color w:val="000000"/>
          <w:sz w:val="20"/>
        </w:rPr>
        <w:t>. For the quarter ended September 30, 2024,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along with our subsidiaries, are party to various legal proceedings and governmental inquiries and investigations given the nature of our business. We regularly monitor developments related to these matters,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 matters described herein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We cannot predict the ultimate resolution of our pending legal proceedings and governmental inquiries and investigations or other similar matters that may arise in the future given the nature of our business and the inherent uncertainty associated with legal proceedings and governmental inquiries and investigations. Please see Note 12 of our condensed consolidated financial statements included in this Quarterly Report on Form 10-Q for additional discussion of certain of our legal proceedings and governmental inquiries.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of Part 1, “Risk Factors”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w:t>
      </w: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93"/>
        <w:gridCol w:w="345"/>
        <w:gridCol w:w="346"/>
        <w:gridCol w:w="3034"/>
        <w:gridCol w:w="2853"/>
        <w:gridCol w:w="2859"/>
        <w:gridCol w:w="109"/>
        <w:gridCol w:w="109"/>
        <w:gridCol w:w="157"/>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Articles of Incorporation and Bylaws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Certificate of Incorporation of the registrant, as amended (incorporated herein by reference to Exhibit 3.1 to the registrant’s Current Report on Form 8-K dated as of December 31,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Amendment to the Certificate of Incorporation of the registrant, dated May 19, 2004 (incorporated herein by reference to Exhibit 3.2 to the registrant’s Quarterly Report on Form 10-Q for the quarter ended June 30, 2004.)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the Certificate of Incorporation of the registrant, dated June 8, 2021 (incorporated herein by reference to Exhibit 3.1 to the registrant’s Current Report on Form 8-K dated as of June 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Certificate of Amendment to the Certificate of Incorporation of the registrant, dated February 21, 2023 (incorporated herein by reference to Exhibit 3.1 to the registrant’s Current Report on Form 8-K dated as of February 23,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Certificate of Amendment to the Certificate of Incorporation of the registrant, dated June 4, 2024 (incorporated herein by reference to Exhibit 3.5 to the registrant’s Quarterly Report on Form 10-Q for the quarter ended June 30,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Amended and Restated Bylaws of the registrant (incorporated herein by reference to Exhibit 10.3 to the registrant’s Current Report on Form 8-K dated as of June 5,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Certificate of Designations of Series D Preferred Stock of the registrant, dated march 28, 2017 (incorporated herein by reference to Exhibit 3.1 to the registrant’s Current Report on Form 8-K dated as of March 31, 2017.)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Certificate of Correction to the Certificate of Elimination of the Series A Preferred Stock of the registrant, dated June 4, 2024 (incorporated herein by reference to Exhibit 10.2 to the registrant’s Current Report on Form 8-K dated as of June 5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Instruments Defining the Rights of Security Holders, Including Indentures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Description of the registrant’s Common Stock (incorporated herein by reference to Exhibit 4.3 to the registrant’s Annual Report on Form 10-K for the year ended December 31,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Form of Certificate evidencing Common Stock (incorporated herein by reference to Exhibit 4.6 to the registrant’s Registration Statement on Form S-8 dated as of June 7,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Indenture, dated as of February 17, 2021, by and between Radiant Funding SPV, LLC and Truist Bank (incorporated herein by reference to Exhibit 4.1 to the registrant’s Current Report on Form 8-K dated as of February 17,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87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Exhibits and Certifications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q3x2024.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Mitchell Fadel</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q3x2024.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q3x2024.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Mitchell Fadel</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_q3x2024.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Fahmi Karam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files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897" w:type="dxa"/>
        <w:jc w:val="left"/>
        <w:tblInd w:w="0" w:type="dxa"/>
        <w:tblLayout w:type="fixed"/>
        <w:tblCellMar>
          <w:top w:w="28" w:type="dxa"/>
          <w:left w:w="28" w:type="dxa"/>
          <w:bottom w:w="28" w:type="dxa"/>
          <w:right w:w="28" w:type="dxa"/>
        </w:tblCellMar>
      </w:tblPr>
      <w:tblGrid>
        <w:gridCol w:w="124"/>
        <w:gridCol w:w="109"/>
        <w:gridCol w:w="109"/>
        <w:gridCol w:w="345"/>
        <w:gridCol w:w="345"/>
        <w:gridCol w:w="345"/>
        <w:gridCol w:w="736"/>
        <w:gridCol w:w="736"/>
        <w:gridCol w:w="1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UPBOUND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Fahmi W. Karam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EVP, Chief Financial Officer</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31, 2024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Mitchell E. Fadel, certify that: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31, 2024 </w:t>
      </w:r>
    </w:p>
    <w:p>
      <w:pPr>
        <w:pStyle w:val="TextBody"/>
        <w:bidi w:val="0"/>
        <w:spacing w:lineRule="auto" w:line="288" w:before="0" w:after="0"/>
        <w:jc w:val="left"/>
        <w:rPr/>
      </w:pPr>
      <w:r>
        <w:rPr>
          <w:rFonts w:ascii="Times New Roman;sans-serif" w:hAnsi="Times New Roman;sans-serif"/>
          <w:b w:val="false"/>
          <w:color w:val="000000"/>
          <w:sz w:val="20"/>
          <w:u w:val="single"/>
        </w:rPr>
        <w:t>/s/ Mitchell E. Fadel</w:t>
      </w: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Mitchell E. Fadel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31.2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Fahmi W. Karam, certify that: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31, 2024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Fahmi W. Karam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Fahmi W. Karam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September 30, 2024,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Mitchell E. Fadel, Chief Executive Officer and Director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 Mitchell E. Fadel</w:t>
      </w: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Mitchell E. Fadel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and Director</w:t>
      </w:r>
    </w:p>
    <w:p>
      <w:pPr>
        <w:pStyle w:val="TextBody"/>
        <w:bidi w:val="0"/>
        <w:spacing w:before="0" w:after="0"/>
        <w:ind w:left="0" w:right="0" w:firstLine="630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October 31, 2024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32.2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September 30, 2024,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Fahmi W. Karam, Chief Financial Officer of the Company, hereby certify, pursuant to 18 U.S.C. Section 1350, as adopted pursuant to Section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 Fahmi W. Karam</w:t>
      </w:r>
      <w:r>
        <w:rPr>
          <w:color w:val="000000"/>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Fahmi W. Karam</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Chief Financial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October 31, 2024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33036/000095013402016210/d02215exv3w1.txt" TargetMode="External"/><Relationship Id="rId3" Type="http://schemas.openxmlformats.org/officeDocument/2006/relationships/hyperlink" Target="https://www.sec.gov/Archives/edgar/data/933036/000095013404010948/d17068exv3w2.txt" TargetMode="External"/><Relationship Id="rId4" Type="http://schemas.openxmlformats.org/officeDocument/2006/relationships/hyperlink" Target="https://www.sec.gov/Archives/edgar/data/933036/000110465921078652/tm2119045d1_ex3-1.htm" TargetMode="External"/><Relationship Id="rId5" Type="http://schemas.openxmlformats.org/officeDocument/2006/relationships/hyperlink" Target="https://www.sec.gov/Archives/edgar/data/933036/000093303623000044/ex-31_certificateofamendme.htm" TargetMode="External"/><Relationship Id="rId6" Type="http://schemas.openxmlformats.org/officeDocument/2006/relationships/hyperlink" Target="https://www.sec.gov/Archives/edgar/data/933036/000093303624000137/ex-35_q22024.htm" TargetMode="External"/><Relationship Id="rId7" Type="http://schemas.openxmlformats.org/officeDocument/2006/relationships/hyperlink" Target="https://www.sec.gov/ix?doc=/Archives/edgar/data/933036/000110465924068516/tm2415591d1_8k.htm" TargetMode="External"/><Relationship Id="rId8" Type="http://schemas.openxmlformats.org/officeDocument/2006/relationships/hyperlink" Target="https://www.sec.gov/Archives/edgar/data/933036/000093303617000022/exhibit31march282017america.htm" TargetMode="External"/><Relationship Id="rId9" Type="http://schemas.openxmlformats.org/officeDocument/2006/relationships/hyperlink" Target="https://www.sec.gov/ix?doc=/Archives/edgar/data/933036/000110465924068516/tm2415591d1_8k.htm" TargetMode="External"/><Relationship Id="rId10" Type="http://schemas.openxmlformats.org/officeDocument/2006/relationships/hyperlink" Target="https://www.sec.gov/Archives/edgar/data/933036/000093303621000049/ex-43_q42020.htm" TargetMode="External"/><Relationship Id="rId11" Type="http://schemas.openxmlformats.org/officeDocument/2006/relationships/hyperlink" Target="https://www.sec.gov/Archives/edgar/data/933036/000110465923068936/tm2316186d1_ex4-6.htm" TargetMode="External"/><Relationship Id="rId12" Type="http://schemas.openxmlformats.org/officeDocument/2006/relationships/hyperlink" Target="https://www.sec.gov/Archives/edgar/data/933036/000110465921024846/tm216741d1_ex4-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24377</Words>
  <Characters>136281</Characters>
  <CharactersWithSpaces>159399</CharactersWithSpaces>
  <Paragraphs>2910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