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(Mark One)</w:t>
      </w:r>
    </w:p>
    <w:p>
      <w:pPr>
        <w:spacing w:after="0" w:line="26"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2024</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6"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98" w:lineRule="exact"/>
        <w:rPr>
          <w:sz w:val="24"/>
          <w:szCs w:val="24"/>
          <w:color w:val="auto"/>
        </w:rPr>
      </w:pPr>
    </w:p>
    <w:p>
      <w:pPr>
        <w:ind w:left="4420"/>
        <w:spacing w:after="0"/>
        <w:tabs>
          <w:tab w:leader="none" w:pos="668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3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5"/>
          <w:szCs w:val="15"/>
          <w:b w:val="1"/>
          <w:bCs w:val="1"/>
          <w:color w:val="auto"/>
        </w:rPr>
        <w:t>Commission File Number: 001-38047</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Upbound Group, Inc.</w:t>
      </w:r>
    </w:p>
    <w:p>
      <w:pPr>
        <w:spacing w:after="0" w:line="16" w:lineRule="exact"/>
        <w:rPr>
          <w:sz w:val="24"/>
          <w:szCs w:val="24"/>
          <w:color w:val="auto"/>
        </w:rPr>
      </w:pPr>
    </w:p>
    <w:tbl>
      <w:tblPr>
        <w:tblLayout w:type="fixed"/>
        <w:tblInd w:w="1300" w:type="dxa"/>
        <w:tblCellMar>
          <w:top w:w="0" w:type="dxa"/>
          <w:left w:w="0" w:type="dxa"/>
          <w:bottom w:w="0" w:type="dxa"/>
          <w:right w:w="0" w:type="dxa"/>
        </w:tblCellMar>
      </w:tblPr>
      <w:tr>
        <w:trPr>
          <w:trHeight w:val="166"/>
        </w:trPr>
        <w:tc>
          <w:tcPr>
            <w:tcW w:w="2780" w:type="dxa"/>
            <w:vAlign w:val="bottom"/>
          </w:tcPr>
          <w:p>
            <w:pPr>
              <w:spacing w:after="0"/>
              <w:rPr>
                <w:sz w:val="14"/>
                <w:szCs w:val="14"/>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tc>
      </w:tr>
      <w:tr>
        <w:trPr>
          <w:trHeight w:val="208"/>
        </w:trPr>
        <w:tc>
          <w:tcPr>
            <w:tcW w:w="2780" w:type="dxa"/>
            <w:vAlign w:val="bottom"/>
          </w:tcPr>
          <w:p>
            <w:pPr>
              <w:jc w:val="center"/>
              <w:ind w:right="166"/>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5160" w:type="dxa"/>
            <w:vAlign w:val="bottom"/>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45-0491516</w:t>
            </w:r>
          </w:p>
        </w:tc>
      </w:tr>
      <w:tr>
        <w:trPr>
          <w:trHeight w:val="203"/>
        </w:trPr>
        <w:tc>
          <w:tcPr>
            <w:tcW w:w="2780" w:type="dxa"/>
            <w:vAlign w:val="bottom"/>
          </w:tcPr>
          <w:p>
            <w:pPr>
              <w:jc w:val="center"/>
              <w:ind w:right="166"/>
              <w:spacing w:after="0"/>
              <w:rPr>
                <w:sz w:val="20"/>
                <w:szCs w:val="20"/>
                <w:color w:val="auto"/>
              </w:rPr>
            </w:pPr>
            <w:r>
              <w:rPr>
                <w:rFonts w:ascii="Times New Roman" w:cs="Times New Roman" w:eastAsia="Times New Roman" w:hAnsi="Times New Roman"/>
                <w:sz w:val="15"/>
                <w:szCs w:val="15"/>
                <w:i w:val="1"/>
                <w:iCs w:val="1"/>
                <w:color w:val="auto"/>
              </w:rPr>
              <w:t>(State or other jurisdiction of</w:t>
            </w:r>
          </w:p>
        </w:tc>
        <w:tc>
          <w:tcPr>
            <w:tcW w:w="5160" w:type="dxa"/>
            <w:vAlign w:val="bottom"/>
          </w:tcPr>
          <w:p>
            <w:pPr>
              <w:jc w:val="center"/>
              <w:ind w:left="3948"/>
              <w:spacing w:after="0"/>
              <w:rPr>
                <w:sz w:val="20"/>
                <w:szCs w:val="20"/>
                <w:color w:val="auto"/>
              </w:rPr>
            </w:pPr>
            <w:r>
              <w:rPr>
                <w:rFonts w:ascii="Times New Roman" w:cs="Times New Roman" w:eastAsia="Times New Roman" w:hAnsi="Times New Roman"/>
                <w:sz w:val="15"/>
                <w:szCs w:val="15"/>
                <w:i w:val="1"/>
                <w:iCs w:val="1"/>
                <w:color w:val="auto"/>
              </w:rPr>
              <w:t>(I.R.S. Employer</w:t>
            </w:r>
          </w:p>
        </w:tc>
      </w:tr>
      <w:tr>
        <w:trPr>
          <w:trHeight w:val="203"/>
        </w:trPr>
        <w:tc>
          <w:tcPr>
            <w:tcW w:w="2780" w:type="dxa"/>
            <w:vAlign w:val="bottom"/>
          </w:tcPr>
          <w:p>
            <w:pPr>
              <w:jc w:val="center"/>
              <w:ind w:right="166"/>
              <w:spacing w:after="0"/>
              <w:rPr>
                <w:sz w:val="20"/>
                <w:szCs w:val="20"/>
                <w:color w:val="auto"/>
              </w:rPr>
            </w:pPr>
            <w:r>
              <w:rPr>
                <w:rFonts w:ascii="Times New Roman" w:cs="Times New Roman" w:eastAsia="Times New Roman" w:hAnsi="Times New Roman"/>
                <w:sz w:val="15"/>
                <w:szCs w:val="15"/>
                <w:i w:val="1"/>
                <w:iCs w:val="1"/>
                <w:color w:val="auto"/>
              </w:rPr>
              <w:t>incorporation or organization)</w:t>
            </w:r>
          </w:p>
        </w:tc>
        <w:tc>
          <w:tcPr>
            <w:tcW w:w="5160" w:type="dxa"/>
            <w:vAlign w:val="bottom"/>
          </w:tcPr>
          <w:p>
            <w:pPr>
              <w:jc w:val="center"/>
              <w:ind w:left="3948"/>
              <w:spacing w:after="0"/>
              <w:rPr>
                <w:sz w:val="20"/>
                <w:szCs w:val="20"/>
                <w:color w:val="auto"/>
              </w:rPr>
            </w:pPr>
            <w:r>
              <w:rPr>
                <w:rFonts w:ascii="Times New Roman" w:cs="Times New Roman" w:eastAsia="Times New Roman" w:hAnsi="Times New Roman"/>
                <w:sz w:val="15"/>
                <w:szCs w:val="15"/>
                <w:i w:val="1"/>
                <w:iCs w:val="1"/>
                <w:color w:val="auto"/>
              </w:rPr>
              <w:t>Identification No.)</w:t>
            </w:r>
          </w:p>
        </w:tc>
      </w:tr>
      <w:tr>
        <w:trPr>
          <w:trHeight w:val="203"/>
        </w:trPr>
        <w:tc>
          <w:tcPr>
            <w:tcW w:w="2780" w:type="dxa"/>
            <w:vAlign w:val="bottom"/>
          </w:tcPr>
          <w:p>
            <w:pPr>
              <w:jc w:val="center"/>
              <w:ind w:right="166"/>
              <w:spacing w:after="0"/>
              <w:rPr>
                <w:sz w:val="20"/>
                <w:szCs w:val="20"/>
                <w:color w:val="auto"/>
              </w:rPr>
            </w:pPr>
            <w:r>
              <w:rPr>
                <w:rFonts w:ascii="Times New Roman" w:cs="Times New Roman" w:eastAsia="Times New Roman" w:hAnsi="Times New Roman"/>
                <w:sz w:val="15"/>
                <w:szCs w:val="15"/>
                <w:b w:val="1"/>
                <w:bCs w:val="1"/>
                <w:color w:val="auto"/>
              </w:rPr>
              <w:t>5501 Headquarters Drive, Plano, Texas</w:t>
            </w:r>
          </w:p>
        </w:tc>
        <w:tc>
          <w:tcPr>
            <w:tcW w:w="5160" w:type="dxa"/>
            <w:vAlign w:val="bottom"/>
          </w:tcPr>
          <w:p>
            <w:pPr>
              <w:jc w:val="right"/>
              <w:ind w:right="308"/>
              <w:spacing w:after="0"/>
              <w:rPr>
                <w:sz w:val="20"/>
                <w:szCs w:val="20"/>
                <w:color w:val="auto"/>
              </w:rPr>
            </w:pPr>
            <w:r>
              <w:rPr>
                <w:rFonts w:ascii="Times New Roman" w:cs="Times New Roman" w:eastAsia="Times New Roman" w:hAnsi="Times New Roman"/>
                <w:sz w:val="15"/>
                <w:szCs w:val="15"/>
                <w:b w:val="1"/>
                <w:bCs w:val="1"/>
                <w:color w:val="auto"/>
              </w:rPr>
              <w:t>75024</w:t>
            </w:r>
          </w:p>
        </w:tc>
      </w:tr>
      <w:tr>
        <w:trPr>
          <w:trHeight w:val="168"/>
        </w:trPr>
        <w:tc>
          <w:tcPr>
            <w:tcW w:w="2780" w:type="dxa"/>
            <w:vAlign w:val="bottom"/>
          </w:tcPr>
          <w:p>
            <w:pPr>
              <w:jc w:val="center"/>
              <w:ind w:right="186"/>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5160" w:type="dxa"/>
            <w:vAlign w:val="bottom"/>
          </w:tcPr>
          <w:p>
            <w:pPr>
              <w:jc w:val="center"/>
              <w:ind w:left="3948"/>
              <w:spacing w:after="0"/>
              <w:rPr>
                <w:sz w:val="20"/>
                <w:szCs w:val="20"/>
                <w:color w:val="auto"/>
              </w:rPr>
            </w:pPr>
            <w:r>
              <w:rPr>
                <w:rFonts w:ascii="Times New Roman" w:cs="Times New Roman" w:eastAsia="Times New Roman" w:hAnsi="Times New Roman"/>
                <w:sz w:val="13"/>
                <w:szCs w:val="13"/>
                <w:b w:val="1"/>
                <w:bCs w:val="1"/>
                <w:i w:val="1"/>
                <w:iCs w:val="1"/>
                <w:color w:val="auto"/>
                <w:w w:val="93"/>
              </w:rPr>
              <w:t>(Zip Code)</w:t>
            </w: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(972) 801-1100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ectPr>
          <w:pgSz w:w="11900" w:h="16838" w:orient="portrait"/>
          <w:cols w:equalWidth="0" w:num="1">
            <w:col w:w="11240"/>
          </w:cols>
          <w:pgMar w:left="320" w:top="1022" w:right="339" w:bottom="1440" w:gutter="0" w:footer="0" w:header="0"/>
        </w:sectPr>
      </w:pPr>
    </w:p>
    <w:p>
      <w:pPr>
        <w:spacing w:after="0" w:line="4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36" w:lineRule="exact"/>
        <w:rPr>
          <w:sz w:val="24"/>
          <w:szCs w:val="24"/>
          <w:color w:val="auto"/>
        </w:rPr>
      </w:pPr>
    </w:p>
    <w:p>
      <w:pPr>
        <w:sectPr>
          <w:pgSz w:w="11900" w:h="16838" w:orient="portrait"/>
          <w:cols w:equalWidth="0" w:num="3">
            <w:col w:w="4380" w:space="720"/>
            <w:col w:w="1920" w:space="720"/>
            <w:col w:w="3500"/>
          </w:cols>
          <w:pgMar w:left="320" w:top="1022"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5"/>
          <w:szCs w:val="15"/>
          <w:b w:val="1"/>
          <w:bCs w:val="1"/>
          <w:color w:val="auto"/>
        </w:rPr>
        <w:t>Common stock, $.01 par value</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5"/>
          <w:szCs w:val="15"/>
          <w:b w:val="1"/>
          <w:bCs w:val="1"/>
          <w:color w:val="auto"/>
        </w:rPr>
        <w:t>UPBD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-517525</wp:posOffset>
            </wp:positionH>
            <wp:positionV relativeFrom="paragraph">
              <wp:posOffset>83820</wp:posOffset>
            </wp:positionV>
            <wp:extent cx="1311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p>
      <w:pPr>
        <w:spacing w:after="0" w:line="200" w:lineRule="exact"/>
        <w:rPr>
          <w:sz w:val="24"/>
          <w:szCs w:val="24"/>
          <w:color w:val="auto"/>
        </w:rPr>
      </w:pPr>
    </w:p>
    <w:p>
      <w:pPr>
        <w:sectPr>
          <w:pgSz w:w="11900" w:h="16838" w:orient="portrait"/>
          <w:cols w:equalWidth="0" w:num="3">
            <w:col w:w="4680" w:space="720"/>
            <w:col w:w="1680" w:space="720"/>
            <w:col w:w="3440"/>
          </w:cols>
          <w:pgMar w:left="320" w:top="1022" w:right="339" w:bottom="1440" w:gutter="0" w:footer="0" w:header="0"/>
          <w:type w:val="continuous"/>
        </w:sectPr>
      </w:pPr>
    </w:p>
    <w:p>
      <w:pPr>
        <w:spacing w:after="0" w:line="23" w:lineRule="exact"/>
        <w:rPr>
          <w:sz w:val="24"/>
          <w:szCs w:val="24"/>
          <w:color w:val="auto"/>
        </w:rPr>
      </w:pPr>
    </w:p>
    <w:p>
      <w:pPr>
        <w:jc w:val="both"/>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jc w:val="both"/>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jc w:val="both"/>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260" w:type="dxa"/>
            <w:vAlign w:val="bottom"/>
          </w:tcPr>
          <w:p>
            <w:pPr>
              <w:ind w:left="86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260"/>
              <w:spacing w:after="0"/>
              <w:rPr>
                <w:sz w:val="20"/>
                <w:szCs w:val="20"/>
                <w:color w:val="auto"/>
              </w:rPr>
            </w:pPr>
            <w:r>
              <w:rPr>
                <w:rFonts w:ascii="Arial" w:cs="Arial" w:eastAsia="Arial" w:hAnsi="Arial"/>
                <w:sz w:val="15"/>
                <w:szCs w:val="15"/>
                <w:color w:val="auto"/>
              </w:rPr>
              <w:t>Accelerated filer</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80" w:type="dxa"/>
            <w:vAlign w:val="bottom"/>
          </w:tcPr>
          <w:p>
            <w:pPr>
              <w:spacing w:after="0"/>
              <w:rPr>
                <w:sz w:val="20"/>
                <w:szCs w:val="20"/>
                <w:color w:val="auto"/>
              </w:rPr>
            </w:pPr>
            <w:r>
              <w:rPr>
                <w:rFonts w:ascii="Arial" w:cs="Arial" w:eastAsia="Arial" w:hAnsi="Arial"/>
                <w:sz w:val="15"/>
                <w:szCs w:val="15"/>
                <w:color w:val="auto"/>
              </w:rPr>
              <w:t>Non-accelerated filer</w:t>
            </w:r>
          </w:p>
        </w:tc>
        <w:tc>
          <w:tcPr>
            <w:tcW w:w="3260" w:type="dxa"/>
            <w:vAlign w:val="bottom"/>
          </w:tcPr>
          <w:p>
            <w:pPr>
              <w:ind w:left="86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260"/>
              <w:spacing w:after="0"/>
              <w:rPr>
                <w:sz w:val="20"/>
                <w:szCs w:val="20"/>
                <w:color w:val="auto"/>
              </w:rPr>
            </w:pPr>
            <w:r>
              <w:rPr>
                <w:rFonts w:ascii="Arial" w:cs="Arial" w:eastAsia="Arial" w:hAnsi="Arial"/>
                <w:sz w:val="15"/>
                <w:szCs w:val="15"/>
                <w:color w:val="auto"/>
              </w:rPr>
              <w:t>Smaller reporting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2"/>
        </w:trPr>
        <w:tc>
          <w:tcPr>
            <w:tcW w:w="23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720" w:type="dxa"/>
            <w:vAlign w:val="bottom"/>
          </w:tcPr>
          <w:p>
            <w:pPr>
              <w:ind w:left="2260"/>
              <w:spacing w:after="0"/>
              <w:rPr>
                <w:sz w:val="20"/>
                <w:szCs w:val="20"/>
                <w:color w:val="auto"/>
              </w:rPr>
            </w:pPr>
            <w:r>
              <w:rPr>
                <w:rFonts w:ascii="Arial" w:cs="Arial" w:eastAsia="Arial" w:hAnsi="Arial"/>
                <w:sz w:val="15"/>
                <w:szCs w:val="15"/>
                <w:color w:val="auto"/>
              </w:rPr>
              <w:t>Emerging Growth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bl>
    <w:p>
      <w:pPr>
        <w:ind w:left="20"/>
        <w:spacing w:after="0" w:line="206"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w:t>
      </w:r>
    </w:p>
    <w:tbl>
      <w:tblPr>
        <w:tblLayout w:type="fixed"/>
        <w:tblInd w:w="0" w:type="dxa"/>
        <w:tblCellMar>
          <w:top w:w="0" w:type="dxa"/>
          <w:left w:w="0" w:type="dxa"/>
          <w:bottom w:w="0" w:type="dxa"/>
          <w:right w:w="0" w:type="dxa"/>
        </w:tblCellMar>
      </w:tblPr>
      <w:tr>
        <w:trPr>
          <w:trHeight w:val="258"/>
        </w:trPr>
        <w:tc>
          <w:tcPr>
            <w:tcW w:w="7840" w:type="dxa"/>
            <w:vAlign w:val="bottom"/>
          </w:tcPr>
          <w:p>
            <w:pPr>
              <w:ind w:left="20"/>
              <w:spacing w:after="0"/>
              <w:rPr>
                <w:sz w:val="20"/>
                <w:szCs w:val="20"/>
                <w:color w:val="auto"/>
              </w:rPr>
            </w:pPr>
            <w:r>
              <w:rPr>
                <w:rFonts w:ascii="Arial" w:cs="Arial" w:eastAsia="Arial" w:hAnsi="Arial"/>
                <w:sz w:val="15"/>
                <w:szCs w:val="15"/>
                <w:color w:val="auto"/>
              </w:rPr>
              <w:t>revised financial accounting standards provided pursuant to Section 13(a) of the Exchange Act.</w:t>
            </w:r>
          </w:p>
        </w:tc>
        <w:tc>
          <w:tcPr>
            <w:tcW w:w="3400" w:type="dxa"/>
            <w:vAlign w:val="bottom"/>
          </w:tcPr>
          <w:p>
            <w:pPr>
              <w:ind w:left="2980"/>
              <w:spacing w:after="0" w:line="151" w:lineRule="exact"/>
              <w:rPr>
                <w:sz w:val="20"/>
                <w:szCs w:val="20"/>
                <w:color w:val="auto"/>
              </w:rPr>
            </w:pPr>
            <w:r>
              <w:rPr>
                <w:rFonts w:ascii="MS PGothic" w:cs="MS PGothic" w:eastAsia="MS PGothic" w:hAnsi="MS PGothic"/>
                <w:sz w:val="15"/>
                <w:szCs w:val="15"/>
                <w:color w:val="auto"/>
              </w:rPr>
              <w:t>☐</w:t>
            </w:r>
          </w:p>
        </w:tc>
      </w:tr>
      <w:tr>
        <w:trPr>
          <w:trHeight w:val="177"/>
        </w:trPr>
        <w:tc>
          <w:tcPr>
            <w:tcW w:w="7840" w:type="dxa"/>
            <w:vAlign w:val="bottom"/>
          </w:tcPr>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tc>
        <w:tc>
          <w:tcPr>
            <w:tcW w:w="3400" w:type="dxa"/>
            <w:vAlign w:val="bottom"/>
          </w:tcPr>
          <w:p>
            <w:pPr>
              <w:spacing w:after="0"/>
              <w:rPr>
                <w:sz w:val="15"/>
                <w:szCs w:val="15"/>
                <w:color w:val="auto"/>
              </w:rPr>
            </w:pPr>
          </w:p>
        </w:tc>
      </w:tr>
      <w:tr>
        <w:trPr>
          <w:trHeight w:val="258"/>
        </w:trPr>
        <w:tc>
          <w:tcPr>
            <w:tcW w:w="7840" w:type="dxa"/>
            <w:vAlign w:val="bottom"/>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3400" w:type="dxa"/>
            <w:vAlign w:val="bottom"/>
          </w:tcPr>
          <w:p>
            <w:pPr>
              <w:spacing w:after="0"/>
              <w:rPr>
                <w:sz w:val="22"/>
                <w:szCs w:val="22"/>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5"/>
                <w:szCs w:val="15"/>
                <w:color w:val="auto"/>
              </w:rPr>
              <w:t>Indicate the number of shares outstanding of each of the issuer’s classes of common stock, as of April 24, 2024:</w:t>
            </w:r>
          </w:p>
        </w:tc>
        <w:tc>
          <w:tcPr>
            <w:tcW w:w="3400" w:type="dxa"/>
            <w:vAlign w:val="bottom"/>
          </w:tcPr>
          <w:p>
            <w:pPr>
              <w:spacing w:after="0"/>
              <w:rPr>
                <w:sz w:val="18"/>
                <w:szCs w:val="18"/>
                <w:color w:val="auto"/>
              </w:rPr>
            </w:pPr>
          </w:p>
        </w:tc>
      </w:tr>
      <w:tr>
        <w:trPr>
          <w:trHeight w:val="284"/>
        </w:trPr>
        <w:tc>
          <w:tcPr>
            <w:tcW w:w="784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Class</w:t>
            </w:r>
          </w:p>
        </w:tc>
        <w:tc>
          <w:tcPr>
            <w:tcW w:w="3400" w:type="dxa"/>
            <w:vAlign w:val="bottom"/>
          </w:tcPr>
          <w:p>
            <w:pPr>
              <w:jc w:val="center"/>
              <w:ind w:right="2121"/>
              <w:spacing w:after="0"/>
              <w:rPr>
                <w:sz w:val="20"/>
                <w:szCs w:val="20"/>
                <w:color w:val="auto"/>
              </w:rPr>
            </w:pPr>
            <w:r>
              <w:rPr>
                <w:rFonts w:ascii="Times New Roman" w:cs="Times New Roman" w:eastAsia="Times New Roman" w:hAnsi="Times New Roman"/>
                <w:sz w:val="16"/>
                <w:szCs w:val="16"/>
                <w:color w:val="auto"/>
              </w:rPr>
              <w:t>Outstanding</w:t>
            </w:r>
          </w:p>
        </w:tc>
      </w:tr>
      <w:tr>
        <w:trPr>
          <w:trHeight w:val="216"/>
        </w:trPr>
        <w:tc>
          <w:tcPr>
            <w:tcW w:w="784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Common stock, $.01 par value</w:t>
            </w:r>
          </w:p>
        </w:tc>
        <w:tc>
          <w:tcPr>
            <w:tcW w:w="3400" w:type="dxa"/>
            <w:vAlign w:val="bottom"/>
          </w:tcPr>
          <w:p>
            <w:pPr>
              <w:jc w:val="right"/>
              <w:ind w:right="2361"/>
              <w:spacing w:after="0"/>
              <w:rPr>
                <w:sz w:val="20"/>
                <w:szCs w:val="20"/>
                <w:color w:val="auto"/>
              </w:rPr>
            </w:pPr>
            <w:r>
              <w:rPr>
                <w:rFonts w:ascii="Times New Roman" w:cs="Times New Roman" w:eastAsia="Times New Roman" w:hAnsi="Times New Roman"/>
                <w:sz w:val="16"/>
                <w:szCs w:val="16"/>
                <w:color w:val="auto"/>
              </w:rPr>
              <w:t>54,629,445</w:t>
            </w:r>
          </w:p>
        </w:tc>
      </w:tr>
      <w:tr>
        <w:trPr>
          <w:trHeight w:val="1349"/>
        </w:trPr>
        <w:tc>
          <w:tcPr>
            <w:tcW w:w="78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944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94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three-month periods ended March 31,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for the three-month periods ended March 31,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Balance Sheets as of March 31, 2024 and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for the three-month periods ending March 31,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three-month periods ended March 31,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316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14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Rentals and fees</w:t>
            </w: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872,539</w:t>
            </w:r>
          </w:p>
        </w:tc>
        <w:tc>
          <w:tcPr>
            <w:tcW w:w="120" w:type="dxa"/>
            <w:vAlign w:val="bottom"/>
          </w:tcPr>
          <w:p>
            <w:pPr>
              <w:spacing w:after="0"/>
              <w:rPr>
                <w:sz w:val="19"/>
                <w:szCs w:val="19"/>
                <w:color w:val="auto"/>
              </w:rPr>
            </w:pPr>
          </w:p>
        </w:tc>
        <w:tc>
          <w:tcPr>
            <w:tcW w:w="112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806,717</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sales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179,699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162,989</w:t>
            </w:r>
          </w:p>
        </w:tc>
        <w:tc>
          <w:tcPr>
            <w:tcW w:w="0" w:type="dxa"/>
            <w:vAlign w:val="bottom"/>
          </w:tcPr>
          <w:p>
            <w:pPr>
              <w:spacing w:after="0"/>
              <w:rPr>
                <w:sz w:val="1"/>
                <w:szCs w:val="1"/>
                <w:color w:val="auto"/>
              </w:rPr>
            </w:pPr>
          </w:p>
        </w:tc>
      </w:tr>
      <w:tr>
        <w:trPr>
          <w:trHeight w:val="229"/>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Installment sales</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Franchise merchandise sales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22,827</w:t>
            </w:r>
          </w:p>
        </w:tc>
        <w:tc>
          <w:tcPr>
            <w:tcW w:w="0" w:type="dxa"/>
            <w:vAlign w:val="bottom"/>
          </w:tcPr>
          <w:p>
            <w:pPr>
              <w:spacing w:after="0"/>
              <w:rPr>
                <w:sz w:val="1"/>
                <w:szCs w:val="1"/>
                <w:color w:val="auto"/>
              </w:rPr>
            </w:pPr>
          </w:p>
        </w:tc>
      </w:tr>
      <w:tr>
        <w:trPr>
          <w:trHeight w:val="229"/>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income and fees</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23"/>
        </w:trPr>
        <w:tc>
          <w:tcPr>
            <w:tcW w:w="71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1,095,967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1,016,061</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rentals and fees</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327,148</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297,146</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merchandise sold</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213,569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184,260</w:t>
            </w:r>
          </w:p>
        </w:tc>
        <w:tc>
          <w:tcPr>
            <w:tcW w:w="0" w:type="dxa"/>
            <w:vAlign w:val="bottom"/>
          </w:tcPr>
          <w:p>
            <w:pPr>
              <w:spacing w:after="0"/>
              <w:rPr>
                <w:sz w:val="1"/>
                <w:szCs w:val="1"/>
                <w:color w:val="auto"/>
              </w:rPr>
            </w:pPr>
          </w:p>
        </w:tc>
      </w:tr>
      <w:tr>
        <w:trPr>
          <w:trHeight w:val="230"/>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installment sales</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Franchise cost of merchandise sold</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20,894</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22,772</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Total cost of revenues</w:t>
            </w: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566,899</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509,797</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529,068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506,264</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labor</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156,489</w:t>
            </w:r>
          </w:p>
        </w:tc>
        <w:tc>
          <w:tcPr>
            <w:tcW w:w="0" w:type="dxa"/>
            <w:vAlign w:val="bottom"/>
          </w:tcPr>
          <w:p>
            <w:pPr>
              <w:spacing w:after="0"/>
              <w:rPr>
                <w:sz w:val="1"/>
                <w:szCs w:val="1"/>
                <w:color w:val="auto"/>
              </w:rPr>
            </w:pPr>
          </w:p>
        </w:tc>
      </w:tr>
      <w:tr>
        <w:trPr>
          <w:trHeight w:val="229"/>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Non-labor operating expenses</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213,802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196,711</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47,726</w:t>
            </w:r>
          </w:p>
        </w:tc>
        <w:tc>
          <w:tcPr>
            <w:tcW w:w="0" w:type="dxa"/>
            <w:vAlign w:val="bottom"/>
          </w:tcPr>
          <w:p>
            <w:pPr>
              <w:spacing w:after="0"/>
              <w:rPr>
                <w:sz w:val="1"/>
                <w:szCs w:val="1"/>
                <w:color w:val="auto"/>
              </w:rPr>
            </w:pPr>
          </w:p>
        </w:tc>
      </w:tr>
      <w:tr>
        <w:trPr>
          <w:trHeight w:val="230"/>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gains and charges</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26,796</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127,570</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467,306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541,377</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profit (loss)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28,100</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3"/>
        </w:trPr>
        <w:tc>
          <w:tcPr>
            <w:tcW w:w="7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(62,793)</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(110,123)</w:t>
            </w:r>
          </w:p>
        </w:tc>
        <w:tc>
          <w:tcPr>
            <w:tcW w:w="0" w:type="dxa"/>
            <w:vAlign w:val="bottom"/>
          </w:tcPr>
          <w:p>
            <w:pPr>
              <w:spacing w:after="0"/>
              <w:rPr>
                <w:sz w:val="1"/>
                <w:szCs w:val="1"/>
                <w:color w:val="auto"/>
              </w:rPr>
            </w:pPr>
          </w:p>
        </w:tc>
      </w:tr>
      <w:tr>
        <w:trPr>
          <w:trHeight w:val="223"/>
        </w:trPr>
        <w:tc>
          <w:tcPr>
            <w:tcW w:w="7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earnings</w:t>
            </w:r>
          </w:p>
        </w:tc>
        <w:tc>
          <w:tcPr>
            <w:tcW w:w="112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ind w:right="93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93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9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65"/>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47,330</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84"/>
        </w:trPr>
        <w:tc>
          <w:tcPr>
            <w:tcW w:w="698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Foreign currency translation adjustments, net of tax of $180 and $825 for the three months</w:t>
            </w:r>
          </w:p>
        </w:tc>
        <w:tc>
          <w:tcPr>
            <w:tcW w:w="5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4"/>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ended March 31, 2024 and 2023, respectively</w:t>
            </w:r>
          </w:p>
        </w:tc>
        <w:tc>
          <w:tcPr>
            <w:tcW w:w="5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23"/>
        </w:trPr>
        <w:tc>
          <w:tcPr>
            <w:tcW w:w="69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5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48"/>
        </w:trPr>
        <w:tc>
          <w:tcPr>
            <w:tcW w:w="69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Comprehensive income</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28,363</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par value data)</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9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 of allowance for doubtful accounts of $14,500 and $14,254 in 2024 and 2023, respectively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111,005</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merchandise, net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rent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1,109,896</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Held for rent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124,167</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held for installment sale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assets, net of accumulated depreciation of $625,099 and $611,120 in 2024 and 2023, respectively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273,118</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289,702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289,750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301,398</w:t>
            </w:r>
          </w:p>
        </w:tc>
        <w:tc>
          <w:tcPr>
            <w:tcW w:w="0" w:type="dxa"/>
            <w:vAlign w:val="bottom"/>
          </w:tcPr>
          <w:p>
            <w:pPr>
              <w:spacing w:after="0"/>
              <w:rPr>
                <w:sz w:val="1"/>
                <w:szCs w:val="1"/>
                <w:color w:val="auto"/>
              </w:rPr>
            </w:pPr>
          </w:p>
        </w:tc>
      </w:tr>
      <w:tr>
        <w:trPr>
          <w:trHeight w:val="22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2,626,984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2,721,430</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322,905</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293,435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60,842</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 net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866,707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439,920</w:t>
            </w:r>
          </w:p>
        </w:tc>
        <w:tc>
          <w:tcPr>
            <w:tcW w:w="0" w:type="dxa"/>
            <w:vAlign w:val="bottom"/>
          </w:tcPr>
          <w:p>
            <w:pPr>
              <w:spacing w:after="0"/>
              <w:rPr>
                <w:sz w:val="1"/>
                <w:szCs w:val="1"/>
                <w:color w:val="auto"/>
              </w:rPr>
            </w:pPr>
          </w:p>
        </w:tc>
      </w:tr>
      <w:tr>
        <w:trPr>
          <w:trHeight w:val="22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2,161,058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9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$0.01 par value; 250,000,000 shares authorized; 125,683,878 and 125,415,059 shares issued</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March 31, 2024 and December 31, 2023, respectively</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1,459,709</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994,892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 71,060,928 and 71,060,928 shares in 2024 and 2023, respectively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(1,890,966)</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560,372</w:t>
            </w:r>
          </w:p>
        </w:tc>
        <w:tc>
          <w:tcPr>
            <w:tcW w:w="0" w:type="dxa"/>
            <w:vAlign w:val="bottom"/>
          </w:tcPr>
          <w:p>
            <w:pPr>
              <w:spacing w:after="0"/>
              <w:rPr>
                <w:sz w:val="1"/>
                <w:szCs w:val="1"/>
                <w:color w:val="auto"/>
              </w:rPr>
            </w:pPr>
          </w:p>
        </w:tc>
      </w:tr>
      <w:tr>
        <w:trPr>
          <w:trHeight w:val="223"/>
        </w:trPr>
        <w:tc>
          <w:tcPr>
            <w:tcW w:w="79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2,626,984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2,721,430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202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980" w:type="dxa"/>
            <w:vAlign w:val="bottom"/>
          </w:tcPr>
          <w:p>
            <w:pPr>
              <w:spacing w:after="0"/>
              <w:rPr>
                <w:sz w:val="9"/>
                <w:szCs w:val="9"/>
                <w:color w:val="auto"/>
              </w:rPr>
            </w:pPr>
          </w:p>
        </w:tc>
        <w:tc>
          <w:tcPr>
            <w:tcW w:w="20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9"/>
                <w:szCs w:val="9"/>
                <w:color w:val="auto"/>
              </w:rPr>
            </w:pPr>
          </w:p>
        </w:tc>
        <w:tc>
          <w:tcPr>
            <w:tcW w:w="1040" w:type="dxa"/>
            <w:vAlign w:val="bottom"/>
            <w:gridSpan w:val="2"/>
            <w:vMerge w:val="restart"/>
          </w:tcPr>
          <w:p>
            <w:pPr>
              <w:ind w:left="10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9"/>
                <w:szCs w:val="9"/>
                <w:color w:val="auto"/>
              </w:rPr>
            </w:pPr>
          </w:p>
        </w:tc>
        <w:tc>
          <w:tcPr>
            <w:tcW w:w="1120" w:type="dxa"/>
            <w:vAlign w:val="bottom"/>
            <w:gridSpan w:val="2"/>
            <w:vMerge w:val="restart"/>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9"/>
                <w:szCs w:val="9"/>
                <w:color w:val="auto"/>
              </w:rPr>
            </w:pPr>
          </w:p>
        </w:tc>
        <w:tc>
          <w:tcPr>
            <w:tcW w:w="126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980" w:type="dxa"/>
            <w:vAlign w:val="bottom"/>
            <w:vMerge w:val="continue"/>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560,372</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share units, net of</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effect of stock awards vested and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declared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1,469,520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1,002,322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80" w:type="dxa"/>
            <w:vAlign w:val="bottom"/>
          </w:tcPr>
          <w:p>
            <w:pPr>
              <w:spacing w:after="0"/>
              <w:rPr>
                <w:sz w:val="16"/>
                <w:szCs w:val="16"/>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2"/>
                <w:szCs w:val="2"/>
                <w:color w:val="auto"/>
              </w:rPr>
            </w:pPr>
          </w:p>
        </w:tc>
        <w:tc>
          <w:tcPr>
            <w:tcW w:w="106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2"/>
                <w:szCs w:val="2"/>
                <w:color w:val="auto"/>
              </w:rPr>
            </w:pPr>
          </w:p>
        </w:tc>
        <w:tc>
          <w:tcPr>
            <w:tcW w:w="11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2"/>
                <w:szCs w:val="2"/>
                <w:color w:val="auto"/>
              </w:rPr>
            </w:pPr>
          </w:p>
        </w:tc>
        <w:tc>
          <w:tcPr>
            <w:tcW w:w="126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980" w:type="dxa"/>
            <w:vAlign w:val="bottom"/>
          </w:tcPr>
          <w:p>
            <w:pPr>
              <w:spacing w:after="0"/>
              <w:rPr>
                <w:sz w:val="8"/>
                <w:szCs w:val="8"/>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8"/>
                <w:szCs w:val="8"/>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(1,840,591)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525,146</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share units, net of</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effect of stock awards vested and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115,681</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declared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1,411,892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1,105,451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(1,840,591)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670,342</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5"/>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
        </w:trPr>
        <w:tc>
          <w:tcPr>
            <w:tcW w:w="8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47,330</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of rental merchandise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288,434</w:t>
            </w:r>
          </w:p>
        </w:tc>
      </w:tr>
      <w:tr>
        <w:trPr>
          <w:trHeight w:val="229"/>
        </w:trPr>
        <w:tc>
          <w:tcPr>
            <w:tcW w:w="8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Bad debt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r>
      <w:tr>
        <w:trPr>
          <w:trHeight w:val="230"/>
        </w:trPr>
        <w:tc>
          <w:tcPr>
            <w:tcW w:w="8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115,681</w:t>
            </w:r>
          </w:p>
        </w:tc>
      </w:tr>
      <w:tr>
        <w:trPr>
          <w:trHeight w:val="229"/>
        </w:trPr>
        <w:tc>
          <w:tcPr>
            <w:tcW w:w="8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of property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16,609</w:t>
            </w:r>
          </w:p>
        </w:tc>
      </w:tr>
      <w:tr>
        <w:trPr>
          <w:trHeight w:val="230"/>
        </w:trPr>
        <w:tc>
          <w:tcPr>
            <w:tcW w:w="8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sale or disposal of property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8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w:t>
            </w:r>
          </w:p>
        </w:tc>
      </w:tr>
      <w:tr>
        <w:trPr>
          <w:trHeight w:val="229"/>
        </w:trPr>
        <w:tc>
          <w:tcPr>
            <w:tcW w:w="8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30"/>
        </w:trPr>
        <w:tc>
          <w:tcPr>
            <w:tcW w:w="8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(129,065)</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acquired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Rental merchandise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(232,944)</w:t>
            </w:r>
          </w:p>
        </w:tc>
      </w:tr>
      <w:tr>
        <w:trPr>
          <w:trHeight w:val="230"/>
        </w:trPr>
        <w:tc>
          <w:tcPr>
            <w:tcW w:w="8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r>
      <w:tr>
        <w:trPr>
          <w:trHeight w:val="229"/>
        </w:trPr>
        <w:tc>
          <w:tcPr>
            <w:tcW w:w="8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30"/>
        </w:trPr>
        <w:tc>
          <w:tcPr>
            <w:tcW w:w="8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right-of-use assets and lease liabilities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8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(36,795)</w:t>
            </w:r>
          </w:p>
        </w:tc>
      </w:tr>
      <w:tr>
        <w:trPr>
          <w:trHeight w:val="229"/>
        </w:trPr>
        <w:tc>
          <w:tcPr>
            <w:tcW w:w="8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8,338</w:t>
            </w:r>
          </w:p>
        </w:tc>
      </w:tr>
      <w:tr>
        <w:trPr>
          <w:trHeight w:val="223"/>
        </w:trPr>
        <w:tc>
          <w:tcPr>
            <w:tcW w:w="8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105,417</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w:t>
            </w:r>
          </w:p>
        </w:tc>
      </w:tr>
      <w:tr>
        <w:trPr>
          <w:trHeight w:val="230"/>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businesses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8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(9,570)</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withheld for payment of employee tax withholdings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r>
      <w:tr>
        <w:trPr>
          <w:trHeight w:val="230"/>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debt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debt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(42,042)</w:t>
            </w:r>
          </w:p>
        </w:tc>
      </w:tr>
      <w:tr>
        <w:trPr>
          <w:trHeight w:val="229"/>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(25,515)</w:t>
            </w:r>
          </w:p>
        </w:tc>
      </w:tr>
      <w:tr>
        <w:trPr>
          <w:trHeight w:val="223"/>
        </w:trPr>
        <w:tc>
          <w:tcPr>
            <w:tcW w:w="8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(69,408)</w:t>
            </w:r>
          </w:p>
        </w:tc>
      </w:tr>
      <w:tr>
        <w:trPr>
          <w:trHeight w:val="229"/>
        </w:trPr>
        <w:tc>
          <w:tcPr>
            <w:tcW w:w="81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23"/>
        </w:trPr>
        <w:tc>
          <w:tcPr>
            <w:tcW w:w="8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w:t>
            </w: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144,141</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 w:name="page8"/>
    <w:bookmarkEnd w:id="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Upbound Group,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2023.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Nature of Operations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and any or all of its direct and indirect subsidiaries. We report four operating segments: Acima, Rent-A-Center, Mexico, and Franchising.</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Acima segment, which primarily operates in the United States and Puerto Rico, includes the operations of Acima Holdings and certain locations previously operating under our Acceptance Now brand and generally offers consumers who do not qualify for traditional financing the lease-to-own transaction through staffed or unstaffed kiosks located within third-party retailer locations or other virtual options. In virtual locations, customers, either directly or with the assistance of a representative of the third-party retailer, initiate the lease-to-own transaction online in the retailers’ locations using our virtual solutions.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Rent-A-Center segment consists of company-owned lease-to-own stores in the United States and Puerto Rico that lease household durable goods to customers through lease purchase agreements. We also offer merchandise on an installment sales basis in certain of our stores under the names “Get It Now” and “Home Choice” in Minnesota and Wisconsin. Our Rent-A-Center segment operates through our company-owned stores and e-commerce platforms through rentacenter.com, getitnowstores.com and homechoicestores.com.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Mexico segment consists of our company-owned stores in Mexico that lease household durable goods to customers on a lease-to-own basis.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Rent-A-Center Franchising International, Inc., an indirect wholly-owned subsidiary of Upbound Group, Inc., is a franchisor of lease-to-own stores. Our Franchising segment’s primary source of revenue is the sale of rental merchandise to our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Adopted Accounting Pronouncements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enhanced disclosures of significant segment expenses on a quarterly and annual basis and is intended to improve the transparency of reportable segment disclosures. Adoption of ASU 2023-07 was required for us beginning January 1, 2024 for our fiscal year ended December 31, 2024. We will include required disclosures in our annual reporting period ending December 31, 2024 and interim reporting periods beginning after December 31, 2024 using a retrospective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revenue for the periods ended March 31,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gridSpan w:val="1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0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 and fees</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 sales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merchandise sales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income and fees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561,346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1,095,967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1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0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 and fees</w:t>
            </w: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 sales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merchandise sales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income and fees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483,847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1,016,061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Purchase Agreements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Rentals and Fees. </w:t>
      </w:r>
      <w:r>
        <w:rPr>
          <w:rFonts w:ascii="Times New Roman" w:cs="Times New Roman" w:eastAsia="Times New Roman" w:hAnsi="Times New Roman"/>
          <w:sz w:val="18"/>
          <w:szCs w:val="18"/>
          <w:color w:val="auto"/>
        </w:rPr>
        <w:t>Rental merchandise is leased to customers pursuant to lease-to-own agreements, which provide for weekly, bi-weekly, semi-monthly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terms with non-refundable lease payments. At the expiration of each lease term, customers may renew the lease-to-own agreement for the next lease term. The customer has the right to acquire title of the merchandise either through an early purchase option or through payment of all required lease renewal terms. Customers can terminate the lease-to-own agreement and return the product at the end of any lease term without penalty. Therefore, lease-to-own agreements are accounted for as operating leases.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payments received at our Rent-A-Center stores, certain Acima locations formerly operating under the Acceptance Now brand, and Mexico stores must be prepaid in advance of the next lease renewal term. Under the Acima Holdings business model, in certain cases revenues may be earned prior to the lease payment due date, in which case revenue is accrued prior to receipt of the lease payment, net of estimated returns and uncollectible renewal payments. Under both models, rental revenue is recognized over the lease term. See Note 3 for additional information regarding accrued lease revenue.</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received for rental payments, including fees, prior to the period in which it should be recognized, is deferred and recognized according to the lease term. At March 31, 2024 and December 31, 2023, we had $69.3 million and $68.6 million, respectively, in deferred revenue included in accrued liabilities related to our lease-to-own agreements. Revenue related to various payment, reinstatement or late fees is recognized when paid by the customer at the point service is provided. Rental merchandise in our Rent-A-Center stores, certain Acima locations formerly operating under the Acceptance Now brand, and Mexico stores is depreciated using the income forecasting method and recognized in cost of rentals and fees in our Condensed Consolidated Statements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offer additional optional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waivers in the event eligible customers become unemployed. Customers renew product plans in conjunction with their lease term renewals, and can cancel the plans at any time. Revenue for product plans is recognized over the term of the plan. Costs incurred related to product plans are primarily recognized in cost of revenues.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Merchandise Sales. </w:t>
      </w:r>
      <w:r>
        <w:rPr>
          <w:rFonts w:ascii="Times New Roman" w:cs="Times New Roman" w:eastAsia="Times New Roman" w:hAnsi="Times New Roman"/>
          <w:sz w:val="18"/>
          <w:szCs w:val="18"/>
          <w:color w:val="auto"/>
        </w:rPr>
        <w:t>Merchandise sales include payments received for the exercise of the early purchase options offered through our lease-to-own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or merchandise sold through point-of-sale transactions. Revenue for merchandise sales is recognized when payment is received and ownership of the merchandise passes to the customer. The remaining net value of merchandise sold is recorded to cost of merchandise sold at the time of the transaction.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Installment Sales. </w:t>
      </w:r>
      <w:r>
        <w:rPr>
          <w:rFonts w:ascii="Times New Roman" w:cs="Times New Roman" w:eastAsia="Times New Roman" w:hAnsi="Times New Roman"/>
          <w:sz w:val="18"/>
          <w:szCs w:val="18"/>
          <w:color w:val="auto"/>
        </w:rPr>
        <w:t>Revenue from the sale of merchandise in our retail installment stores is recognized when the installment note is signed and control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has passed to the customer. The cost of merchandise sold through installment agreements is recognized in cost of installment sales at the time of the transaction. We offer optional extended service plans with our installment 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March 31, 2024 and December 31, 2023, we had $0.9 million and $1.1 million, respectively, in deferred revenue included in accrued liabilities related to extended service plans.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Franchise Merchandise Sales. </w:t>
      </w:r>
      <w:r>
        <w:rPr>
          <w:rFonts w:ascii="Times New Roman" w:cs="Times New Roman" w:eastAsia="Times New Roman" w:hAnsi="Times New Roman"/>
          <w:sz w:val="18"/>
          <w:szCs w:val="18"/>
          <w:color w:val="auto"/>
        </w:rPr>
        <w:t>Revenue from the sale of rental merchandise is recognized upon shipment of the merchandise to the franchisee.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Royalty Income and Fees. </w:t>
      </w:r>
      <w:r>
        <w:rPr>
          <w:rFonts w:ascii="Times New Roman" w:cs="Times New Roman" w:eastAsia="Times New Roman" w:hAnsi="Times New Roman"/>
          <w:sz w:val="18"/>
          <w:szCs w:val="18"/>
          <w:color w:val="auto"/>
        </w:rPr>
        <w:t>Franchise royalties, including franchisee contributions to corporate advertising funds, represent sales-based royalties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March 31, 2024 and December 31, 2023, we had $2.7 million and $3.0 million, respectively, in deferred revenue included in accrued liabilities related to franchise fees.</w:t>
      </w:r>
    </w:p>
    <w:p>
      <w:pPr>
        <w:spacing w:after="0" w:line="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 consists of revenue generated by other miscellaneous product plans offered to our rental and installment customers. Revenue for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plans is recognized in accordance with the terms of the applicable plan agreement.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Receivables and Allowance for Doubtful Accounts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optional services the customer has chosen, less the customer’s down payment. No interest is accrued and interest income is recognized each time a customer makes a payment, generally on a monthly basis. Interest payments received on installment agreements for each of the three months ended March 31, 2024 and 2023 was $2.7 million and $3.0 million, respectively.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corporate related receivables. Credit is extended to franchisees based on an evaluation of each franchisee’s financial condition and collateral is generally not required. Trade receivables are generally due within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Installment sales receivables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62,901</w:t>
            </w:r>
          </w:p>
        </w:tc>
      </w:tr>
      <w:tr>
        <w:trPr>
          <w:trHeight w:val="216"/>
        </w:trPr>
        <w:tc>
          <w:tcPr>
            <w:tcW w:w="77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Trade and notes receivables</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62,509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62,358</w:t>
            </w:r>
          </w:p>
        </w:tc>
      </w:tr>
      <w:tr>
        <w:trPr>
          <w:trHeight w:val="20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receivables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125,259</w:t>
            </w:r>
          </w:p>
        </w:tc>
      </w:tr>
      <w:tr>
        <w:trPr>
          <w:trHeight w:val="216"/>
        </w:trPr>
        <w:tc>
          <w:tcPr>
            <w:tcW w:w="77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Less allowance for doubtful accounts</w:t>
            </w:r>
            <w:r>
              <w:rPr>
                <w:rFonts w:ascii="Times New Roman" w:cs="Times New Roman" w:eastAsia="Times New Roman" w:hAnsi="Times New Roman"/>
                <w:sz w:val="21"/>
                <w:szCs w:val="21"/>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(14,254)</w:t>
            </w:r>
          </w:p>
        </w:tc>
      </w:tr>
      <w:tr>
        <w:trPr>
          <w:trHeight w:val="234"/>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receivables, net of allowance for doubtful accounts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108,413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111,005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80" w:right="20" w:hanging="172"/>
        <w:spacing w:after="0" w:line="223" w:lineRule="auto"/>
        <w:tabs>
          <w:tab w:leader="none" w:pos="133"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Trade and notes receivables includes accrued revenue, adjusted for the probability of collection, related to our lease-to-own agreements of $35.5 million and $36.8 million at March 31, 2024 and December 31, 2023, respectively.</w:t>
      </w:r>
    </w:p>
    <w:p>
      <w:pPr>
        <w:spacing w:after="0" w:line="1" w:lineRule="exact"/>
        <w:rPr>
          <w:rFonts w:ascii="Times New Roman" w:cs="Times New Roman" w:eastAsia="Times New Roman" w:hAnsi="Times New Roman"/>
          <w:sz w:val="16"/>
          <w:szCs w:val="16"/>
          <w:color w:val="auto"/>
          <w:vertAlign w:val="superscript"/>
        </w:rPr>
      </w:pPr>
    </w:p>
    <w:p>
      <w:pPr>
        <w:ind w:left="180" w:hanging="172"/>
        <w:spacing w:after="0" w:line="214" w:lineRule="auto"/>
        <w:tabs>
          <w:tab w:leader="none" w:pos="133"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in our Condensed Consolidated Statements of Operations.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recognized as contra-bad debt expense in our Condensed Consolidated Statements of Operations.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related to Franchising trade and notes receivables was $1.5 million and $1.2 million at March 31, 2024 and December 31, 2023, respectively, and the allowance for doubtful accounts related to installment sales receivables was $13.0 million at both March 31, 2024 and December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allowance for doubtful accounts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14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
        </w:trPr>
        <w:tc>
          <w:tcPr>
            <w:tcW w:w="9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allowance for doubtful accounts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14,254</w:t>
            </w:r>
          </w:p>
        </w:tc>
      </w:tr>
      <w:tr>
        <w:trPr>
          <w:trHeight w:val="216"/>
        </w:trPr>
        <w:tc>
          <w:tcPr>
            <w:tcW w:w="9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Bad debt expense</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5,532</w:t>
            </w:r>
          </w:p>
        </w:tc>
      </w:tr>
      <w:tr>
        <w:trPr>
          <w:trHeight w:val="213"/>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written off, net of recoveries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w:t>
            </w:r>
          </w:p>
        </w:tc>
      </w:tr>
      <w:tr>
        <w:trPr>
          <w:trHeight w:val="212"/>
        </w:trPr>
        <w:tc>
          <w:tcPr>
            <w:tcW w:w="9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Ending allowance for doubtful accounts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14,500</w:t>
            </w:r>
          </w:p>
        </w:tc>
      </w:tr>
      <w:tr>
        <w:trPr>
          <w:trHeight w:val="20"/>
        </w:trPr>
        <w:tc>
          <w:tcPr>
            <w:tcW w:w="9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Uncollectible installment payments, franchisee obligations, and other corporate receivables are recognized in non-labor operating expenses in our condensed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Income Taxes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effective tax rate was 15.0% for the three months ended March 31, 2024, compared to 175.4% for the corresponding period in 2023. The reduction in the effective tax rate for the three months ended March 31, 2024 was primarily attributable to a lower tax impact of stock compensation expense related to stock consideration issued to the former owners of Acima Holdings in the form of restricted stock awards compared to the prior year period, as well as a favorable adjustment related to foreign deferred tax assets. Please reference Note 8 for additional information regarding the recognition of these restricted stock awards in our condensed consolidated financial statements. For tax purposes, restricted stock awards subject to restricted stock agreements issued to the former owners of Acima Holdings were recorded as goodwill and are amortized over a period of 15 years from the date of acquisition.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Senior Debt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17, 2021, we entered into a credit agreement with JPMorgan Chase Bank, N.A., as administrative agent, and lenders party thereto, providing for a seven-year $875 million senior secured term loan facility (the “Term Loan Facility”) and an Asset Based Loan Credit Facility (the “ABL Credit Facility”)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bank financing fees and third party legal and other professional fees, of which $25.3 million was capitalized in accordance with ASC Topic 470, “Debt” and recorded as a reduction of our outstanding senior debt, net in our Condensed Consolidated Balance Sheets.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21, 2021 we entered into a First Amendment to the Term Loan Facility, effective as of September 21, 2021. The amendment effected a repricing of the applicable margin under the Term Loan Facility by reducing the LIBOR floor by 25 basis points from 0.75% to 0.50%, and the applicable margin, with respect to any initial term loans, by 75 basis points from 4.00% to 3.25%.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First Amendment, and in accordance with ASC Topic 470, “Debt”, we recorded approximately $5.4 million in write-offs of unamortized debt issuance costs and original issue discount previously capitalized upon the issuance of the Term Loan Facility on February 17, 2021.</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10, 2022, we entered into a First Amendment to the ABL Credit Facility, effective as of August 10, 2022. The amendment effected the replacement of LIBOR with Term Secured Overnight Financing Rate (“Term SOFR”) as the benchmark rate of interest thereunder.</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15, 2023, we entered into a Second Amendment to the Term Loan Facility, effective as of June 15, 2023. The amendment effected the replacement of LIBOR with Term SOFR as the benchmark rate of interest.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First Amendment to the ABL Credit Facility and the Second Amendment to the Term Loan Facility described above, we have elected optional expedients available under ASC Topic 848 “Reference Rate Reform”, which classifies contract amendments for the transition of LIBOR as events that do not require accounting reassessments as a contract modification.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total remaining balance of unamortized debt issuance costs and original issue discount related to our senior debt reported in the Condensed Consolidated Balance Sheets was approximately $11.5 million and $1.8 million, respectively. Remaining unamortized debt issuance costs and original issue discount will be amortized to interest expense over the remaining term of the Term Loan Facility.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$53.0 million in outstanding borrowings under our ABL Credit Facility at March 31, 2024 and borrowing capacity of $446.6 million, net of issued letters of credit of approximately $50.4 million. The amount outstanding under the Term Loan Facility was $808.9 million at March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Facility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ABL Credit Facility will mature on February 17, 2026.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ABL Credit Facility bears interest at a fluctuating rate determined by reference to an adjusted Term SOFR rate plus an applicable margin of 1.50% to 2.00%. The total interest rate on the ABL Credit Facility at March 31, 2024 was 7.44%. A commitment fee equal to 0.250% to 0.375% of the unused portion of the ABL Credit Facility fluctuates dependent upon average utilization for the prior month as defined by a pricing grid included in the governing documents of the ABL Credit Facility. The commitment fee at March 31, 2024 was 0.375%. We paid $0.7 million of commitment fees during the first quarter of 2024.</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under the ABL Credit Facility may be borrowed, repaid and re-borrowed until February 17, 2026, at which time all amounts borrowed must be repaid. 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ABL Credit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lease all or substantially all of our and our restricted subsidiaries’ assets, to another person; pay dividends or make other distributions on, or repurchase or redeem, our capital stock or certain other debt; and make other restricted payments.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ABL Credit Facility also requires the maintenance of a consolidated fixed charge coverage ratio of at least 1.10 to 1.00 at the end of each fiscal quarter only in the event either (i) certain specified events of default have occurred and are continuing or (ii) availability is less than or equal to the greater of $56.25 million and 15% of the line cap then in effect. These covenants are subject to a number of limitations and exceptions set forth in the governing documents of the ABL Credit Facility. The fixed charge coverage ratio as of March 31, 2024 exceeded 1.10 to 1.00.</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governing documents of the ABL Credit Facility provide for customary events of default, including, but not limited to, failure to pay principal and interest, failure to comply with covenants, agreements or conditions, and certain events of bankruptcy or insolvency involving us and our significant subsidiaries. As of March 31, 2024, we were in compliance with all requirements and conditions set forth in our ABL Credit Facility governing documents.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borrowings under the Term Loan Facility is payable at a fluctuating rate of interest determined by reference to an adjusted Term SOFR rate plus an applicable margin of 3.25%, subject to a 0.50% Term SOFR floor. The total interest rate on the Term Loan Facility was 9.12% at March 31,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subject to certain limitations described therein. These covenants are subject to a number of limitations and exceptions set forth in the governing documents of the Term Loan Facility.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our Consolidated Secured Leverage Ratio (as such term is defined in the Term Loan Facility credit agreement) exceeds 1:1, we are required to prepay the loans under the Term Loan Facility by a percentage of annual excess cash flow, as more fully described in the Term Loan Facility credit agreement. We made mandatory excess cash flow prepayments of approximately $42.6 million, including $0.6 million in accrued interest, in March 2023, relating to results for the year ended December 31, 2022.</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scheduled maturity dates of our outstanding senior debt at March 31, 2024 for each of the years ending December 31: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ABL Credit Facility</w:t>
            </w: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Term Loan Facility</w:t>
            </w:r>
            <w:r>
              <w:rPr>
                <w:rFonts w:ascii="Times New Roman" w:cs="Times New Roman" w:eastAsia="Times New Roman" w:hAnsi="Times New Roman"/>
                <w:sz w:val="18"/>
                <w:szCs w:val="18"/>
                <w:b w:val="1"/>
                <w:bCs w:val="1"/>
                <w:color w:val="auto"/>
                <w:vertAlign w:val="superscript"/>
              </w:rPr>
              <w:t>(1)</w:t>
            </w:r>
          </w:p>
        </w:tc>
        <w:tc>
          <w:tcPr>
            <w:tcW w:w="340" w:type="dxa"/>
            <w:vAlign w:val="bottom"/>
          </w:tcPr>
          <w:p>
            <w:pPr>
              <w:spacing w:after="0"/>
              <w:rPr>
                <w:sz w:val="18"/>
                <w:szCs w:val="18"/>
                <w:color w:val="auto"/>
              </w:rPr>
            </w:pPr>
          </w:p>
        </w:tc>
        <w:tc>
          <w:tcPr>
            <w:tcW w:w="120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808,896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808,896</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5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senior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808,896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861,896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Annual installment requirements were reduced by the amount of the excess cash flow payment described above, in accordance with the terms of the credit agreement governing the Term Loan Facility.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Senior Notes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17, 2021, we issued $450 million in senior unsecured notes all of which are due February 15, 2029, at par value, bearing interest at 6.375% (the “Notes”), the proceeds of which were used to fund a portion of the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Sheets. Debt issuance costs are amortized as interest expense over the term of the Notes. As of March 31, 2024, the total remaining balance of unamortized debt issuance costs related to our Notes reported in the Condensed Consolidated Balance Sheets was approximately $9.6 million.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unsecured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March 31, 2024 and December 31, 2023,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Notes is based on Level 1 inputs and was as follows at March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jc w:val="center"/>
              <w:ind w:right="26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20" w:type="dxa"/>
            <w:vAlign w:val="bottom"/>
          </w:tcPr>
          <w:p>
            <w:pPr>
              <w:spacing w:after="0"/>
              <w:rPr>
                <w:sz w:val="16"/>
                <w:szCs w:val="16"/>
                <w:color w:val="auto"/>
              </w:rPr>
            </w:pPr>
          </w:p>
        </w:tc>
        <w:tc>
          <w:tcPr>
            <w:tcW w:w="1740" w:type="dxa"/>
            <w:vAlign w:val="bottom"/>
          </w:tcPr>
          <w:p>
            <w:pPr>
              <w:jc w:val="center"/>
              <w:ind w:right="26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80" w:type="dxa"/>
            <w:vAlign w:val="bottom"/>
          </w:tcPr>
          <w:p>
            <w:pPr>
              <w:spacing w:after="0"/>
              <w:rPr>
                <w:sz w:val="16"/>
                <w:szCs w:val="16"/>
                <w:color w:val="auto"/>
              </w:rPr>
            </w:pPr>
          </w:p>
        </w:tc>
        <w:tc>
          <w:tcPr>
            <w:tcW w:w="164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435,375</w:t>
            </w:r>
          </w:p>
        </w:tc>
        <w:tc>
          <w:tcPr>
            <w:tcW w:w="48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(14,625)</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Gains and Charges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Acima Holdings Acquisition. </w:t>
      </w:r>
      <w:r>
        <w:rPr>
          <w:rFonts w:ascii="Times New Roman" w:cs="Times New Roman" w:eastAsia="Times New Roman" w:hAnsi="Times New Roman"/>
          <w:sz w:val="18"/>
          <w:szCs w:val="18"/>
          <w:color w:val="auto"/>
        </w:rPr>
        <w:t>On February 17, 2021, we completed the acquisition of Acima Holdings, a leading provider of virtual lease-to-own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aggregate consideration issued to the former owners of Acima Holdings were 8,096,595 common shares, valued at $414.1 million, subject to 36-month vesting conditions under restricted stock agreements, which were recognized over the vesting term as stock compensation expense, in accordance with ASC Topic 718, “Stock-based Compensation”. During the three months ended March 31, 2024 and 2023, we recognized approximately $4.9 million and $109.5 million in stock compensation expense, respectively, related to these restricted stock agreements. See Note 10 for additional information.</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assets acquired as part of the transaction included $520 million in intangible assets and $170 million in developed technology. During the three months ended March 31, 2024 and 2023, we recognized approximately $12.7 million and $14.2 million in amortization expense, respectively, related to acquired intangible assets. We also recognized approximately $3.9 million and $4.0 million in incremental depreciation expense related to acquired technology assets in during the three months ended March 31, 2024 and 2023, respectively.</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Internally Developed Software Depreciation. </w:t>
      </w:r>
      <w:r>
        <w:rPr>
          <w:rFonts w:ascii="Times New Roman" w:cs="Times New Roman" w:eastAsia="Times New Roman" w:hAnsi="Times New Roman"/>
          <w:sz w:val="18"/>
          <w:szCs w:val="18"/>
          <w:color w:val="auto"/>
        </w:rPr>
        <w:t>During the third quarter of 2023, we completed initial development and began pilot testing a new internally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point-of-sale system for our Rent-A-Center lease-to-own stores. We expect to fully deploy the new system across our lease-to-own store network during 2024, at which time our existing point-of-sale software will be retired. Therefore, in the third quarter of 2023, we accelerated the remaining useful lives of our existing point-of-sale software assets to align with the current deployment timeline of our new point-of-sale system, which resulted in the recognition of additional depreciation expense of $4.6 million for the three months ended March 31, 2024. Subsequent to March 31, 2024 we expect to recognize additional depreciation expense of $1.5 million over the remaining life of these assets.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Other gains and charges is summarized in the below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Acima acquired assets depreciation and amortization</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Acima equity consideration vesting</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software depreciation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gains and charges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26,796</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127,570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80" w:hanging="172"/>
        <w:spacing w:after="0" w:line="233" w:lineRule="auto"/>
        <w:tabs>
          <w:tab w:leader="none" w:pos="146"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Represents amortization of the total fair value of acquired intangible assets and incremental depreciation related to the fair value increase over net book value of acquired software assets in connection with the acquisition of Acima Holdings in 2021.</w:t>
      </w:r>
    </w:p>
    <w:p>
      <w:pPr>
        <w:ind w:left="180" w:hanging="172"/>
        <w:spacing w:after="0" w:line="214" w:lineRule="auto"/>
        <w:tabs>
          <w:tab w:leader="none" w:pos="133"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Represents stock compensation expense related to common stock issued to Acima Holdings employees under restricted stock agreements as part of the acquisition proceeds subject to vesting restrictions, as described in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Within our operating segments, we offer merchandise for lease from certain basic product categories, such as: furniture, including mattresses; tires; consumer electronics; appliances; tools; handbags; computers; smartphones; and accessories.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as of and for the three months ended March 31, 2024 and 2023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20" w:type="dxa"/>
            <w:vAlign w:val="bottom"/>
            <w:tcBorders>
              <w:bottom w:val="single" w:sz="8" w:color="CCEEFF"/>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485,753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Franchising</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1,095,967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1,016,061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2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20" w:type="dxa"/>
            <w:vAlign w:val="bottom"/>
            <w:tcBorders>
              <w:bottom w:val="single" w:sz="8" w:color="CCEEFF"/>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Franchising</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529,068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506,264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2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400" w:type="dxa"/>
            <w:vAlign w:val="bottom"/>
          </w:tcPr>
          <w:p>
            <w:pPr>
              <w:jc w:val="right"/>
              <w:ind w:right="232"/>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32"/>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Franchising</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segments</w:t>
            </w:r>
          </w:p>
        </w:tc>
        <w:tc>
          <w:tcPr>
            <w:tcW w:w="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profit (loss)</w:t>
            </w:r>
          </w:p>
        </w:tc>
        <w:tc>
          <w:tcPr>
            <w:tcW w:w="400" w:type="dxa"/>
            <w:vAlign w:val="bottom"/>
          </w:tcPr>
          <w:p>
            <w:pPr>
              <w:jc w:val="right"/>
              <w:ind w:right="232"/>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32"/>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80" w:hanging="172"/>
        <w:spacing w:after="0" w:line="234" w:lineRule="auto"/>
        <w:tabs>
          <w:tab w:leader="none" w:pos="133"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stock compensation expense of $4.9 million and $109.5 million recognized for the three months ended March 31, 2024 and 2023, respectively, related to common stock issued to Acima Holdings employees under restricted stock agreements as part of the acquisition consideration subject to vesting restrictions as described in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Acima</w:t>
            </w:r>
            <w:r>
              <w:rPr>
                <w:rFonts w:ascii="Times New Roman" w:cs="Times New Roman" w:eastAsia="Times New Roman" w:hAnsi="Times New Roman"/>
                <w:sz w:val="23"/>
                <w:szCs w:val="23"/>
                <w:color w:val="auto"/>
                <w:vertAlign w:val="superscript"/>
              </w:rPr>
              <w:t>(1)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(2)</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0" w:type="dxa"/>
            <w:vAlign w:val="bottom"/>
          </w:tcPr>
          <w:p>
            <w:pPr>
              <w:spacing w:after="0"/>
              <w:rPr>
                <w:sz w:val="1"/>
                <w:szCs w:val="1"/>
                <w:color w:val="auto"/>
              </w:rPr>
            </w:pP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80" w:hanging="172"/>
        <w:spacing w:after="0" w:line="223" w:lineRule="auto"/>
        <w:tabs>
          <w:tab w:leader="none" w:pos="133"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Excludes amortization expense of approximately $12.7 million and $14.2 million for the three months ended March 31, 2024 and 2023, respectively, recorded to Other gains and charges in the Condensed Consolidated Statements of Operations, related to intangible assets acquired upon closing of the Acima Holdings acquisition. See Note 8 for additional information.</w:t>
      </w:r>
    </w:p>
    <w:p>
      <w:pPr>
        <w:spacing w:after="0" w:line="1" w:lineRule="exact"/>
        <w:rPr>
          <w:rFonts w:ascii="Times New Roman" w:cs="Times New Roman" w:eastAsia="Times New Roman" w:hAnsi="Times New Roman"/>
          <w:sz w:val="16"/>
          <w:szCs w:val="16"/>
          <w:color w:val="auto"/>
          <w:vertAlign w:val="superscript"/>
        </w:rPr>
      </w:pPr>
    </w:p>
    <w:p>
      <w:pPr>
        <w:ind w:left="180" w:hanging="172"/>
        <w:spacing w:after="0" w:line="214" w:lineRule="auto"/>
        <w:tabs>
          <w:tab w:leader="none" w:pos="133"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Excludes depreciation expense of approximately $8.5 million and $4.0 million for the three months ended March 31, 2024 and 2023, respectively, recorded to Other gains and charges in the Condensed Consolidated Statements of Operations, related to software acquired upon closing of the Acima Holdings acquisition and accelerated software depreciation. See Note 8 for additional information.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7"/>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Franchising</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segments</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2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rent rental merchandise,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577,865</w:t>
            </w: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606,912</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453,970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478,774</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24,546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24,210</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on rent rental merchandise, net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1,056,381</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1,109,896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for rent rental merchandise,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121,449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112,129</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10,649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11,540</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held for rent rental merchandise, net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132,098</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124,167</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by segment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1,180,078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1,221,845</w:t>
            </w: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1,061,107</w:t>
            </w: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57,347</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Franchising</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18,023</w:t>
            </w:r>
          </w:p>
        </w:tc>
      </w:tr>
      <w:tr>
        <w:trPr>
          <w:trHeight w:val="22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2,278,219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2,358,322</w:t>
            </w: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363,108</w:t>
            </w:r>
          </w:p>
        </w:tc>
      </w:tr>
      <w:tr>
        <w:trPr>
          <w:trHeight w:val="22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2,626,984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2,721,430</w:t>
            </w:r>
          </w:p>
        </w:tc>
      </w:tr>
      <w:tr>
        <w:trPr>
          <w:trHeight w:val="21"/>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 and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There were no repurchases of our common stock during the three months ended March 31, 2024 and 2023, and approximately $235.0 million remains available for repurchases under the current authorization at March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$7.0 million and $6.2 million in compensation expense related to stock awards issued under the Upbound Group, Inc. Amended 2021 Long-Term Incentive Plan (the “2021 Plan”) and 2016 Long-Term Incentive Plan (the “2016 Plan”) during the three months ended March 31, 2024 and 2023, respectively. During the three months ended March 31, 2024, we granted 494,944 market-based performance units and 261,475 time-vesting units under the 2021 Plan. Performance-based restricted stock units are valued 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three months ended March 31, 2024 was $38.44 and $33.81, respectively.</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Acima Holdings, LLC in 2021, we issued to the former owners of Acima Holdings 10,779,923 of common shares valued at $51.14 per share, as of the date of closing. Of this total, 2,683,328 common shares were included in the aggregate purchase price of the transaction for financial reporting purposes, while 8,096,595 common shares, valued at $414.1 million, issued under restricted stock agreements and subject to vesting conditions, were recognized as stock compensation expense over the vesting term in accordance with ASC Topic 718, “Stock-based Compensation” and recorded to Other gains and charges in our unaudited Condensed Consolidated Statements of Operations. We recognized $4.9 million and $109.5 million in stock compensation expense related to these restricted stock agreements during the three months ended March 31, 2024 and 2023, respectively. Stock compensation expense recognized during the three months ended March 31, 2023 for these restricted stock agreements included $78.4 million attributable to the acceleration of vesting provisions, primarily related to former employee and Acima founder Aaron Allred's transition from Executive Vice President of Acima to an advisory role in early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Contingencies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along with our subsidiaries, are party to various legal proceedings and governmental inquiries arising in the ordinary course of business. We regularly monitor developments related to these legal proceedings and governmental inquiries, review the adequacy of our legal reserves on a quarterly basis, and reserve for loss contingencies that we determine are both probable and reasonably estimable. Although we have not determined that any of these matters will have a material impact on our consolidated financial statements, we cannot predict the impact of future developments or provide assurances that a resolution of any such matter would not have a material and adverse impact during a future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w:t>
      </w:r>
    </w:p>
    <w:p>
      <w:pPr>
        <w:spacing w:after="0" w:line="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Unclaimed Property. </w:t>
      </w:r>
      <w:r>
        <w:rPr>
          <w:rFonts w:ascii="Times New Roman" w:cs="Times New Roman" w:eastAsia="Times New Roman" w:hAnsi="Times New Roman"/>
          <w:sz w:val="18"/>
          <w:szCs w:val="18"/>
          <w:color w:val="auto"/>
        </w:rPr>
        <w:t>We are subject to unclaimed property audits by states in the ordinary course of business. The property subject to review in the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includes unclaimed wages, vendor payments and customer refunds. State escheat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Consumer Financial Protection Bureau ("CFPB") Investigation. </w:t>
      </w:r>
      <w:r>
        <w:rPr>
          <w:rFonts w:ascii="Times New Roman" w:cs="Times New Roman" w:eastAsia="Times New Roman" w:hAnsi="Times New Roman"/>
          <w:sz w:val="18"/>
          <w:szCs w:val="18"/>
          <w:color w:val="auto"/>
        </w:rPr>
        <w:t>In December 2020, prior to the execution of the definitive agreement to acquire Acima,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Acima received a Civil Investigative Demand dated October 1, 2020 (the “CID”) from the CFPB requesting certain information, documents and data relating to Acima’s products, services and practices for the period from January 1, 2015 to the date on which responses to the CID are provided in full. The purpose of the CID was to determine whether Acima extends credit, offers leases, or otherwise offers or provides a consumer financial product or service and whether Acima complies with certain consumer financial protection laws. After the original CID, the CFPB issued subsequent CIDs requesting further information, documents and testimony. Acima has completed its responses to all CIDs and has been cooperating with the CFPB throughout their investigation.</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16, 2023, in accordance with the CFPB’s Notice and Opportunity to Respond and Advise (“NORA”) process, the CFPB staff notified Acima that the staff may allege that Acima violated the Consumer Financial Protection Act of 2010; the Truth in Lending Act and its implementing regulation, Regulation Z; the Electronic Fund Transfer Act and its implementing regulation, Regulation E; and the Fair Credit Reporting Act and its implementing regulation, Regulation V. The CFPB staff further stated that the CFPB’s Office of Enforcement may recommend that the CFPB take legal action against Acima based on these potential allegations, and, in connection therewith, the staff may seek remedies including restitution, disgorgement, damages, injunctive relief, and civil money penalties. On June 20, 2023, Acima submitted its response to the NORA notice, in which Acima asserted that the staff’s potential allegations lacked merit.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Quarterly Report on Form 10-Q, we have not yet received the CFPB’s response to Acima's submission in accordance with the NORA process. We are currently unable to predict the CFPB’s response to the NORA process or the ultimate timing or outcome of the CFPB investigation or any legal proceedings arising therefrom.</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definitive agreement to acquire Acima, the former owners of Acima agreed to indemnify Upbound Group, Inc. for certain losses arising after the consummation of the transaction with respect to the CID. The indemnification obligations of the former owners of Acima with respect to the CID are limited to the remaining amount of an indemnity holdback which is now approximately $45 million of a $50 million initial holdback escrowed at the closing of the transaction for the CID and other matters and will be Upbound Group, Inc.’s sole recourse against the former owners of Acima with respect to all of the indemnifiable claims under the definitive transaction agreement. On May 19, 2023, in light of the above-referenced NORA notice, we submitted an indemnification claim notice pursuant to the definitive agreement to acquire Acima.</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remaining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settlements or changes to Acima’s business practices or operations that could materially and adversely affect our business, financial condition, results of operations or reputation.</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Multi-State Attorneys' General Investigation. </w:t>
      </w:r>
      <w:r>
        <w:rPr>
          <w:rFonts w:ascii="Times New Roman" w:cs="Times New Roman" w:eastAsia="Times New Roman" w:hAnsi="Times New Roman"/>
          <w:sz w:val="18"/>
          <w:szCs w:val="18"/>
          <w:color w:val="auto"/>
        </w:rPr>
        <w:t>On November 1, 2021, Acima received a letter from the Nebraska Attorney General’s office stating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Attorney 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with officials at the lead attorneys' general offices and, based on those discussions, it is our understanding that the investigation is looking at business practices within the virtual lease-to-own industry and includes or will include multiple companies. In April 2022, we received a request for information and documents. In March 2024, the multi-state attorneys' general group presented their findings and allegations from their investigation to Acima. Acima is currently in the process of submitting a response to the multi-state attorneys' general group regarding such findings and allegations. We are currently unable to predict the eventual timing or outcome of this matter, any future discussions with the multi-state attorneys' general group regarding the resolution of this matter or any legal proceedings arising from this matter.</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New York Attorney General Investigation. </w:t>
      </w:r>
      <w:r>
        <w:rPr>
          <w:rFonts w:ascii="Times New Roman" w:cs="Times New Roman" w:eastAsia="Times New Roman" w:hAnsi="Times New Roman"/>
          <w:sz w:val="18"/>
          <w:szCs w:val="18"/>
          <w:color w:val="auto"/>
        </w:rPr>
        <w:t>The New York Attorney General (the “NYAG”) issued a subpoena to our Acima subsidiary in January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information with respect to various business practices in connection with Acima’s lease-to-own transactions. Acima received additional subpoenas from the NYAG in August 2021 and July 2023. Since receiving the subpoenas, we have cooperated with the NYAG in connection with its investigation. In March 2023, the NYAG provided Acima with an initial proposed assurance of discontinuance alleging violations of certain consumer laws, seeking injunctive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relief regarding certain business practices, and seeking payment of unspecified amounts for restitution and civil penalties. Acima is currently discussing resolution of this matter with the NYAG. Absent resolution, the NYAG has indicated an intention to bring an action which is likely to allege violations of certain consumer laws, seek injunctive relief regarding certain business practices, and request restitution and civil penalties. We are currently unable to predict the ultimate timing or outcome of the NYAG investigation, the current settlement negotiations or any legal proceedings arising from this matter.</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McBurnie Litigation. </w:t>
      </w:r>
      <w:r>
        <w:rPr>
          <w:rFonts w:ascii="Times New Roman" w:cs="Times New Roman" w:eastAsia="Times New Roman" w:hAnsi="Times New Roman"/>
          <w:sz w:val="18"/>
          <w:szCs w:val="18"/>
          <w:color w:val="auto"/>
        </w:rPr>
        <w:t>We are a defendant in a putative class action entitled</w:t>
      </w:r>
      <w:r>
        <w:rPr>
          <w:rFonts w:ascii="Times New Roman" w:cs="Times New Roman" w:eastAsia="Times New Roman" w:hAnsi="Times New Roman"/>
          <w:sz w:val="18"/>
          <w:szCs w:val="18"/>
          <w:i w:val="1"/>
          <w:iCs w:val="1"/>
          <w:color w:val="auto"/>
        </w:rPr>
        <w:t xml:space="preserve"> McBurnie, et al. v. Acceptance Now, LLC</w:t>
      </w:r>
      <w:r>
        <w:rPr>
          <w:rFonts w:ascii="Times New Roman" w:cs="Times New Roman" w:eastAsia="Times New Roman" w:hAnsi="Times New Roman"/>
          <w:sz w:val="18"/>
          <w:szCs w:val="18"/>
          <w:color w:val="auto"/>
        </w:rPr>
        <w:t>, brought on behalf of individuals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rental purchase agreement with the Company’s Acceptance Now business in California and were charged a processing fee and/or an expedited fee. Plaintiffs allege that the fees they were charged were neither “reasonable” nor “actually incurred” in violation of the Karnette Rental-Purchase Act and other California state consumer protection laws. Plaintiffs seek unspecified actual damages pursuant to the Karnette Rental-Purchase Act; statutory damages pursuant to the Karnette Rental-Purchase Act; attorneys’ fees and costs; exemplary damages; and public injunctions for alleged violations of the Karnette Rental-Purchase Act, the California Consumers Legal Remedies Act, and California unfair competition laws. The action is currently pending in the United States District Court for the Northern District of California. On November 30, 2022, the District Court denied our motion to compel arbitration, and in December 2022, we filed an interlocutory appeal of that denial with the United States Court of Appeals for the Ninth Circuit, pending which the District Court proceedings were stayed. On March 14, 2024, the Court of Appeals affirmed the District Court’s denial of our motion to compel arbitration and its finding that plaintiffs’ challenge to the processing fee was not moot, while remanding the action to the District Court to consider whether plaintiffs have standing to challenge the expedited payment fee. We intend to continue to vigorously defend this case. We are currently unable to predict the eventual timing or outcome of this litigation.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basic and diluted earnings per common share were calculated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6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55,157</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Effect of dilutive stock awards</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23"/>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dilutive shares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55,815</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56,437</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common share</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securities excluded from diluted earnings per common share:</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Anti-dilutive restricted share units</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0"/>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Anti-dilutive performance share units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Anti-dilutive stock options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80" w:hanging="172"/>
        <w:spacing w:after="0" w:line="225" w:lineRule="auto"/>
        <w:tabs>
          <w:tab w:leader="none" w:pos="148"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Weighted-average dilutive shares outstanding for the three months ended March 31, 2023, includes approximately 0.7 million common shares, issued in connection with the acquisition of Acima Holdings and subject to vesting conditions under restricted stock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as a whole and of our segments, our growth strategies, our expectations, plans and strategy relating to our capital structure and capital allocation, including any share repurchases under our share repurchase program, and other statements that are not historical facts.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in our Annual Report on Form 10-K for the year ended December 31, 2023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30" w:lineRule="exact"/>
        <w:rPr>
          <w:sz w:val="20"/>
          <w:szCs w:val="20"/>
          <w:color w:val="auto"/>
        </w:rPr>
      </w:pPr>
    </w:p>
    <w:p>
      <w:pPr>
        <w:jc w:val="both"/>
        <w:ind w:left="660" w:hanging="166"/>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strength of the economy and other economic conditions affecting consumer preferences and spending, including the availability of credit to our target consumers and to other consumers, impacts from continued inflation, central bank monetary policy initiatives to address inflation concerns, and a possible recession or slowdown in economic growth;</w:t>
      </w:r>
    </w:p>
    <w:p>
      <w:pPr>
        <w:spacing w:after="0" w:line="1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disposable income available to our current and potential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unemployment rate;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 conditions, including changes in interest rates and availability of funding sources for us;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encountered in improving the financial and operational performance of our business segments;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pricing, value proposition and other changes and strategies being deployed in our businesses;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effectively execute our strategic initiatives, including mitigating risks associated with any potential mergers and acquisitions, or refranchising opportunities;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acquisition candidates, complete acquisitions and successfully integrate acquired companies;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our operating labor and non-labor operating expenses, including merchandise losses;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the operation of our information management systems or disruptions in the systems of our host retailers;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virtual lease-to-own business, including our ability to continue to develop and successfully implement the necessary technologies;</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benefits expected from our integrated virtual and staffed retail partner offering and to successfully grow this business segment;</w:t>
      </w:r>
    </w:p>
    <w:p>
      <w:pPr>
        <w:spacing w:after="0" w:line="1" w:lineRule="exact"/>
        <w:rPr>
          <w:rFonts w:ascii="Times New Roman" w:cs="Times New Roman" w:eastAsia="Times New Roman" w:hAnsi="Times New Roman"/>
          <w:sz w:val="18"/>
          <w:szCs w:val="18"/>
          <w:color w:val="auto"/>
        </w:rPr>
      </w:pPr>
    </w:p>
    <w:p>
      <w:pPr>
        <w:ind w:left="660" w:hanging="166"/>
        <w:spacing w:after="0" w:line="28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potential operating margin degradation due to the higher cost of merchandise and higher merchandise losses in our Acima segment compared to our Rent-A-Center segment;</w:t>
      </w:r>
    </w:p>
    <w:p>
      <w:pPr>
        <w:spacing w:after="0" w:line="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transition to more-readily scalable “cloud-based” solutions;</w:t>
      </w:r>
    </w:p>
    <w:p>
      <w:pPr>
        <w:spacing w:after="0" w:line="63" w:lineRule="exact"/>
        <w:rPr>
          <w:rFonts w:ascii="Times New Roman" w:cs="Times New Roman" w:eastAsia="Times New Roman" w:hAnsi="Times New Roman"/>
          <w:sz w:val="18"/>
          <w:szCs w:val="18"/>
          <w:i w:val="1"/>
          <w:iCs w:val="1"/>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implement digital or E-commerce capabilities, including mobile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proprietary intellectual property;</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host retailers to protect the integrity and security of customer, employee, supplier and host retailer information, which may be adversely affected by hacking, computer viruses, or similar disruptions;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 or other intangible assets;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or disruptions in, our distribution network;</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inflation or deflation in the prices of our products and other related costs;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product safety and quality control issues, including recalls;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as well as the effectiveness of, store consolidations, including our ability to retain the revenue from customer accounts merged into another store location as a result of a store consolidation;</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cash flow and our ability to generate sufficient cash flow to continue paying dividends;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traditional competitors, virtual lease-to-own competitors, online retailers, Buy-Now-Pay-Later and other fintech companies and other competitors, including subprime lenders;</w:t>
      </w:r>
    </w:p>
    <w:p>
      <w:pPr>
        <w:spacing w:after="0" w:line="1" w:lineRule="exact"/>
        <w:rPr>
          <w:rFonts w:ascii="Times New Roman" w:cs="Times New Roman" w:eastAsia="Times New Roman" w:hAnsi="Times New Roman"/>
          <w:sz w:val="18"/>
          <w:szCs w:val="18"/>
          <w:color w:val="auto"/>
        </w:rPr>
      </w:pPr>
    </w:p>
    <w:p>
      <w:pPr>
        <w:ind w:left="660" w:right="20" w:hanging="166"/>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market products and services that appeal to our current and future targeted customer segments and to accurately estimate the size of the total addressable market;</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perceptions of our brands;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provide consumers with additional products and services beyond lease-to-own, including through third-party partnerships;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revenue associated with acquired customer accounts and enhance the performance of acquired stores;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rental or lease purchase agreements and collect on our existing rental or lease purchase agreements;</w:t>
      </w:r>
    </w:p>
    <w:p>
      <w:pPr>
        <w:spacing w:after="0" w:line="63" w:lineRule="exact"/>
        <w:rPr>
          <w:rFonts w:ascii="Times New Roman" w:cs="Times New Roman" w:eastAsia="Times New Roman" w:hAnsi="Times New Roman"/>
          <w:sz w:val="18"/>
          <w:szCs w:val="18"/>
          <w:color w:val="auto"/>
        </w:rPr>
      </w:pPr>
    </w:p>
    <w:p>
      <w:pPr>
        <w:jc w:val="both"/>
        <w:ind w:left="660" w:hanging="166"/>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the enforcement of existing laws and regulations and the enactment of new laws and regulations adversely affecting our business, including in connection with the regulatory matters described in Note 11 to our condensed consolidated financial statements included in this Quarterly Report on Form 10-Q, and any legislative or other regulatory enforcement efforts that seek to re-characterize store-based or virtual lease-to-own transactions as credit sales and to apply consumer credit laws and regulations to our business;</w:t>
      </w:r>
    </w:p>
    <w:p>
      <w:pPr>
        <w:spacing w:after="0" w:line="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statutes or regulations governing our businesses;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policies;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economic conditions of the industries, countries or markets that we serve;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data security costs;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breaches in data security or other disturbances to our information technology and other networks;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relating to self-insurance liabilities and income tax and litigation reserves, including in connection with the regulatory and litigation matters described in Note 11 to our condensed consolidated financial statements included in this Quarterly Report on Form 10-Q;</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proceedings to which we are or may be a party to from time to time; and</w:t>
      </w:r>
    </w:p>
    <w:p>
      <w:pPr>
        <w:spacing w:after="0" w:line="63" w:lineRule="exact"/>
        <w:rPr>
          <w:rFonts w:ascii="Times New Roman" w:cs="Times New Roman" w:eastAsia="Times New Roman" w:hAnsi="Times New Roman"/>
          <w:sz w:val="18"/>
          <w:szCs w:val="18"/>
          <w:color w:val="auto"/>
        </w:rPr>
      </w:pPr>
    </w:p>
    <w:p>
      <w:pPr>
        <w:ind w:left="660" w:right="20" w:hanging="166"/>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detailed from time to time in our reports furnished or filed with the United States Securities and Exchange Commission (the “SEC”).</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Additional important factors that could cause our actual results to differ materially from our expectations are discussed under the section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December 31, 2023 and elsewhere in this Quarterly Report on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leading lease-to-own provider with operations in the United States, Puerto Rico and Mexico. We provide a critical service for underserved consumers by providing them with access to, and the opportunity to obtain ownership of, high-quality, name brand durable products under a flexible lease-purchase agreement with no long-term debt obligation. Our Acima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offers lease-to-own solutions through retailers in stores and online enabling such retailers to grow sales by expanding their customer base utilizing our differentiated offering and allowing customers to access our flexible lease-to-own solutions at thousands of retailers and to lease a wide range of durable products. Through our Rent-A-Center segment, we provide a fully integrated customer experience through our e-commerce platform and brick and mortar presence in local communities around the country. We were incorporated in the State of Delaware in 1986, and our common stock is traded on the Nasdaq Global Select Market under the ticker symbol “UPBD.”</w:t>
      </w:r>
    </w:p>
    <w:p>
      <w:pPr>
        <w:spacing w:after="0" w:line="125" w:lineRule="exact"/>
        <w:rPr>
          <w:sz w:val="20"/>
          <w:szCs w:val="20"/>
          <w:color w:val="auto"/>
        </w:rPr>
      </w:pPr>
    </w:p>
    <w:p>
      <w:pPr>
        <w:jc w:val="right"/>
        <w:ind w:right="968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jc w:val="right"/>
        <w:ind w:right="9620"/>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strategy is focused on achieving our mission to elevate financial opportunity for all and growing our business through emphasis on the following key initiatives:</w:t>
      </w:r>
    </w:p>
    <w:p>
      <w:pPr>
        <w:spacing w:after="0" w:line="1" w:lineRule="exact"/>
        <w:rPr>
          <w:sz w:val="20"/>
          <w:szCs w:val="20"/>
          <w:color w:val="auto"/>
        </w:rPr>
      </w:pPr>
    </w:p>
    <w:p>
      <w:pPr>
        <w:ind w:left="660" w:hanging="166"/>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penetration with current Acima merchants and build on our strength with small to medium size businesses while also adding new national and regional merchants to our platform and expanding our direct-to-consumer channels;</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Rent-A-Center, accelerate the shift to e-commerce, improve the fully integrated omni-channel customer experience and expand product categories, which we expect will increase brand awareness and customer loyalty;</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data analytics capabilities to attract new customers, approve more customers and mitigate risk across business segments;</w:t>
      </w:r>
    </w:p>
    <w:p>
      <w:pPr>
        <w:spacing w:after="0" w:line="63" w:lineRule="exact"/>
        <w:rPr>
          <w:rFonts w:ascii="Times New Roman" w:cs="Times New Roman" w:eastAsia="Times New Roman" w:hAnsi="Times New Roman"/>
          <w:sz w:val="18"/>
          <w:szCs w:val="18"/>
          <w:color w:val="auto"/>
        </w:rPr>
      </w:pPr>
    </w:p>
    <w:p>
      <w:pPr>
        <w:ind w:left="660" w:right="20" w:hanging="166"/>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and integrate technology platforms to allow for a more simplified and seamless consumer experience, merchant and third-party waterfall integration and consumer transaction process and coworker efficiency;</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market opportunities and enhance our competitive position across both traditional and virtual lease-to-own solutions, and implement complementary products and services that supplement our current offerings and provide our customers more financial alternatives; and</w:t>
      </w:r>
    </w:p>
    <w:p>
      <w:pPr>
        <w:spacing w:after="0" w:line="1"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centers of excellence that will be leveraged across the organization to support our various business segments, utilizing best practices to drive efficiency and growth.</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we pursue our strategy, we have taken, and may in the future take, advantage of joint venture, partnership, or merger and acquisition opportunities from time to time that advance our key initiatives and elevate the financial mobility of underserved consumers.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w:t>
      </w:r>
      <w:r>
        <w:rPr>
          <w:rFonts w:ascii="Times New Roman" w:cs="Times New Roman" w:eastAsia="Times New Roman" w:hAnsi="Times New Roman"/>
          <w:sz w:val="18"/>
          <w:szCs w:val="18"/>
          <w:color w:val="auto"/>
        </w:rPr>
        <w:t>On March 22, 2024, we announced that our board of directors approved a quarterly cash dividend of $0.37 per share for the second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dividend was paid on April 22, 2024 to our common stockholders of record as of the close of business on April 3, 2024.</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Operational Trends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Macroeconomic Conditions. </w:t>
      </w:r>
      <w:r>
        <w:rPr>
          <w:rFonts w:ascii="Times New Roman" w:cs="Times New Roman" w:eastAsia="Times New Roman" w:hAnsi="Times New Roman"/>
          <w:sz w:val="18"/>
          <w:szCs w:val="18"/>
          <w:color w:val="auto"/>
        </w:rPr>
        <w:t>In recent years, we have experienced significant change in our business and operational trends driven by macroeconomic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which have directly impacted our customers as well as our operations, including significant changes in the U.S. consumer price index, changes in demand for certain consumer retail categories, changes in consumer payment behaviors, a condensed labor market, which has also contributed to wage inflation, rapid increases in interest rates, and global supply chain disruptions resulting in reduced product availability and rising product costs.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lease-to-own industry has historically remained a resilient business model throughout various economic cycles, the full extent to which our risk management strategy and these macroeconomic trends (including consumer spending and payment behavior) may impact our business in future periods is uncertain. The continuation of negative and volatile macroeconomic trends may have a material adverse impact on our financial statements, including our results of operations, operating cash flows, liquidity and capital resources.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“Risk Factors” in Part I, Item 1A in our Annual Report on Form 10-K for the year ended December 31, 2023, for additional discussion of impacts to our business and additional risks associated with macroeconomic conditions.</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Rent-A-Center E-commerce revenue. </w:t>
      </w:r>
      <w:r>
        <w:rPr>
          <w:rFonts w:ascii="Times New Roman" w:cs="Times New Roman" w:eastAsia="Times New Roman" w:hAnsi="Times New Roman"/>
          <w:sz w:val="18"/>
          <w:szCs w:val="18"/>
          <w:color w:val="auto"/>
        </w:rPr>
        <w:t>In recent years, e-commerce revenues have continued to increase as a percentage of total rentals and fees revenue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Rent-A-Center segment. For the three months ended March 31, 2024, e-commerce revenues represented approximately 26% of total lease-to-own revenues compared to approximately 25% for the three months ended March 31, 2023.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commerce transactions. In addition, the profitability of e-commerce transactions can be impacted by different merchandise loss factors compared to traditional store-based transactions in the Rent-A-Center segment. Therefore, we are unable to determine with certainty whether the continuation of this trend toward increased e-commerce transactions will have a significant impact to our financial statements in future periods or be favorable or unfavorable to our financial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focuses on our results of operations and our liquidity and capital resources. You should read this discussion in conjunction with the condensed consolidated financial statements and notes thereto for the three months ended March 31, 2024 included in Part I, Item I of this Quarterly Report on Form 10-Q.</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1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Gross Merchandise Volume (“GMV”): </w:t>
      </w:r>
      <w:r>
        <w:rPr>
          <w:rFonts w:ascii="Times New Roman" w:cs="Times New Roman" w:eastAsia="Times New Roman" w:hAnsi="Times New Roman"/>
          <w:sz w:val="18"/>
          <w:szCs w:val="18"/>
          <w:color w:val="auto"/>
        </w:rPr>
        <w:t>The Company defines Gross Merchandise Volume as the retail value in U.S. dollars of merchandise acquired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that is leased to customers through a transaction that occurs within a defined period, net of estimated cancellations as of the measurement date.</w:t>
      </w:r>
    </w:p>
    <w:p>
      <w:pPr>
        <w:spacing w:after="0" w:line="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Lease Portfolio Value: </w:t>
      </w:r>
      <w:r>
        <w:rPr>
          <w:rFonts w:ascii="Times New Roman" w:cs="Times New Roman" w:eastAsia="Times New Roman" w:hAnsi="Times New Roman"/>
          <w:sz w:val="18"/>
          <w:szCs w:val="18"/>
          <w:color w:val="auto"/>
        </w:rPr>
        <w:t>Represents the aggregate dollar value of the expected monthly rental income associated with current active lease agreements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Rent-A-Center stores and e-commerce platform at the end of any given period.</w:t>
      </w:r>
    </w:p>
    <w:p>
      <w:pPr>
        <w:spacing w:after="0" w:line="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Same Store Sales: </w:t>
      </w:r>
      <w:r>
        <w:rPr>
          <w:rFonts w:ascii="Times New Roman" w:cs="Times New Roman" w:eastAsia="Times New Roman" w:hAnsi="Times New Roman"/>
          <w:sz w:val="18"/>
          <w:szCs w:val="18"/>
          <w:color w:val="auto"/>
        </w:rPr>
        <w:t>Same store sales generally represents revenue earned in stores that were operated by us for 13 months or more and are reported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Lease Charge-Offs (“LCOs”) (previously referred to as "skip / stolen losses"): </w:t>
      </w:r>
      <w:r>
        <w:rPr>
          <w:rFonts w:ascii="Times New Roman" w:cs="Times New Roman" w:eastAsia="Times New Roman" w:hAnsi="Times New Roman"/>
          <w:sz w:val="18"/>
          <w:szCs w:val="18"/>
          <w:color w:val="auto"/>
        </w:rPr>
        <w:t>Represents charge-offs of the net book value of unrecoverable on-rent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with lease-to-own customers who are past due. This is typically expressed as a percentage of revenues for the applicable period. For the Rent-A-Center segment, LCOs exclude Get It Now and Home Choice locations.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briefly summarizes certain of our financial information for the three months ended March 31, 2024 as compared to the three months ended March 31,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three months of 2024, consolidated revenues and gross profit increased by approximately $79.9 million and $22.8 million, respectively, primarily due to an increase in the Acima segment revenues described below. Operating profit increased by approximately $96.9 million, primarily due to a decrease in Other gains and charges of $100.8 million in addition to the increase in gross profit noted above, partially offset by an increase in non-labor operating expenses of $17.1 million, and general and administrative expenses of $7.4 million.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Acima segment revenues increased approximately $77.5 million for the three months ended March 31, 2024, due to increases in rentals and fees revenues and merchandise sales of $59.4 million and $18.2 million, respectively, resulting from higher GMV. Growth in GMV was primarily due to an increase in merchant locations, merchant productivity which resulted in more leases per merchant, expanding direct-to-consumer offerings, and improved conversion rates. Operating profit decreased approximately $2.0 million for the three months ended March 31, 2024, primarily due to an increase non-labor operating expenses of approximately $17.7 million, partially offset by an increase in gross profit of $14.2 million. See "Segment Performance" below for further discussion of Acima segment operating results for the three months ended March 31, 2024.</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in our Rent-A-Center segment increased approximately $0.7 million for the three months ended March 31, 2024 due to an increase in same store sales of 0.8% driven by an increase in rentals and fees revenues of $3.5 million partially offset by a decrease in merchandise sales of $1.5 million. Operating profit increased approximately $5.8 million for the three months ended March 31, 2024, primarily due to an increase in gross profit of approximately $5.9 million resulting primarily from a decrease in cost of revenues of $5.2 million. See "Segment Performance" below for further discussion of Rent-A-Center segment operating results for the three months ended March 31, 2024.</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Mexico segment revenues increased by 18.0% for the three months ended March 31, 2024, contributing to an increase in gross profit of 18.8%, or $2.3 million, primarily due to a 5.6% increase in same store sales driven by an increase in rentals and fees revenues of $2.9 million. Operating profit increased $0.7 million for the three months ended March 31, 2024, primarily due to an increase in gross profit described above, partially offset by an increase in operating labor costs of approximately $1.0 million. See "Segment Performance" below for further discussion of Mexico segment operating results 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Revenues for the Franchising segment decreased $1.5 million for the three months ended March 31, 2024, primarily due to a decrease in merchandise sales of $2.0 million, partially offset by an increase in royalty income and fees of $0.3 million. See "Segment Performance" below for further discussion of Mexico segment operating results for the three months ended March 31, 2024.</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operations was $45.4 million for the three months ended March 31, 2024. As of March 31, 2024, we held $84.8 million of cash and cash equivalents and had outstanding indebtedness of $1.3 billion.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reference for the discussion that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Rentals and fees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872,539</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806,717</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Merchandise sales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21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Installment sales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Franchise merchandise sales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Royalty income and fees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0" w:type="dxa"/>
            <w:vAlign w:val="bottom"/>
          </w:tcPr>
          <w:p>
            <w:pPr>
              <w:spacing w:after="0"/>
              <w:rPr>
                <w:sz w:val="1"/>
                <w:szCs w:val="1"/>
                <w:color w:val="auto"/>
              </w:rPr>
            </w:pPr>
          </w:p>
        </w:tc>
      </w:tr>
      <w:tr>
        <w:trPr>
          <w:trHeight w:val="207"/>
        </w:trPr>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1,095,967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1,016,061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rentals and fees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merchandise sold</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0" w:type="dxa"/>
            <w:vAlign w:val="bottom"/>
          </w:tcPr>
          <w:p>
            <w:pPr>
              <w:spacing w:after="0"/>
              <w:rPr>
                <w:sz w:val="1"/>
                <w:szCs w:val="1"/>
                <w:color w:val="auto"/>
              </w:rPr>
            </w:pPr>
          </w:p>
        </w:tc>
      </w:tr>
      <w:tr>
        <w:trPr>
          <w:trHeight w:val="21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installment sales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Franchise cost of merchandise sold</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7"/>
        </w:trPr>
        <w:tc>
          <w:tcPr>
            <w:tcW w:w="67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cost of revenues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566,899</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509,797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57,102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labor</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Non-labor operating expenses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0" w:type="dxa"/>
            <w:vAlign w:val="bottom"/>
          </w:tcPr>
          <w:p>
            <w:pPr>
              <w:spacing w:after="0"/>
              <w:rPr>
                <w:sz w:val="1"/>
                <w:szCs w:val="1"/>
                <w:color w:val="auto"/>
              </w:rPr>
            </w:pPr>
          </w:p>
        </w:tc>
      </w:tr>
      <w:tr>
        <w:trPr>
          <w:trHeight w:val="21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gains and charges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07"/>
        </w:trPr>
        <w:tc>
          <w:tcPr>
            <w:tcW w:w="67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467,306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541,377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(74,071)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profit (loss)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61,762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275.9 %</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net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151.9 %</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115,010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104.4 %</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earnings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revenues increased by $79.9 million, or 7.9%, to $1,096.0 million for the three months ended March 31, 2024, from $1,016.1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This increase was primarily due to an increase of approximately $77.5 million in the Acima segment, as discussed further in the section “Segment Performance” below.</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Rentals and Fees. </w:t>
      </w:r>
      <w:r>
        <w:rPr>
          <w:rFonts w:ascii="Times New Roman" w:cs="Times New Roman" w:eastAsia="Times New Roman" w:hAnsi="Times New Roman"/>
          <w:sz w:val="18"/>
          <w:szCs w:val="18"/>
          <w:color w:val="auto"/>
        </w:rPr>
        <w:t>Cost of rentals and fees consists primarily of depreciation of rental merchandise. Cost of rentals and fees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 increased by $30.0 million, or 10.1%, to $327.1 million as compared to $297.1 million for the three months ended March 31, 2023. The increase was primarily attributable to an increase of approximately $33.5 million in the Acima segment driven by an increase in rentals and fees revenues, partially offset by a decrease of $4.2 million in the Rent-A-Center segment. Cost of rentals and fees expressed as a percentage of rentals and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revenue was 37.5% for the three months ended March 31, 2024, as compared to 36.8% for the three months ended March 31, 2023.</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Merchandise Sold. </w:t>
      </w:r>
      <w:r>
        <w:rPr>
          <w:rFonts w:ascii="Times New Roman" w:cs="Times New Roman" w:eastAsia="Times New Roman" w:hAnsi="Times New Roman"/>
          <w:sz w:val="18"/>
          <w:szCs w:val="18"/>
          <w:color w:val="auto"/>
        </w:rPr>
        <w:t>Cost of merchandise sold represents the net book value of rental merchandise at time of sale. Cost of merchandise sold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$29.3 million, or 15.9%, to $213.6 million for the three months ended March 31, 2024, from $184.3 million for the three months ended March 31, 2023, primarily attributable to an increase of $29.8 million in the Acima segment, driven primarily by higher merchandise sales. The gross margin percent of merchandise sales decreased to (18.8)% for the three months ended March 31, 2024, from (13.1)% for the three months ended March 31, 2023.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by $22.8 million, or 4.5%, to $529.1 million for the three months ended March 31, 2024, from $506.3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primarily due to increases of $14.2 million and $5.9 million in the Acima and Rent-A-Center segments, respectively, as discussed further in the section “Segment Performance” below. Gross profit as a percentage of total revenue decreased to 48.3% for the three months ended March 31, 2024, as compared to 49.8% for the three months ended March 31, 2023.</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Labor. </w:t>
      </w:r>
      <w:r>
        <w:rPr>
          <w:rFonts w:ascii="Times New Roman" w:cs="Times New Roman" w:eastAsia="Times New Roman" w:hAnsi="Times New Roman"/>
          <w:sz w:val="18"/>
          <w:szCs w:val="18"/>
          <w:color w:val="auto"/>
        </w:rPr>
        <w:t>Operating labor includes all salaries and wages paid to operational employees and district managers, together with payroll taxes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Operating labor increased by $1.6 million, or 1.1%, to $158.1 million for the three months ended March 31, 2024, as compared to $156.5 million for the three months ended March 31, 2023, primarily due to an increase of $1.0 million in the Mexico segment. Operating labor expressed as a percentage of total revenue excluding franchise merchandise sales and royalty income and fees was 14.8% for the three months ended March 31, 2024, as compared to 15.9% for the three months ended March 31, 2023.</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Non-Labor Operating Expenses. </w:t>
      </w:r>
      <w:r>
        <w:rPr>
          <w:rFonts w:ascii="Times New Roman" w:cs="Times New Roman" w:eastAsia="Times New Roman" w:hAnsi="Times New Roman"/>
          <w:sz w:val="18"/>
          <w:szCs w:val="18"/>
          <w:color w:val="auto"/>
        </w:rPr>
        <w:t>Non-labor operating expenses include LCO's, occupancy, delivery, advertising, selling, insurance, travel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expenses. Non-labor operating expenses increased by $17.1 million, or 8.7%, to $213.8 million for the three months ended March 31, 2024, as compared to $196.7 million for the three months ended March 31, 2023, due to an increase of $17.7 million in the Acima Segment primarily attributable to an increase of $11.3 million in merchandise losses. Non-labor operating expenses expressed as a percentage of total revenue excluding franchise merchandise sales and royalty income and fees was 20.0% for the three months ended March 31, 2024, compared to 19.9% for the three months ended March 31, 2023.</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all corporate overhead expenses related to our headquarters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payroll taxes and benefits, stock-based compensation, occupancy, administrative and other expenses, as well as salaries and labor costs for our regional directors, divisional vice presidents and executive vice presidents. General and administrative expenses increased by $7.4 million, or 15.4%, to $55.1 million for the three months ended March 31, 2024, as compared to $47.7 million for the three months ended March 31, 2023, primarily due to increases in overhead labor. General and administrative expenses expressed as a percentage of total revenue were 5.0% and 4.7% for the three months ended March 31, 2024 and 2023, respectively.</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Gains and Charges. </w:t>
      </w:r>
      <w:r>
        <w:rPr>
          <w:rFonts w:ascii="Times New Roman" w:cs="Times New Roman" w:eastAsia="Times New Roman" w:hAnsi="Times New Roman"/>
          <w:sz w:val="18"/>
          <w:szCs w:val="18"/>
          <w:color w:val="auto"/>
        </w:rPr>
        <w:t>Other gains and charges decreased by $100.8 million, or 79.0%, to $26.8 million for the three months ended March 31,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$127.6 million for the three months ended March 31, 2023. The decrease in other gains and charges was driven primarily by stock compensation expense recognized for the three months ended March 31, 2023, related to restricted stock issued in connection with the Acima Holdings acquisition, including $74.8 million attributable to the acceleration of vesting provisions for former employee and Acima founder, Aaron Allred, upon his transition from Executive Vice President of Acima to an advisory role in early 2023, resulting in a decrease in stock compensation expense of $104.6 million for the three months ended March 31, 2024, as compared to the prior year period. This decrease was partially offset by $4.6 million in accelerated software depreciation for the three months ended March 31, 2024.</w:t>
      </w:r>
    </w:p>
    <w:p>
      <w:pPr>
        <w:spacing w:after="0" w:line="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Profit (Loss). </w:t>
      </w:r>
      <w:r>
        <w:rPr>
          <w:rFonts w:ascii="Times New Roman" w:cs="Times New Roman" w:eastAsia="Times New Roman" w:hAnsi="Times New Roman"/>
          <w:sz w:val="18"/>
          <w:szCs w:val="18"/>
          <w:color w:val="auto"/>
        </w:rPr>
        <w:t>Operating profit increased by $96.9 million, or 275.9%, to $61.8 million for the three months ended March 31, 2024,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$(35.1) million for the three months ended March 31, 2023, primarily due to the decrease in other gains and charges and increase in gross profit, partially offset by increases in non-labor operating expenses and general and administrative expenses as described above. Operating profit expressed as a percentage of total revenue was 5.6% for the three months ended March 31, 2024, compared to (3.5)% for the three months ended March 31, 2023.</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Income tax expense increased by $115.0 million to $4.9 million for the three months ended March 31, 2024,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$(110.1) million for the three months ended March 31, 2023, primarily due to the increase in earnings before income taxes for the three months ended March 31, 2024 compared to the same period in 2023, and a lower effective tax rate for the three months ended March 31, 2024, primarily attributable to a lower tax impact of stock compensation expense related to stock consideration issued to the former owners of Acima Holdings compared to the prior year period, as well as a favorable adjustment related to foreign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Acima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center"/>
              <w:ind w:left="50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561,346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483,847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77,499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169,302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155,144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14,158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51,911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53,870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81"/>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merchandise volume</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417,557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348,175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69,382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0" w:type="dxa"/>
            <w:vAlign w:val="bottom"/>
          </w:tcPr>
          <w:p>
            <w:pPr>
              <w:spacing w:after="0"/>
              <w:rPr>
                <w:sz w:val="1"/>
                <w:szCs w:val="1"/>
                <w:color w:val="auto"/>
              </w:rPr>
            </w:pPr>
          </w:p>
        </w:tc>
      </w:tr>
    </w:tbl>
    <w:p>
      <w:pPr>
        <w:ind w:left="140" w:hanging="132"/>
        <w:spacing w:after="0" w:line="229" w:lineRule="auto"/>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The increase in revenues for the three months ended March 31, 2024, as compared to the three months ended March 31, 2023, included increases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rentals and fees revenues and merchandise sales revenue of $59.4 million and $18.2 million, respectively, resulting from higher GMV. Growth in GMV was primarily due to an increase in merchant locations, merchant productivity which resulted in more leases per merchant, expanding direct-to-consumer offerings, and improved conversion rates.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for the three months ended March 31, 2024, as compared to the three months ended March 31, 2023, driven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increase in revenues described above. Gross profit as a percentage of segment revenues decreased to 30.2% for the three months ended March 31, 2024, compared to 32.1% for the three months ended March 31, 2023, partly due to an increase in merchandise sales resulting from a larger portfolio at the beginning of 2024 compared to 2023, in addition to the conversion of Acceptance Now locations to the Acima Holdings Lease Management platform.</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decreased to 9.2% for the three months ended March 31, 2024 compared to 11.1%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2023. The decrease in operating profit for the three months ended March 31, 2024 is primarily due to an increase in non-labor operating expenses of approximately $17.7 million, partially offset by the increase in gross profit. Merchandise losses in our Acima locations due to LCOs, expressed as a percentage of segment revenues, were approximately 9.6% for the three months ended March 31, 2024, compared to 8.9% for the three months ended March 31, 2023. Merchandise losses in our Acima locations due to other merchandise losses, expressed as a percentage of segment revenues, were approximately 0.3% for the three months ended March 31, 2024, compared to approximately 0.2% for the three months ended March 31,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Rent-A-Center segment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center"/>
              <w:ind w:left="50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485,753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485,008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337,643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331,725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74,774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68,961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Lease portfolio value</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139,313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140,205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Change in same store sales</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Stores in same store sales calculation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1,764</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40" w:hanging="132"/>
        <w:spacing w:after="0"/>
        <w:tabs>
          <w:tab w:leader="none" w:pos="1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The increase in revenue for the three months ended March 31, 2024, as compared to the three months ended March 31, 2023,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 increase in same store sales of 0.8%, driven by an increase in rentals and fees revenues of $3.5 million, partially offset by decreases in merchandise sales and installment sales of $1.5 million primarily attributable to fewer customers electing early purchase options.</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for the three months ended March 31, 2024, as compared to the three months ended March 31, 2023, driven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increase in revenues described above. Gross profit as a percentage of segment revenues was 69.5% for the three months ended March 31, 2024, as compared to 68.4% for the three months ended March 31, 2023, primarily due to mix-shift changes between lease merchandise product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was 15.4% for the three months ended March 31, 2024, compared to 14.2%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The increase in operating margin for the three months ended March 31, 2024, as compared to the three months ended March 31, 2023, was primarily driven by the increase in gross profit described above. Merchandise losses in our Rent-A-Center lease-to-own stores due to LCOs, expressed as a percentage of Rent-A-Center lease-to-own revenues, were approximately 4.7% for the three months ended March 31, 2024, compared to 4.8% for the three months ended March 31, 2023. Other merchandise losses in our Rent-A-Center lease-to-own stores, expressed as a percentage of Rent-A-Center lease-to-own revenues, were approximately 1.1% for the three months ended March 31, 2024, compared to approximately 1.4% for the three months ended March 31, 2023. Other merchandise losses include unrepairable and missing merchandise, and loss/damage waiver claims.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 segment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20,567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14,716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70.5 %</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Change in same store revenue</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Stores in same store revenue calculation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were positively impacted by exchange rate fluctuations of approximately $1.9 million for the three months ended March 31,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2023. On a constant currency basis, revenues for the three months ended March 31, 2024 increased approximately $1.2 million, compared to the three months ended March 31, 2023.</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positively impacted by exchange rate fluctuations of approximately $1.3 million for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three months ended March 31, 2023. On a constant currency basis, gross profit for the three months ended March 31, 2024 increased by approximately $1.0 million as compared to the three months ended March 31, 2023. Gross profit as a percentage of segment revenues was 71.6% for the three months ended March 31, 2024, compared to 71.1% for the three months ended March 31, 2023.</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was positively impacted by exchange rate fluctuations of approximately $0.2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 as compared to the three months ended March 31, 2023. On a constant currency basis, operating profit for the three months ended March 31, 2024 increased by approximately $0.5 million as compared to the three months ended March 31, 2023. Operating profit as a percentage of segment revenues increased to 8.2% for the three months ended March 31, 2024, compared to 5.7% for the three months ended March 31, 2023, primarily due to lower LCOs.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Franchising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28,301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29,776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7,407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3,364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decreased for the three months ended March 31, 2024 compared to the three months ended March 31, 2023, primarily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merchandise purchases by franchisees of $2.0 million, partially offset by increases in royalty income and fees revenue of $0.3 million.</w:t>
      </w:r>
    </w:p>
    <w:p>
      <w:pPr>
        <w:spacing w:after="0" w:line="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as a percentage of segment revenues increased to 26.2% for the three months ended March 31, 2024, compared to 23.5%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primarily due to the change in allocation of merchandise sales compared to royalty and fee revenue.</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decreased to 11.9% for the three months ended March 31, 2024 compared to 16.0%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2023, primarily due to an increase in segment operating expenses of $1.8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For the three months ended March 31, 2024, we generated $45.4 million in operating cash flow and used cash in the amount of $79.2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repayments, $21.5 million for dividends and $11.8 million for capital expenditures, partially offset by cash proceeds from indebtedness of $60.0 million. We ended the first quarter of 2024 with $84.8 million of cash and cash equivalents and outstanding indebtedness of $1.3 billion.</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Analysis of Cash Flow. </w:t>
      </w:r>
      <w:r>
        <w:rPr>
          <w:rFonts w:ascii="Times New Roman" w:cs="Times New Roman" w:eastAsia="Times New Roman" w:hAnsi="Times New Roman"/>
          <w:sz w:val="18"/>
          <w:szCs w:val="18"/>
          <w:color w:val="auto"/>
        </w:rPr>
        <w:t>Cash provided by operating activities decreased by $60.0 million to $45.4 million for the three months ended March 31, 2024,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$105.4 million for the three months ended March 31, 2023, primarily due to a decrease in net earnings and an increase in our inventory purchases driven by increased consumer demand.</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increased to $11.7 million for the three months ended March 31, 2024, compared to $9.6 million for the three months ended March 31, 2023, primarily due to higher investment in store-related assets in our Rent-A-Center segment for the three months ended March 31,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decreased to $42.8 million for the three months ended March 31, 2024, compared to $69.4 million for the three months ended March 31, 2023, primarily due to an increase in borrowings under the ABL Credit Facility of $60.0 million, partially offset by an increase in debt repayments of $37.1 million for the three months ended March 31, 2024.</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Liquidity Requirements</w:t>
      </w:r>
      <w:r>
        <w:rPr>
          <w:rFonts w:ascii="Times New Roman" w:cs="Times New Roman" w:eastAsia="Times New Roman" w:hAnsi="Times New Roman"/>
          <w:sz w:val="18"/>
          <w:szCs w:val="18"/>
          <w:color w:val="auto"/>
        </w:rPr>
        <w:t>. Our primary liquidity requirements are for rental merchandise purchases, which are impacted by consumer demand for our lease-to-own solutions. Other capital requirements include expenditures for technology and property assets, and debt service. Our primary source of liquidity has been cash provided by operations.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April 24, 2024, we had approximately $39.8 million in cash on hand, and $409.6 million available under our ABL Credit Facility.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Losses</w:t>
      </w:r>
      <w:r>
        <w:rPr>
          <w:rFonts w:ascii="Times New Roman" w:cs="Times New Roman" w:eastAsia="Times New Roman" w:hAnsi="Times New Roman"/>
          <w:sz w:val="18"/>
          <w:szCs w:val="18"/>
          <w:color w:val="auto"/>
        </w:rPr>
        <w:t>. Merchandise losses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2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charge-offs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merchandise losses</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merchandise losses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40" w:hanging="151"/>
        <w:spacing w:after="0"/>
        <w:tabs>
          <w:tab w:leader="none" w:pos="240" w:val="left"/>
        </w:tabs>
        <w:numPr>
          <w:ilvl w:val="0"/>
          <w:numId w:val="16"/>
        </w:numPr>
        <w:rPr>
          <w:rFonts w:ascii="Arial" w:cs="Arial" w:eastAsia="Arial" w:hAnsi="Arial"/>
          <w:sz w:val="16"/>
          <w:szCs w:val="16"/>
          <w:color w:val="auto"/>
          <w:vertAlign w:val="superscript"/>
        </w:rPr>
      </w:pPr>
      <w:r>
        <w:rPr>
          <w:rFonts w:ascii="Times New Roman" w:cs="Times New Roman" w:eastAsia="Times New Roman" w:hAnsi="Times New Roman"/>
          <w:sz w:val="13"/>
          <w:szCs w:val="13"/>
          <w:color w:val="auto"/>
        </w:rPr>
        <w:t>Other merchandise losses include unrepairable and missing merchandise, and loss/damage waiver claims.</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We make capital expenditures in order to maintain our existing operations, acquire new capital assets in new and acquired stores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information technology. We spent $11.8 million and $9.5 million on capital expenditures during the three months ended March 31, 2024 and 2023, respectively. The increase of $2.3 million is primarily due to higher investment in store-related assets in our Rent-A-Center segment.</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and New Location Openings. </w:t>
      </w:r>
      <w:r>
        <w:rPr>
          <w:rFonts w:ascii="Times New Roman" w:cs="Times New Roman" w:eastAsia="Times New Roman" w:hAnsi="Times New Roman"/>
          <w:sz w:val="18"/>
          <w:szCs w:val="18"/>
          <w:color w:val="auto"/>
        </w:rPr>
        <w:t>The table below summarizes the store location activity for the three-month period ended March 31, 2024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Rent-A-Center, Mexico and Franchising operating segments.</w:t>
      </w:r>
    </w:p>
    <w:p>
      <w:pPr>
        <w:sectPr>
          <w:pgSz w:w="11900" w:h="16838" w:orient="portrait"/>
          <w:cols w:equalWidth="0" w:num="1">
            <w:col w:w="11240"/>
          </w:cols>
          <w:pgMar w:left="320" w:top="1089" w:right="339" w:bottom="1440" w:gutter="0" w:footer="0" w:header="0"/>
        </w:sect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Locations at beginning of period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Closed locations</w:t>
      </w:r>
    </w:p>
    <w:p>
      <w:pPr>
        <w:spacing w:after="0" w:line="27" w:lineRule="exact"/>
        <w:rPr>
          <w:sz w:val="20"/>
          <w:szCs w:val="20"/>
          <w:color w:val="auto"/>
        </w:rPr>
      </w:pPr>
    </w:p>
    <w:p>
      <w:pPr>
        <w:ind w:left="20" w:right="1560" w:firstLine="324"/>
        <w:spacing w:after="0" w:line="292" w:lineRule="auto"/>
        <w:rPr>
          <w:sz w:val="20"/>
          <w:szCs w:val="20"/>
          <w:color w:val="auto"/>
        </w:rPr>
      </w:pPr>
      <w:r>
        <w:rPr>
          <w:rFonts w:ascii="Times New Roman" w:cs="Times New Roman" w:eastAsia="Times New Roman" w:hAnsi="Times New Roman"/>
          <w:sz w:val="18"/>
          <w:szCs w:val="18"/>
          <w:color w:val="auto"/>
        </w:rPr>
        <w:t>Sold or closed with no surviving location Locations at end of period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13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454"/>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-633730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-333375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4880" w:space="720"/>
            <w:col w:w="5640"/>
          </w:cols>
          <w:pgMar w:left="320" w:top="1089"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Senior Debt. </w:t>
      </w:r>
      <w:r>
        <w:rPr>
          <w:rFonts w:ascii="Times New Roman" w:cs="Times New Roman" w:eastAsia="Times New Roman" w:hAnsi="Times New Roman"/>
          <w:sz w:val="18"/>
          <w:szCs w:val="18"/>
          <w:color w:val="auto"/>
        </w:rPr>
        <w:t>On February 17, 2021, we entered into a credit agreement with JPMorgan Chase Bank, N.A., as administrative agent, and lenders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(as amended on August 10, 2022, the “ABL Credit Facility”). Under the ABL Credit Facility, we may borrow only up to the lesser of the level of the then-current borrowing base and the aggregate amount of commitments under the ABL Credit Facility. The borrowing base is tied to the amount of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installment sales accounts, inventory and eligible lease contracts, reduced by certain reserves. The ABL Credit Facility bears interest at a fluctuating rate determined by reference to an adjusted Term SOFR rate plus an applicable margin of 1.50% to 2.00%, which, as of April 24, 2024, was 7.41%.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February 17, 2026, at which time all amounts borrowed must be repaid.</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17, 2021, we also entered into a term loan credit agreement with JPMorgan Chase Bank, N.A., as administrative agent, and lenders party thereto, that provides for a seven-year $875 million senior secured term loan facility (as amended on September 21, 2021 and June 15, 2023,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an adjusted Term SOFR rate plus an applicable margin of 3.25%, subject to a 0.50% Term SOFR floor, which, as of April 24, 2024 was 9.12%.</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April 24, 2024, we had outstanding borrowings of $808.9 million under the Term Loan Facility and available commitments of $409.6 million under our ABL Credit Facility, net of letters of credit.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5 of our condensed consolidated financial statements included in this Quarterly Report on Form 10-Q for additional information regarding our senior debt.</w:t>
      </w:r>
    </w:p>
    <w:p>
      <w:pPr>
        <w:spacing w:after="0" w:line="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On February 17, 2021, we issued $450 million in senior unsecured notes due February 15, 2029, at par value, bearing interest at 6.375%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Interest on the Notes is payable in arrears on February 15 and August 15 of each year, beginning on August 15, 2021. 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 See Note 6 of our condensed consolidated financial statements included in this Quarterly Report on Form 10-Q for additional information regarding our senior notes.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We lease space for all of our Rent-A-Center and Mexico stores under operating leases expiring at various times through 2034.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agreed-upon formulas. As of March 31, 2024, our total remaining obligation for existing store lease contracts was approximately $342.1 million.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As of March 31, 2024, our total remaining minimum obligation for existing Rent-A-Center vehicle lease contracts was approximately $0.9 million.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lease vehicles for all of our Mexico stores which have terms expiring at various times through 2027 with rental rates adjusted periodically for inflation. As of March 31, 2024, our total remaining obligation for existing Mexico vehicle lease contracts was approximately $4.3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Uncertain Tax Position. </w:t>
      </w:r>
      <w:r>
        <w:rPr>
          <w:rFonts w:ascii="Times New Roman" w:cs="Times New Roman" w:eastAsia="Times New Roman" w:hAnsi="Times New Roman"/>
          <w:sz w:val="18"/>
          <w:szCs w:val="18"/>
          <w:color w:val="auto"/>
        </w:rPr>
        <w:t>As of March 31, 2024, we have recorded $1.2 million in uncertain tax positions. Although these positions represent a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cash liability to us, the amounts and timing of such payments are uncertain.</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Our revenue mix is moderately seasonal, with the first quarter of each fiscal year generally providing higher merchandise sales than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during a fiscal year. Generally, our customers will more frequently exercise the early purchase option on their existing lease purchase agreements in our Acima and Rent-A-Center segments or purchase pre-leased merchandise off the showroom floor in our Rent-A-Center segment during the first quarter of each fiscal year, primarily due to the receipt of federal income tax refunds. In contrast, our cash expenditures for our merchandise purchases for the fiscal year are generally the highest beginning in the latter part of the third quarter through the fourth quarter, primarily as a result of holiday promotions that lead to increased demand for our lease-to-own offerings.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improve the transparency of the annual income tax disclosures by requiring specific categories in the income tax rate reconciliation and disaggregation of income taxes paid by jurisdiction. It also includes certain other amendments to improve the effectiveness of income tax disclosures. The adoption of ASU 2023-09 will be required for us for fiscal years beginning after December 15, 2024. We do not believe the adoption of this ASU will have a material impact on our financial statements.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we adopt as of the specified effective date. As of March 31, 2024, unless otherwise discussed (including with respect to ASU 2023-07), we believe the impact of any other recently issued standards that are not yet effective are either not applicable to us at this time, or will not have a material impact on our consolidated financial statements upon adoption.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we had $450 million in Notes outstanding at a fixed interest rate of 6.375%. We also had $808.9 million outstanding under the Term Loan Facility and $53.0 million outstanding under our ABL Credit Facility, each at interest rates indexed to the Term SOFR rate. Carrying value approximates fair value for such indebtedness. Based on our overall interest rate exposure at March 31, 2024, a hypothetical 1.0% increase or decrease in market interest rates would have the effect of causing an additional $8.6 million additional annualized pre-tax charge or credit to our Condensed Consolidated Statements of Operations. We have not entered into any interest rate swap agreements as of March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In accordance with Rule 13a-15(b) under the Securities Exchange Act of 1934, an evaluation was performed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March 31, 2024, our disclosure controls and procedures (as defined in Rules 13a– 15(e) and 15d–15(e) under the Securities Exchange Act of 1934) were effective.</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r>
        <w:rPr>
          <w:rFonts w:ascii="Times New Roman" w:cs="Times New Roman" w:eastAsia="Times New Roman" w:hAnsi="Times New Roman"/>
          <w:sz w:val="18"/>
          <w:szCs w:val="18"/>
          <w:color w:val="auto"/>
        </w:rPr>
        <w:t>. For the quarter ended March 31, 2024, there have been no changes in our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defined in Rule 13a-15(f) under the Securities Exchange Act of 1934) that, in the aggregate,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along with our subsidiaries, are party to various legal proceedings and governmental inquiries arising in the ordinary course of business. We regularly monitor developments related to these legal proceedings and governmental inquiries, review the adequacy of our legal reserves on a quarterly basis, and reserve for loss contingencies that we determine are both probable and reasonably estimable. Although we have not determined that any of these matters will have a material impact on our consolidated financial statements, we cannot predict the impact of future developments or provide assurances that a resolution of any such matter would not have a material and adverse impact during a future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 Please see Note 11 of our condensed consolidated financial statements included in this Quarterly Report on Form 10-Q for additional discussion of certain of our legal proceedings and governmental inquiries.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of Part 1, “Risk Factors” of our Annual Report on Form 10-K for the year ended December 31, 2023.</w:t>
      </w:r>
    </w:p>
    <w:p>
      <w:pPr>
        <w:spacing w:after="0" w:line="104" w:lineRule="exact"/>
        <w:rPr>
          <w:sz w:val="20"/>
          <w:szCs w:val="20"/>
          <w:color w:val="auto"/>
        </w:rPr>
      </w:pPr>
    </w:p>
    <w:p>
      <w:pPr>
        <w:ind w:right="3100"/>
        <w:spacing w:after="0" w:line="406"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Use of Proceeds, and Issuer Purchases of Equity Securities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Certain of our officers have made, or may make, elections to participate in, or are participating in, the Company's stock investment option and dividend reinvestment available through the Company's 401(k) plan. In addition, certain of our officers and directors may from time to time make elections to have shares withheld to cover withholding taxes owed in connection with long-term incentive plan awards or to pay the exercise price of options or make standing elections to reinvest dividends received on our shares or long-term incentive plan awards held by them, which may be intended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438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77" w:lineRule="exact"/>
        <w:rPr>
          <w:sz w:val="20"/>
          <w:szCs w:val="20"/>
          <w:color w:val="auto"/>
        </w:rPr>
      </w:pPr>
    </w:p>
    <w:p>
      <w:pPr>
        <w:sectPr>
          <w:pgSz w:w="11900" w:h="16838" w:orient="portrait"/>
          <w:cols w:equalWidth="0" w:num="2">
            <w:col w:w="5120" w:space="720"/>
            <w:col w:w="5280"/>
          </w:cols>
          <w:pgMar w:left="320" w:top="1170" w:right="4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67"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3.1</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Certificate of Incorporation of the registrant, as amended (incorporated herein by reference to Exhibit 3.1 to the registrant's Current</w:t>
              </w:r>
            </w:hyperlink>
          </w:p>
        </w:tc>
      </w:tr>
      <w:tr>
        <w:trPr>
          <w:trHeight w:val="155"/>
        </w:trPr>
        <w:tc>
          <w:tcPr>
            <w:tcW w:w="840" w:type="dxa"/>
            <w:vAlign w:val="bottom"/>
          </w:tcPr>
          <w:p>
            <w:pPr>
              <w:spacing w:after="0"/>
              <w:rPr>
                <w:sz w:val="13"/>
                <w:szCs w:val="13"/>
                <w:color w:val="auto"/>
              </w:rPr>
            </w:pPr>
          </w:p>
        </w:tc>
        <w:tc>
          <w:tcPr>
            <w:tcW w:w="96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Report on Form 8-K dated as of December 31,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3.2</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Certificate of Amendment to the Certificate of Incorporation of the registrant, dated May 19, 2004 (incorporated herein by reference</w:t>
              </w:r>
            </w:hyperlink>
          </w:p>
        </w:tc>
      </w:tr>
      <w:tr>
        <w:trPr>
          <w:trHeight w:val="156"/>
        </w:trPr>
        <w:tc>
          <w:tcPr>
            <w:tcW w:w="84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to Exhibit 3.2 to the registrant's Quarterly Report on Form 10-Q for the quarter ended June 30, 2004.)</w:t>
              </w:r>
            </w:hyperlink>
          </w:p>
        </w:tc>
        <w:tc>
          <w:tcPr>
            <w:tcW w:w="22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3.3</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Certificate of Amendment to the Certificate of Incorporation of the registrant, dated June 8, 2021 (incorporated herein by reference to</w:t>
              </w:r>
            </w:hyperlink>
          </w:p>
        </w:tc>
      </w:tr>
      <w:tr>
        <w:trPr>
          <w:trHeight w:val="156"/>
        </w:trPr>
        <w:tc>
          <w:tcPr>
            <w:tcW w:w="840" w:type="dxa"/>
            <w:vAlign w:val="bottom"/>
          </w:tcPr>
          <w:p>
            <w:pPr>
              <w:spacing w:after="0"/>
              <w:rPr>
                <w:sz w:val="13"/>
                <w:szCs w:val="13"/>
                <w:color w:val="auto"/>
              </w:rPr>
            </w:pPr>
          </w:p>
        </w:tc>
        <w:tc>
          <w:tcPr>
            <w:tcW w:w="96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Exhibit 3.1 to the registrant's Current Report on Form 8-K dated as of June 9, 2021.)</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3.4</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Certificate of Amendment to the Certificate of Incorporation of the registrant, dated February 21, 2023 (incorporated herein by</w:t>
              </w:r>
            </w:hyperlink>
          </w:p>
        </w:tc>
      </w:tr>
      <w:tr>
        <w:trPr>
          <w:trHeight w:val="156"/>
        </w:trPr>
        <w:tc>
          <w:tcPr>
            <w:tcW w:w="84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reference to Exhibit 3.1 to the registrant's Current Report on Form 8-K dated as of February 23, 2023.)</w:t>
              </w:r>
            </w:hyperlink>
          </w:p>
        </w:tc>
        <w:tc>
          <w:tcPr>
            <w:tcW w:w="23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3.5</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Amended and Restated Bylaws of the registrant (incorporated herein by reference to Exhibit 3.2 to the registrant's Current Report on</w:t>
              </w:r>
            </w:hyperlink>
          </w:p>
        </w:tc>
      </w:tr>
      <w:tr>
        <w:trPr>
          <w:trHeight w:val="156"/>
        </w:trPr>
        <w:tc>
          <w:tcPr>
            <w:tcW w:w="840" w:type="dxa"/>
            <w:vAlign w:val="bottom"/>
          </w:tcPr>
          <w:p>
            <w:pPr>
              <w:spacing w:after="0"/>
              <w:rPr>
                <w:sz w:val="13"/>
                <w:szCs w:val="13"/>
                <w:color w:val="auto"/>
              </w:rPr>
            </w:pPr>
          </w:p>
        </w:tc>
        <w:tc>
          <w:tcPr>
            <w:tcW w:w="30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Form 8-K dated as of February 23, 2023.)</w:t>
              </w:r>
            </w:hyperlink>
          </w:p>
        </w:tc>
        <w:tc>
          <w:tcPr>
            <w:tcW w:w="6520" w:type="dxa"/>
            <w:vAlign w:val="bottom"/>
            <w:tcBorders>
              <w:top w:val="single" w:sz="8" w:color="0000FF"/>
            </w:tcBorders>
            <w:gridSpan w:val="7"/>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3.6</w:t>
            </w:r>
          </w:p>
        </w:tc>
        <w:tc>
          <w:tcPr>
            <w:tcW w:w="9740" w:type="dxa"/>
            <w:vAlign w:val="bottom"/>
            <w:gridSpan w:val="13"/>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Certificate of Designations of Series D Preferred Stock of the registrant (incorporated herein by reference to Exhibit 3.1 to the</w:t>
              </w:r>
            </w:hyperlink>
          </w:p>
        </w:tc>
      </w:tr>
      <w:tr>
        <w:trPr>
          <w:trHeight w:val="156"/>
        </w:trPr>
        <w:tc>
          <w:tcPr>
            <w:tcW w:w="84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registrant's Current Report on Form 8-K dated as of March 31, 2017.)</w:t>
              </w:r>
            </w:hyperlink>
          </w:p>
        </w:tc>
        <w:tc>
          <w:tcPr>
            <w:tcW w:w="468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Instruments Defining the Rights of Security Holders, Including Indentures</w:t>
      </w:r>
    </w:p>
    <w:p>
      <w:pPr>
        <w:spacing w:after="0" w:line="67"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4.1</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Description of the registrant’s Common Stock (incorporated herein by reference to Exhibit 4.3 to the registrant’s Annual Report on</w:t>
              </w:r>
            </w:hyperlink>
          </w:p>
        </w:tc>
      </w:tr>
      <w:tr>
        <w:trPr>
          <w:trHeight w:val="156"/>
        </w:trPr>
        <w:tc>
          <w:tcPr>
            <w:tcW w:w="840" w:type="dxa"/>
            <w:vAlign w:val="bottom"/>
          </w:tcPr>
          <w:p>
            <w:pPr>
              <w:spacing w:after="0"/>
              <w:rPr>
                <w:sz w:val="13"/>
                <w:szCs w:val="13"/>
                <w:color w:val="auto"/>
              </w:rPr>
            </w:pPr>
          </w:p>
        </w:tc>
        <w:tc>
          <w:tcPr>
            <w:tcW w:w="942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Form 10-K for the year ended December 31, 2020.)</w:t>
              </w:r>
            </w:hyperlink>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4.2</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Form of Certificate evidencing Common Stock (incorporated herein by reference to Exhibit 4.6 to the registrant's Registration</w:t>
              </w:r>
            </w:hyperlink>
          </w:p>
        </w:tc>
      </w:tr>
      <w:tr>
        <w:trPr>
          <w:trHeight w:val="156"/>
        </w:trPr>
        <w:tc>
          <w:tcPr>
            <w:tcW w:w="840" w:type="dxa"/>
            <w:vAlign w:val="bottom"/>
          </w:tcPr>
          <w:p>
            <w:pPr>
              <w:spacing w:after="0"/>
              <w:rPr>
                <w:sz w:val="13"/>
                <w:szCs w:val="13"/>
                <w:color w:val="auto"/>
              </w:rPr>
            </w:pPr>
          </w:p>
        </w:tc>
        <w:tc>
          <w:tcPr>
            <w:tcW w:w="97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Statement on Form S-8 dated as of June 7, 2023.)</w:t>
              </w:r>
            </w:hyperlink>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4.3</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Indenture, dated as of February 17, 2021, by and between Radiant Funding SPV, LLC and Truist Bank (incorporated herein by</w:t>
              </w:r>
            </w:hyperlink>
          </w:p>
        </w:tc>
      </w:tr>
      <w:tr>
        <w:trPr>
          <w:trHeight w:val="156"/>
        </w:trPr>
        <w:tc>
          <w:tcPr>
            <w:tcW w:w="84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reference to Exhibit 4.1 to the registrant's Current Report on Form 8-K dated as of February 17, 2021.)</w:t>
              </w:r>
            </w:hyperlink>
          </w:p>
        </w:tc>
        <w:tc>
          <w:tcPr>
            <w:tcW w:w="228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Management Contracts and Compensatory Plans or Arrangements</w:t>
      </w:r>
    </w:p>
    <w:p>
      <w:pPr>
        <w:spacing w:after="0" w:line="81" w:lineRule="exact"/>
        <w:rPr>
          <w:sz w:val="20"/>
          <w:szCs w:val="20"/>
          <w:color w:val="auto"/>
        </w:rPr>
      </w:pPr>
    </w:p>
    <w:p>
      <w:pPr>
        <w:ind w:left="520"/>
        <w:spacing w:after="0"/>
        <w:tabs>
          <w:tab w:leader="none" w:pos="14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Form of EVP Executive Transition Agreement</w:t>
      </w:r>
    </w:p>
    <w:p>
      <w:pPr>
        <w:spacing w:after="0" w:line="77" w:lineRule="exact"/>
        <w:rPr>
          <w:sz w:val="20"/>
          <w:szCs w:val="20"/>
          <w:color w:val="auto"/>
        </w:rPr>
      </w:pPr>
    </w:p>
    <w:p>
      <w:pPr>
        <w:ind w:left="1440" w:right="400" w:hanging="883"/>
        <w:spacing w:after="0" w:line="237" w:lineRule="auto"/>
        <w:tabs>
          <w:tab w:leader="none" w:pos="14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53">
        <w:r>
          <w:rPr>
            <w:rFonts w:ascii="Times New Roman" w:cs="Times New Roman" w:eastAsia="Times New Roman" w:hAnsi="Times New Roman"/>
            <w:sz w:val="18"/>
            <w:szCs w:val="18"/>
            <w:u w:val="single" w:color="auto"/>
            <w:color w:val="0000FF"/>
          </w:rPr>
          <w:t>Letter Agreement, dated April 3, 2024, between Upbound Group, Inc. and Mitchell E. Fadel (incorporated herein by reference to</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Exhibit 10.1 to the registrant's Current Report on Form 8-K dated as of April 5, 2024.)</w:t>
        </w:r>
      </w:hyperlink>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Exhibits and Certifications</w:t>
      </w:r>
    </w:p>
    <w:p>
      <w:pPr>
        <w:spacing w:after="0" w:line="6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31.1*</w:t>
            </w:r>
          </w:p>
        </w:tc>
        <w:tc>
          <w:tcPr>
            <w:tcW w:w="220" w:type="dxa"/>
            <w:vAlign w:val="bottom"/>
          </w:tcPr>
          <w:p>
            <w:pPr>
              <w:spacing w:after="0"/>
              <w:rPr>
                <w:sz w:val="18"/>
                <w:szCs w:val="18"/>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of the Securities Exchange Act of 1934 implementing Section 302 of the Sarbanes-Oxley Act</w:t>
            </w:r>
          </w:p>
        </w:tc>
      </w:tr>
      <w:tr>
        <w:trPr>
          <w:trHeight w:val="156"/>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72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of 2002 by Mitchell Fadel</w:t>
            </w: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8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31.2*</w:t>
            </w:r>
          </w:p>
        </w:tc>
        <w:tc>
          <w:tcPr>
            <w:tcW w:w="2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of the Securities Exchange Act of 1934 implementing Section 302 of the Sarbanes-Oxley Act</w:t>
            </w:r>
          </w:p>
        </w:tc>
      </w:tr>
      <w:tr>
        <w:trPr>
          <w:trHeight w:val="155"/>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72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of 2002 by Fahmi Karam</w:t>
            </w: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32.1*</w:t>
            </w:r>
          </w:p>
        </w:tc>
        <w:tc>
          <w:tcPr>
            <w:tcW w:w="2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Mitchell</w:t>
            </w:r>
          </w:p>
        </w:tc>
      </w:tr>
      <w:tr>
        <w:trPr>
          <w:trHeight w:val="155"/>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7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Fadel</w:t>
            </w:r>
          </w:p>
        </w:tc>
        <w:tc>
          <w:tcPr>
            <w:tcW w:w="4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32.2*</w:t>
            </w:r>
          </w:p>
        </w:tc>
        <w:tc>
          <w:tcPr>
            <w:tcW w:w="2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Fahmi</w:t>
            </w:r>
          </w:p>
        </w:tc>
      </w:tr>
      <w:tr>
        <w:trPr>
          <w:trHeight w:val="155"/>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7"/>
              </w:rPr>
              <w:t>Karam</w:t>
            </w:r>
          </w:p>
        </w:tc>
        <w:tc>
          <w:tcPr>
            <w:tcW w:w="9180" w:type="dxa"/>
            <w:vAlign w:val="bottom"/>
            <w:tcBorders>
              <w:top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2"/>
                <w:szCs w:val="22"/>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 XBRL tags are embedded</w:t>
            </w:r>
          </w:p>
        </w:tc>
      </w:tr>
      <w:tr>
        <w:trPr>
          <w:trHeight w:val="234"/>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2"/>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101.CAL*</w:t>
            </w:r>
          </w:p>
        </w:tc>
        <w:tc>
          <w:tcPr>
            <w:tcW w:w="2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101.DEF*</w:t>
            </w:r>
          </w:p>
        </w:tc>
        <w:tc>
          <w:tcPr>
            <w:tcW w:w="2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101.LAB*</w:t>
            </w:r>
          </w:p>
        </w:tc>
        <w:tc>
          <w:tcPr>
            <w:tcW w:w="2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4"/>
        </w:trPr>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104*</w:t>
            </w:r>
          </w:p>
        </w:tc>
        <w:tc>
          <w:tcPr>
            <w:tcW w:w="2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contained in Exhibit 101)</w:t>
            </w:r>
          </w:p>
        </w:tc>
      </w:tr>
      <w:tr>
        <w:trPr>
          <w:trHeight w:val="233"/>
        </w:trPr>
        <w:tc>
          <w:tcPr>
            <w:tcW w:w="880" w:type="dxa"/>
            <w:vAlign w:val="bottom"/>
          </w:tcPr>
          <w:p>
            <w:pPr>
              <w:spacing w:after="0"/>
              <w:rPr>
                <w:sz w:val="20"/>
                <w:szCs w:val="20"/>
                <w:color w:val="auto"/>
              </w:rPr>
            </w:pPr>
          </w:p>
        </w:tc>
        <w:tc>
          <w:tcPr>
            <w:tcW w:w="99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0" w:right="4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UPBOUND GROUP, INC.</w:t>
      </w:r>
    </w:p>
    <w:p>
      <w:pPr>
        <w:spacing w:after="0" w:line="293" w:lineRule="exact"/>
        <w:rPr>
          <w:sz w:val="20"/>
          <w:szCs w:val="20"/>
          <w:color w:val="auto"/>
        </w:rPr>
      </w:pPr>
    </w:p>
    <w:p>
      <w:pPr>
        <w:ind w:left="6760"/>
        <w:spacing w:after="0"/>
        <w:tabs>
          <w:tab w:leader="none" w:pos="8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FAHMI W. KARAM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26035</wp:posOffset>
            </wp:positionV>
            <wp:extent cx="2640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0"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Fahmi W. Karam</w:t>
      </w:r>
    </w:p>
    <w:p>
      <w:pPr>
        <w:spacing w:after="0" w:line="27"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i w:val="1"/>
          <w:iCs w:val="1"/>
          <w:color w:val="auto"/>
        </w:rPr>
        <w:t>EVP,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280"/>
          </w:cols>
          <w:pgMar w:left="320" w:top="1035" w:right="1299" w:bottom="1440" w:gutter="0" w:footer="0" w:header="0"/>
        </w:sectPr>
      </w:pPr>
    </w:p>
    <w:bookmarkStart w:id="34" w:name="page35"/>
    <w:bookmarkEnd w:id="34"/>
    <w:p>
      <w:pPr>
        <w:ind w:left="10040"/>
        <w:spacing w:after="0"/>
        <w:rPr>
          <w:sz w:val="20"/>
          <w:szCs w:val="20"/>
          <w:color w:val="auto"/>
        </w:rPr>
      </w:pPr>
      <w:r>
        <w:rPr>
          <w:rFonts w:ascii="Arial" w:cs="Arial" w:eastAsia="Arial" w:hAnsi="Arial"/>
          <w:sz w:val="21"/>
          <w:szCs w:val="21"/>
          <w:b w:val="1"/>
          <w:bCs w:val="1"/>
          <w:u w:val="single" w:color="auto"/>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UPBOUND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TRANSITION AGREEMENT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This EXECUTIVE TRANSITION AGREEMENT (“Agreement”) is made as of </w:t>
      </w:r>
      <w:r>
        <w:rPr>
          <w:rFonts w:ascii="Times New Roman" w:cs="Times New Roman" w:eastAsia="Times New Roman" w:hAnsi="Times New Roman"/>
          <w:sz w:val="17"/>
          <w:szCs w:val="17"/>
          <w:color w:val="auto"/>
        </w:rPr>
        <w:t>___________________</w:t>
      </w:r>
      <w:r>
        <w:rPr>
          <w:rFonts w:ascii="Times New Roman" w:cs="Times New Roman" w:eastAsia="Times New Roman" w:hAnsi="Times New Roman"/>
          <w:sz w:val="22"/>
          <w:szCs w:val="22"/>
          <w:color w:val="auto"/>
        </w:rPr>
        <w:t xml:space="preserve"> by and between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UPBOUND GROUP INC., and </w:t>
      </w:r>
      <w:r>
        <w:rPr>
          <w:rFonts w:ascii="Times New Roman" w:cs="Times New Roman" w:eastAsia="Times New Roman" w:hAnsi="Times New Roman"/>
          <w:sz w:val="17"/>
          <w:szCs w:val="17"/>
          <w:color w:val="auto"/>
        </w:rPr>
        <w:t>___________________</w:t>
      </w:r>
      <w:r>
        <w:rPr>
          <w:rFonts w:ascii="Times New Roman" w:cs="Times New Roman" w:eastAsia="Times New Roman" w:hAnsi="Times New Roman"/>
          <w:sz w:val="22"/>
          <w:szCs w:val="22"/>
          <w:color w:val="auto"/>
        </w:rPr>
        <w:t xml:space="preserve"> (“Executive”).</w:t>
      </w:r>
    </w:p>
    <w:p>
      <w:pPr>
        <w:spacing w:after="0" w:line="207" w:lineRule="exact"/>
        <w:rPr>
          <w:sz w:val="20"/>
          <w:szCs w:val="20"/>
          <w:color w:val="auto"/>
        </w:rPr>
      </w:pPr>
    </w:p>
    <w:p>
      <w:pPr>
        <w:jc w:val="both"/>
        <w:ind w:firstLine="656"/>
        <w:spacing w:after="0" w:line="252"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Background</w:t>
      </w:r>
      <w:r>
        <w:rPr>
          <w:rFonts w:ascii="Times New Roman" w:cs="Times New Roman" w:eastAsia="Times New Roman" w:hAnsi="Times New Roman"/>
          <w:sz w:val="22"/>
          <w:szCs w:val="22"/>
          <w:color w:val="auto"/>
        </w:rPr>
        <w:t>. This Agreement is intended to provide the Executive with certain payments and benefits upon an involuntary termination of Executive’s employment or the occurrence of certain other circumstances that may affect the Executive. The Company believes this Agreement will help ensure the Executive’s undivided focus on the business of the Company and thereby enhance shareholder value.</w:t>
      </w:r>
    </w:p>
    <w:p>
      <w:pPr>
        <w:spacing w:after="0" w:line="19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The following terms have the following meanings when used in this Agreement.</w:t>
      </w:r>
    </w:p>
    <w:p>
      <w:pPr>
        <w:spacing w:after="0" w:line="220" w:lineRule="exact"/>
        <w:rPr>
          <w:sz w:val="20"/>
          <w:szCs w:val="20"/>
          <w:color w:val="auto"/>
        </w:rPr>
      </w:pPr>
    </w:p>
    <w:p>
      <w:pPr>
        <w:jc w:val="both"/>
        <w:ind w:firstLine="656"/>
        <w:spacing w:after="0" w:line="252" w:lineRule="auto"/>
        <w:tabs>
          <w:tab w:leader="none" w:pos="1293" w:val="left"/>
        </w:tabs>
        <w:numPr>
          <w:ilvl w:val="1"/>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“Accrued Compensation” means, as of any date, (1) the unpaid amount, if any, of Executive’s previously earned base salary, (2) the unpaid amount, if any, of the bonus earned by the Executive for the preceding year, and (3) additional payments or benefits, if any, earned by the Executive under and in accordance with any employee plan, program or arrangement of or with the Company or an Affiliate (other than this Agreement).</w:t>
      </w:r>
    </w:p>
    <w:p>
      <w:pPr>
        <w:spacing w:after="0" w:line="179" w:lineRule="exact"/>
        <w:rPr>
          <w:rFonts w:ascii="Times New Roman" w:cs="Times New Roman" w:eastAsia="Times New Roman" w:hAnsi="Times New Roman"/>
          <w:sz w:val="22"/>
          <w:szCs w:val="22"/>
          <w:color w:val="010000"/>
        </w:rPr>
      </w:pPr>
    </w:p>
    <w:p>
      <w:pPr>
        <w:ind w:right="20" w:firstLine="656"/>
        <w:spacing w:after="0" w:line="284" w:lineRule="auto"/>
        <w:tabs>
          <w:tab w:leader="none" w:pos="1291" w:val="left"/>
        </w:tabs>
        <w:numPr>
          <w:ilvl w:val="1"/>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“Affiliate” means an entity at least 50% of the voting, capital or profits interests of which are owned, directly or indirectly, by Company.</w:t>
      </w:r>
    </w:p>
    <w:p>
      <w:pPr>
        <w:spacing w:after="0" w:line="143" w:lineRule="exact"/>
        <w:rPr>
          <w:rFonts w:ascii="Times New Roman" w:cs="Times New Roman" w:eastAsia="Times New Roman" w:hAnsi="Times New Roman"/>
          <w:sz w:val="22"/>
          <w:szCs w:val="22"/>
          <w:color w:val="010000"/>
        </w:rPr>
      </w:pPr>
    </w:p>
    <w:p>
      <w:pPr>
        <w:jc w:val="both"/>
        <w:ind w:firstLine="656"/>
        <w:spacing w:after="0" w:line="251" w:lineRule="auto"/>
        <w:tabs>
          <w:tab w:leader="none" w:pos="1293" w:val="left"/>
        </w:tabs>
        <w:numPr>
          <w:ilvl w:val="1"/>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“Benefit Continuation Coverage” means validly elected continuing group health insurance coverage pursuant to the Consolidated Omnibus Budget Reconciliation Act of 1985 (“COBRA”) for Executive and, where applicable, Executive’s covered spouse and covered eligible dependents for a specified period following the termination of Executive’s Employment with Company and its Affiliates at the same benefit and contribution levels that would be in effect if the Executive’s employment had continued. Unless sooner terminated, Benefit Continuation Coverage will be subject to early termination if and when Executive is no longer eligible for continuation coverage under COBRA.</w:t>
      </w:r>
    </w:p>
    <w:p>
      <w:pPr>
        <w:spacing w:after="0" w:line="181"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“Board” means the Board of Directors of the Company.</w:t>
      </w:r>
    </w:p>
    <w:p>
      <w:pPr>
        <w:spacing w:after="0" w:line="219" w:lineRule="exact"/>
        <w:rPr>
          <w:rFonts w:ascii="Times New Roman" w:cs="Times New Roman" w:eastAsia="Times New Roman" w:hAnsi="Times New Roman"/>
          <w:sz w:val="22"/>
          <w:szCs w:val="22"/>
          <w:color w:val="010000"/>
        </w:rPr>
      </w:pPr>
    </w:p>
    <w:p>
      <w:pPr>
        <w:jc w:val="both"/>
        <w:ind w:firstLine="656"/>
        <w:spacing w:after="0" w:line="261" w:lineRule="auto"/>
        <w:tabs>
          <w:tab w:leader="none" w:pos="1293" w:val="left"/>
        </w:tabs>
        <w:numPr>
          <w:ilvl w:val="1"/>
          <w:numId w:val="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“Cause” means (1) material act or acts of willful misconduct by Executive, whether in violation of the Company’s policies, including, without limitation, the Company’s Code of Business Conduct and Ethics, or otherwise; (2) Executive’s willful and repeated failure (except where due to physical or mental incapacity) or refusal to perform in any material respect the duties and responsibilities of Executive’s employment; (3) embezzlement or fraud committed by Executive, at Executive’s direction, or with Executive’s prior personal knowledge; (4) Executive’s conviction of, or plea of guilty or </w:t>
      </w:r>
      <w:r>
        <w:rPr>
          <w:rFonts w:ascii="Times New Roman" w:cs="Times New Roman" w:eastAsia="Times New Roman" w:hAnsi="Times New Roman"/>
          <w:sz w:val="21"/>
          <w:szCs w:val="21"/>
          <w:u w:val="single" w:color="auto"/>
          <w:color w:val="auto"/>
        </w:rPr>
        <w:t>nolo contendere</w:t>
      </w:r>
      <w:r>
        <w:rPr>
          <w:rFonts w:ascii="Times New Roman" w:cs="Times New Roman" w:eastAsia="Times New Roman" w:hAnsi="Times New Roman"/>
          <w:sz w:val="21"/>
          <w:szCs w:val="21"/>
          <w:color w:val="auto"/>
        </w:rPr>
        <w:t xml:space="preserve"> to, the commission of a felony; or (5) substance abuse or use of illegal drugs that, in the reasonable judgment of the Compensation Committee,</w:t>
      </w:r>
    </w:p>
    <w:p>
      <w:pPr>
        <w:jc w:val="both"/>
        <w:ind w:firstLine="8"/>
        <w:spacing w:after="0" w:line="249" w:lineRule="auto"/>
        <w:tabs>
          <w:tab w:leader="none" w:pos="36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impairs the ability of the Executive to perform the duties of the Executive’s employment, or (B) causes or is likely to cause harm or embarrassment to the Company or any of its Affiliates. Except as specified, the Compensation Committee, acting in its own discretion, will be responsible for determining whether particular conduct constitutes “Cause”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EVP Executive Transition Agreement (SEC Filing Exhibit)</w:t>
      </w:r>
    </w:p>
    <w:p>
      <w:pPr>
        <w:sectPr>
          <w:pgSz w:w="11900" w:h="16838" w:orient="portrait"/>
          <w:cols w:equalWidth="0" w:num="1">
            <w:col w:w="11240"/>
          </w:cols>
          <w:pgMar w:left="320" w:top="98" w:right="339" w:bottom="1440" w:gutter="0" w:footer="0" w:header="0"/>
        </w:sectPr>
      </w:pPr>
    </w:p>
    <w:bookmarkStart w:id="35" w:name="page36"/>
    <w:bookmarkEnd w:id="35"/>
    <w:p>
      <w:pPr>
        <w:ind w:left="1300" w:hanging="644"/>
        <w:spacing w:after="0"/>
        <w:tabs>
          <w:tab w:leader="none" w:pos="1300"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“Change in Control” means the occurrence of any of the following after September 14, 2006:</w:t>
      </w:r>
    </w:p>
    <w:p>
      <w:pPr>
        <w:spacing w:after="0" w:line="220" w:lineRule="exact"/>
        <w:rPr>
          <w:sz w:val="20"/>
          <w:szCs w:val="20"/>
          <w:color w:val="auto"/>
        </w:rPr>
      </w:pPr>
    </w:p>
    <w:p>
      <w:pPr>
        <w:jc w:val="both"/>
        <w:ind w:left="660" w:firstLine="444"/>
        <w:spacing w:after="0" w:line="263" w:lineRule="auto"/>
        <w:rPr>
          <w:sz w:val="20"/>
          <w:szCs w:val="20"/>
          <w:color w:val="auto"/>
        </w:rPr>
      </w:pPr>
      <w:r>
        <w:rPr>
          <w:rFonts w:ascii="Times New Roman" w:cs="Times New Roman" w:eastAsia="Times New Roman" w:hAnsi="Times New Roman"/>
          <w:sz w:val="22"/>
          <w:szCs w:val="22"/>
          <w:color w:val="010000"/>
        </w:rPr>
        <w:t>(i)</w:t>
      </w:r>
      <w:r>
        <w:rPr>
          <w:rFonts w:ascii="Times New Roman" w:cs="Times New Roman" w:eastAsia="Times New Roman" w:hAnsi="Times New Roman"/>
          <w:sz w:val="22"/>
          <w:szCs w:val="22"/>
          <w:color w:val="000000"/>
        </w:rPr>
        <w:t>any person (within the meaning of Section 13(d)(3) or 14(d)(2) of the Securities Exchange Act of 1934,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amended (“Exchange Act”)) becomes the beneficial owner (within the meaning of Rule 13d-3 promulgated under the Exchange Act) of 40% or more of the combined voting power of the then outstanding voting securities of Company;</w:t>
      </w:r>
    </w:p>
    <w:p>
      <w:pPr>
        <w:spacing w:after="0" w:line="167" w:lineRule="exact"/>
        <w:rPr>
          <w:sz w:val="20"/>
          <w:szCs w:val="20"/>
          <w:color w:val="auto"/>
        </w:rPr>
      </w:pPr>
    </w:p>
    <w:p>
      <w:pPr>
        <w:jc w:val="both"/>
        <w:ind w:left="660" w:firstLine="384"/>
        <w:spacing w:after="0" w:line="248" w:lineRule="auto"/>
        <w:rPr>
          <w:sz w:val="20"/>
          <w:szCs w:val="20"/>
          <w:color w:val="auto"/>
        </w:rPr>
      </w:pPr>
      <w:r>
        <w:rPr>
          <w:rFonts w:ascii="Times New Roman" w:cs="Times New Roman" w:eastAsia="Times New Roman" w:hAnsi="Times New Roman"/>
          <w:sz w:val="22"/>
          <w:szCs w:val="22"/>
          <w:color w:val="010000"/>
        </w:rPr>
        <w:t>(ii)</w:t>
      </w:r>
      <w:r>
        <w:rPr>
          <w:rFonts w:ascii="Times New Roman" w:cs="Times New Roman" w:eastAsia="Times New Roman" w:hAnsi="Times New Roman"/>
          <w:sz w:val="22"/>
          <w:szCs w:val="22"/>
          <w:color w:val="000000"/>
        </w:rPr>
        <w:t>a consolidation, merger or reorganization of the Company, unless (1) the stockholders of Company immediately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before such consolidation, merger or reorganization own, directly or indirectly, at least a majority of the combined voting power of the outstanding voting securities of the corporation or other entity resulting from such consolidation, merger or reorganization, (2) individuals who were members of the Board immediately prior to the execution of the agreement providing for such consolidation, merger or reorganization constitute a majority of the board of directors of the surviving corporation or of a corporation directly or indirectly beneficially owning a majority of the voting securities of the surviving corporation, and (3) no person beneficially owns more than 40% of the combined voting power of the then outstanding voting securities of the surviving corporation (other than a person who is (A) Company or a subsidiary of Company, (B) an employee benefit plan maintained by Company, the surviving corporation or any subsidiary, or (C) the beneficial owner of 40% or more of the combined voting power of the outstanding voting securities of Company immediately prior to such consolidation, merger or reorganization);</w:t>
      </w:r>
    </w:p>
    <w:p>
      <w:pPr>
        <w:spacing w:after="0" w:line="189" w:lineRule="exact"/>
        <w:rPr>
          <w:sz w:val="20"/>
          <w:szCs w:val="20"/>
          <w:color w:val="auto"/>
        </w:rPr>
      </w:pPr>
    </w:p>
    <w:p>
      <w:pPr>
        <w:jc w:val="both"/>
        <w:ind w:left="660" w:firstLine="324"/>
        <w:spacing w:after="0" w:line="253" w:lineRule="auto"/>
        <w:rPr>
          <w:sz w:val="20"/>
          <w:szCs w:val="20"/>
          <w:color w:val="auto"/>
        </w:rPr>
      </w:pPr>
      <w:r>
        <w:rPr>
          <w:rFonts w:ascii="Times New Roman" w:cs="Times New Roman" w:eastAsia="Times New Roman" w:hAnsi="Times New Roman"/>
          <w:sz w:val="22"/>
          <w:szCs w:val="22"/>
          <w:color w:val="010000"/>
        </w:rPr>
        <w:t>(iii)</w:t>
      </w:r>
      <w:r>
        <w:rPr>
          <w:rFonts w:ascii="Times New Roman" w:cs="Times New Roman" w:eastAsia="Times New Roman" w:hAnsi="Times New Roman"/>
          <w:sz w:val="22"/>
          <w:szCs w:val="22"/>
          <w:color w:val="000000"/>
        </w:rPr>
        <w:t>individuals who, as of September 14, 2006, constitute the entire Board (the “Incumbent Board”) cease for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reason to constitute a majority of the Board, provided that any individual becoming a director subsequent to September 14, 2006 whose appointment or nomination for election by Company’s stockholders was approved by a vote of at least two-thirds of the directors then comprising the incumbent Board shall be considered as though such individual were a member of the Incumbent Board; or</w:t>
      </w:r>
    </w:p>
    <w:p>
      <w:pPr>
        <w:spacing w:after="0" w:line="179" w:lineRule="exact"/>
        <w:rPr>
          <w:sz w:val="20"/>
          <w:szCs w:val="20"/>
          <w:color w:val="auto"/>
        </w:rPr>
      </w:pPr>
    </w:p>
    <w:p>
      <w:pPr>
        <w:jc w:val="both"/>
        <w:ind w:left="660" w:firstLine="336"/>
        <w:spacing w:after="0" w:line="271" w:lineRule="auto"/>
        <w:rPr>
          <w:sz w:val="20"/>
          <w:szCs w:val="20"/>
          <w:color w:val="auto"/>
        </w:rPr>
      </w:pPr>
      <w:r>
        <w:rPr>
          <w:rFonts w:ascii="Times New Roman" w:cs="Times New Roman" w:eastAsia="Times New Roman" w:hAnsi="Times New Roman"/>
          <w:sz w:val="22"/>
          <w:szCs w:val="22"/>
          <w:color w:val="010000"/>
        </w:rPr>
        <w:t>(iv)</w:t>
      </w:r>
      <w:r>
        <w:rPr>
          <w:rFonts w:ascii="Times New Roman" w:cs="Times New Roman" w:eastAsia="Times New Roman" w:hAnsi="Times New Roman"/>
          <w:sz w:val="22"/>
          <w:szCs w:val="22"/>
          <w:color w:val="000000"/>
        </w:rPr>
        <w:t>a complete liquidation or dissolution of Company, or a sale or other disposition of all or substantially all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assets of the Company (other than to an entity described in (f)(ii) above).</w:t>
      </w:r>
    </w:p>
    <w:p>
      <w:pPr>
        <w:spacing w:after="0" w:line="158"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“Code” means the Internal Revenue Code of 1986, as amended.</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“Company” means Upbound Group, Inc., FKA Rent-A-Center, Inc., and any successor thereto.</w:t>
      </w:r>
    </w:p>
    <w:p>
      <w:pPr>
        <w:spacing w:after="0" w:line="233"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“Compensation Committee” means the Compensation Committee of the Board.</w:t>
      </w:r>
    </w:p>
    <w:p>
      <w:pPr>
        <w:spacing w:after="0" w:line="219" w:lineRule="exact"/>
        <w:rPr>
          <w:rFonts w:ascii="Times New Roman" w:cs="Times New Roman" w:eastAsia="Times New Roman" w:hAnsi="Times New Roman"/>
          <w:sz w:val="22"/>
          <w:szCs w:val="22"/>
          <w:color w:val="010000"/>
        </w:rPr>
      </w:pPr>
    </w:p>
    <w:p>
      <w:pPr>
        <w:jc w:val="both"/>
        <w:ind w:firstLine="656"/>
        <w:spacing w:after="0" w:line="252" w:lineRule="auto"/>
        <w:tabs>
          <w:tab w:leader="none" w:pos="1284"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“Disability” means the inability of Executive to substantially perform the customary duties and responsibilities of Executive’s Employment with Company or an Affiliate for a period of at least 120 consecutive days or 120 days in any 12-month period by reason of a physical or mental incapacity which is expected to result in death or last indefinitely, as determined by a duly licensed physician appointed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EVP Executive Transition Agreement (SEC Filing Exhibit)</w:t>
      </w:r>
    </w:p>
    <w:p>
      <w:pPr>
        <w:sectPr>
          <w:pgSz w:w="11900" w:h="16838" w:orient="portrait"/>
          <w:cols w:equalWidth="0" w:num="1">
            <w:col w:w="11240"/>
          </w:cols>
          <w:pgMar w:left="320" w:top="1260" w:right="339" w:bottom="1440" w:gutter="0" w:footer="0" w:header="0"/>
        </w:sectPr>
      </w:pPr>
    </w:p>
    <w:bookmarkStart w:id="36" w:name="page37"/>
    <w:bookmarkEnd w:id="36"/>
    <w:p>
      <w:pPr>
        <w:ind w:left="1300" w:hanging="644"/>
        <w:spacing w:after="0"/>
        <w:tabs>
          <w:tab w:leader="none" w:pos="1300"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“Employment” means Executive’s employment with the Company and/or any of its Affiliates.</w:t>
      </w:r>
    </w:p>
    <w:p>
      <w:pPr>
        <w:spacing w:after="0" w:line="219"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284"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“Good Reason” means the occurrence of any of the following without the written consent of Executive: (1) a material diminution by Company or an Affiliate of Executive’s duties or responsibilities in a manner which is inconsistent with Executive’s position or which has or is reasonably likely to have a material adverse effect on Executive’s status or authority; (2) a relocation by more than 50 miles of Executive’s principal place of business; or (3) a material reduction by Company or an Affiliate of Executive’s rate of salary or annual incentive opportunity; or (4) a breach by Company or any of its Affiliates of a material provision of any written employment or other agreement with Executive; provided, however, the Executive must provide the Company with notice of the existence of the Good Reason condition within ninety (90) days of the condition first occurring and provide the Company with thirty (30) business days following notice thereof to correct the condition.</w:t>
      </w:r>
    </w:p>
    <w:p>
      <w:pPr>
        <w:spacing w:after="0" w:line="186" w:lineRule="exact"/>
        <w:rPr>
          <w:rFonts w:ascii="Times New Roman" w:cs="Times New Roman" w:eastAsia="Times New Roman" w:hAnsi="Times New Roman"/>
          <w:sz w:val="22"/>
          <w:szCs w:val="22"/>
          <w:color w:val="010000"/>
        </w:rPr>
      </w:pPr>
    </w:p>
    <w:p>
      <w:pPr>
        <w:jc w:val="both"/>
        <w:ind w:firstLine="656"/>
        <w:spacing w:after="0" w:line="249" w:lineRule="auto"/>
        <w:tabs>
          <w:tab w:leader="none" w:pos="1284"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 Rata Bonus” means the annual bonus, if any, which (if not for Executive’s termination of Employment) Executive would have earned, as determined in the Company’s sole discretion, for the calendar year in which the Executive’s Employment terminates, multiplied by a fraction, the numerator of which is the number of days elapsed from the beginning of the calendar year in which the Executive’s Employment terminates until the date the Executive’s Employment terminates, and the denominator of which is 365; provided that such payment shall be paid in a lump sum in cash in the normal course upon the Company’s completion of annual bonus calculations, but in no event later than March 15 of the year following the year in which Executive’s termination of Employment occurred. If the Executive’s Employment terminates before April 1 of a calendar year, the Pro Rata Bonus for such calendar year shall be deemed to be zero.</w:t>
      </w:r>
    </w:p>
    <w:p>
      <w:pPr>
        <w:spacing w:after="0" w:line="181"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291"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[“Salary” means, as of the effective date of the termination of Executive’s Employment with Company and its Affiliates, the sum of Executive’s highest annual rate of salary at any time during the 24 months preceding Executive’s separation from the Company.] [“Salary &amp; Bonus” means, as of the effective date of the termination of Executive’s Employment with Company and its Affiliates, the sum of: (1) Executive’s highest annual rate of salary at any time during the 24 months preceding Executive’s separation from the Company, and (2) Executive’s average annual bonus for the two preceding calendar years. If the number of preceding years of Executive’s Employment is less than two, then the bonus component of Executive’s Salary &amp; Bonus will be equal to bonus earned during the calendar year preceding the date of Executive’s termination of Employment; and, if Executive has not completed at least a full calendar year of Employment, the bonus component of Executive’s Salary &amp; Bonus will be zero.]</w:t>
      </w:r>
    </w:p>
    <w:p>
      <w:pPr>
        <w:spacing w:after="0" w:line="180" w:lineRule="exact"/>
        <w:rPr>
          <w:sz w:val="20"/>
          <w:szCs w:val="20"/>
          <w:color w:val="auto"/>
        </w:rPr>
      </w:pPr>
    </w:p>
    <w:p>
      <w:pPr>
        <w:jc w:val="both"/>
        <w:ind w:firstLine="656"/>
        <w:spacing w:after="0" w:line="251"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Severance Protection (Not in Conjunction With a Change in Control)</w:t>
      </w:r>
      <w:r>
        <w:rPr>
          <w:rFonts w:ascii="Times New Roman" w:cs="Times New Roman" w:eastAsia="Times New Roman" w:hAnsi="Times New Roman"/>
          <w:sz w:val="22"/>
          <w:szCs w:val="22"/>
          <w:color w:val="auto"/>
        </w:rPr>
        <w:t>. Subject to the provisions hereof, including, without limitation, Section 7 (relating to non-duplication of payments and benefits provided under other agreements and arrangements) and Section 8 (relating to the execution and delivery of a release as a condition of Executive’s (or a beneficiary’s) entitlement to payments and benefits hereunder), upon termination of Employment, other than a termination of Employment in conjunction with a Change in Control to which Section 4 applies, Executive (or Executive’s beneficiary, as the case may be) will be entitled to receive the applicable severance payments and benefits set forth in this Section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EVP Executive Transition Agreement (SEC Filing Exhibit)</w:t>
      </w:r>
    </w:p>
    <w:p>
      <w:pPr>
        <w:sectPr>
          <w:pgSz w:w="11900" w:h="16838" w:orient="portrait"/>
          <w:cols w:equalWidth="0" w:num="1">
            <w:col w:w="11240"/>
          </w:cols>
          <w:pgMar w:left="320" w:top="1260" w:right="339" w:bottom="1440" w:gutter="0" w:footer="0" w:header="0"/>
        </w:sectPr>
      </w:pPr>
    </w:p>
    <w:bookmarkStart w:id="37" w:name="page38"/>
    <w:bookmarkEnd w:id="37"/>
    <w:p>
      <w:pPr>
        <w:ind w:right="20" w:firstLine="656"/>
        <w:spacing w:after="0" w:line="271" w:lineRule="auto"/>
        <w:tabs>
          <w:tab w:leader="none" w:pos="1293"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by Company or an Affiliate without Cause</w:t>
      </w:r>
      <w:r>
        <w:rPr>
          <w:rFonts w:ascii="Times New Roman" w:cs="Times New Roman" w:eastAsia="Times New Roman" w:hAnsi="Times New Roman"/>
          <w:sz w:val="22"/>
          <w:szCs w:val="22"/>
          <w:color w:val="auto"/>
        </w:rPr>
        <w:t>. If Executive’s Employment is terminated by the Company or an Affiliate without Cause, then Executive shall be entitled to receive the following payments and benefits:</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010000"/>
        </w:rPr>
        <w:t>(i)</w:t>
      </w:r>
      <w:r>
        <w:rPr>
          <w:rFonts w:ascii="Times New Roman" w:cs="Times New Roman" w:eastAsia="Times New Roman" w:hAnsi="Times New Roman"/>
          <w:sz w:val="22"/>
          <w:szCs w:val="22"/>
          <w:color w:val="000000"/>
        </w:rPr>
        <w:t>Accrued Compensation;</w:t>
      </w:r>
    </w:p>
    <w:p>
      <w:pPr>
        <w:spacing w:after="0" w:line="2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010000"/>
        </w:rPr>
        <w:t>(ii)</w:t>
      </w:r>
      <w:r>
        <w:rPr>
          <w:rFonts w:ascii="Times New Roman" w:cs="Times New Roman" w:eastAsia="Times New Roman" w:hAnsi="Times New Roman"/>
          <w:sz w:val="22"/>
          <w:szCs w:val="22"/>
          <w:color w:val="000000"/>
        </w:rPr>
        <w:t>Pro Rata Bonus, which shall be paid to the Executive pursuant to Section 2(m) above;</w:t>
      </w:r>
    </w:p>
    <w:p>
      <w:pPr>
        <w:spacing w:after="0" w:line="220" w:lineRule="exact"/>
        <w:rPr>
          <w:sz w:val="20"/>
          <w:szCs w:val="20"/>
          <w:color w:val="auto"/>
        </w:rPr>
      </w:pPr>
    </w:p>
    <w:p>
      <w:pPr>
        <w:jc w:val="both"/>
        <w:ind w:left="660" w:firstLine="324"/>
        <w:spacing w:after="0" w:line="257" w:lineRule="auto"/>
        <w:rPr>
          <w:sz w:val="20"/>
          <w:szCs w:val="20"/>
          <w:color w:val="auto"/>
        </w:rPr>
      </w:pPr>
      <w:r>
        <w:rPr>
          <w:rFonts w:ascii="Times New Roman" w:cs="Times New Roman" w:eastAsia="Times New Roman" w:hAnsi="Times New Roman"/>
          <w:sz w:val="22"/>
          <w:szCs w:val="22"/>
          <w:color w:val="010000"/>
        </w:rPr>
        <w:t>(iii)</w:t>
      </w:r>
      <w:r>
        <w:rPr>
          <w:rFonts w:ascii="Times New Roman" w:cs="Times New Roman" w:eastAsia="Times New Roman" w:hAnsi="Times New Roman"/>
          <w:sz w:val="22"/>
          <w:szCs w:val="22"/>
          <w:color w:val="000000"/>
        </w:rPr>
        <w:t>Eighteen months (78 weeks) of Executive’s [Salary] [Salary &amp; Bonus], payable to Executive in equal monthly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at the option of the Company, more frequent) installments; provided however, all payments must be made by the second December 31 following the calendar year of the termination of employment; and</w:t>
      </w:r>
    </w:p>
    <w:p>
      <w:pPr>
        <w:spacing w:after="0" w:line="173" w:lineRule="exact"/>
        <w:rPr>
          <w:sz w:val="20"/>
          <w:szCs w:val="20"/>
          <w:color w:val="auto"/>
        </w:rPr>
      </w:pPr>
    </w:p>
    <w:p>
      <w:pPr>
        <w:jc w:val="both"/>
        <w:ind w:left="660" w:firstLine="336"/>
        <w:spacing w:after="0" w:line="263" w:lineRule="auto"/>
        <w:rPr>
          <w:sz w:val="20"/>
          <w:szCs w:val="20"/>
          <w:color w:val="auto"/>
        </w:rPr>
      </w:pPr>
      <w:r>
        <w:rPr>
          <w:rFonts w:ascii="Times New Roman" w:cs="Times New Roman" w:eastAsia="Times New Roman" w:hAnsi="Times New Roman"/>
          <w:sz w:val="22"/>
          <w:szCs w:val="22"/>
          <w:color w:val="010000"/>
        </w:rPr>
        <w:t>(iv)</w:t>
      </w:r>
      <w:r>
        <w:rPr>
          <w:rFonts w:ascii="Times New Roman" w:cs="Times New Roman" w:eastAsia="Times New Roman" w:hAnsi="Times New Roman"/>
          <w:sz w:val="22"/>
          <w:szCs w:val="22"/>
          <w:color w:val="000000"/>
        </w:rPr>
        <w:t>Benefit Continuation Coverage for the period covered by Section 3(a)(iii); provided, however, if the Company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determines that the provision of subsidized coverage is discriminatory under Section 105(h) of the Code, then such subsidy shall cease and the Executive shall receive additional severance which equals any remaining subsidy amount.</w:t>
      </w:r>
    </w:p>
    <w:p>
      <w:pPr>
        <w:spacing w:after="0" w:line="167" w:lineRule="exact"/>
        <w:rPr>
          <w:sz w:val="20"/>
          <w:szCs w:val="20"/>
          <w:color w:val="auto"/>
        </w:rPr>
      </w:pPr>
    </w:p>
    <w:p>
      <w:pPr>
        <w:jc w:val="both"/>
        <w:ind w:firstLine="656"/>
        <w:spacing w:after="0" w:line="257" w:lineRule="auto"/>
        <w:tabs>
          <w:tab w:leader="none" w:pos="1291"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Disability or Death</w:t>
      </w:r>
      <w:r>
        <w:rPr>
          <w:rFonts w:ascii="Times New Roman" w:cs="Times New Roman" w:eastAsia="Times New Roman" w:hAnsi="Times New Roman"/>
          <w:sz w:val="22"/>
          <w:szCs w:val="22"/>
          <w:color w:val="auto"/>
        </w:rPr>
        <w:t>. If Executive’s Employment is terminated by the Company or an Affiliate due to Executive’s Disability or if Executive’s Employment terminates by reason of death, then Executive (or Executive’s beneficiary) shall be entitled to receive the following payments and benefits:</w:t>
      </w:r>
    </w:p>
    <w:p>
      <w:pPr>
        <w:spacing w:after="0" w:line="17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010000"/>
        </w:rPr>
        <w:t>(i)</w:t>
      </w:r>
      <w:r>
        <w:rPr>
          <w:rFonts w:ascii="Times New Roman" w:cs="Times New Roman" w:eastAsia="Times New Roman" w:hAnsi="Times New Roman"/>
          <w:sz w:val="22"/>
          <w:szCs w:val="22"/>
          <w:color w:val="000000"/>
        </w:rPr>
        <w:t>Accrued Compensation;</w:t>
      </w:r>
    </w:p>
    <w:p>
      <w:pPr>
        <w:spacing w:after="0" w:line="2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010000"/>
        </w:rPr>
        <w:t>(ii)</w:t>
      </w:r>
      <w:r>
        <w:rPr>
          <w:rFonts w:ascii="Times New Roman" w:cs="Times New Roman" w:eastAsia="Times New Roman" w:hAnsi="Times New Roman"/>
          <w:sz w:val="22"/>
          <w:szCs w:val="22"/>
          <w:color w:val="000000"/>
        </w:rPr>
        <w:t>Pro Rata Bonus, which shall be paid to the Executive pursuant to Section 2(m) above; and</w:t>
      </w:r>
    </w:p>
    <w:p>
      <w:pPr>
        <w:spacing w:after="0" w:line="220" w:lineRule="exact"/>
        <w:rPr>
          <w:sz w:val="20"/>
          <w:szCs w:val="20"/>
          <w:color w:val="auto"/>
        </w:rPr>
      </w:pPr>
    </w:p>
    <w:p>
      <w:pPr>
        <w:jc w:val="both"/>
        <w:ind w:left="660" w:firstLine="324"/>
        <w:spacing w:after="0" w:line="252" w:lineRule="auto"/>
        <w:rPr>
          <w:sz w:val="20"/>
          <w:szCs w:val="20"/>
          <w:color w:val="auto"/>
        </w:rPr>
      </w:pPr>
      <w:r>
        <w:rPr>
          <w:rFonts w:ascii="Times New Roman" w:cs="Times New Roman" w:eastAsia="Times New Roman" w:hAnsi="Times New Roman"/>
          <w:sz w:val="22"/>
          <w:szCs w:val="22"/>
          <w:color w:val="010000"/>
        </w:rPr>
        <w:t>(iii)</w:t>
      </w:r>
      <w:r>
        <w:rPr>
          <w:rFonts w:ascii="Times New Roman" w:cs="Times New Roman" w:eastAsia="Times New Roman" w:hAnsi="Times New Roman"/>
          <w:sz w:val="22"/>
          <w:szCs w:val="22"/>
          <w:color w:val="000000"/>
        </w:rPr>
        <w:t>Benefit Continuation Coverage for the applicable COBRA continuation period, up to the sooner of the end of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continuation period or fifty-two (52) weeks following termination; provided, however, if the Company determines that the provision of subsidized coverage is discriminatory under Section 105(h) of the Code, then such subsidy shall cease and the Executive shall receive additional severance which equals any remaining subsidy amount.</w:t>
      </w:r>
    </w:p>
    <w:p>
      <w:pPr>
        <w:spacing w:after="0" w:line="193" w:lineRule="exact"/>
        <w:rPr>
          <w:sz w:val="20"/>
          <w:szCs w:val="20"/>
          <w:color w:val="auto"/>
        </w:rPr>
      </w:pPr>
    </w:p>
    <w:p>
      <w:pPr>
        <w:jc w:val="both"/>
        <w:ind w:firstLine="656"/>
        <w:spacing w:after="0" w:line="252" w:lineRule="auto"/>
        <w:tabs>
          <w:tab w:leader="none" w:pos="1293"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by Company or an Affiliate for Cause or Termination by Executive</w:t>
      </w:r>
      <w:r>
        <w:rPr>
          <w:rFonts w:ascii="Times New Roman" w:cs="Times New Roman" w:eastAsia="Times New Roman" w:hAnsi="Times New Roman"/>
          <w:sz w:val="22"/>
          <w:szCs w:val="22"/>
          <w:color w:val="auto"/>
        </w:rPr>
        <w:t>. If Company or an Affiliate terminates Executive’s Employment for Cause or if Executive terminates such Employment for any reason (other than death), then Executive shall be entitled to receive any Accrued Compensation, subject to set off for amounts owed by Executive to Company or an Affiliate, and nothing more.</w:t>
      </w:r>
    </w:p>
    <w:p>
      <w:pPr>
        <w:spacing w:after="0" w:line="179" w:lineRule="exact"/>
        <w:rPr>
          <w:rFonts w:ascii="Times New Roman" w:cs="Times New Roman" w:eastAsia="Times New Roman" w:hAnsi="Times New Roman"/>
          <w:sz w:val="22"/>
          <w:szCs w:val="22"/>
          <w:color w:val="010000"/>
        </w:rPr>
      </w:pPr>
    </w:p>
    <w:p>
      <w:pPr>
        <w:ind w:firstLine="656"/>
        <w:spacing w:after="0" w:line="284" w:lineRule="auto"/>
        <w:tabs>
          <w:tab w:leader="none" w:pos="1291"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Restoration</w:t>
      </w:r>
      <w:r>
        <w:rPr>
          <w:rFonts w:ascii="Times New Roman" w:cs="Times New Roman" w:eastAsia="Times New Roman" w:hAnsi="Times New Roman"/>
          <w:sz w:val="22"/>
          <w:szCs w:val="22"/>
          <w:color w:val="auto"/>
        </w:rPr>
        <w:t>. Any severance payments and benefits paid under this Section 3 shall be subject to continuing compliance with the covenants described in and repayment pursuant to Section 9.</w:t>
      </w:r>
    </w:p>
    <w:p>
      <w:pPr>
        <w:spacing w:after="0" w:line="144" w:lineRule="exact"/>
        <w:rPr>
          <w:sz w:val="20"/>
          <w:szCs w:val="20"/>
          <w:color w:val="auto"/>
        </w:rPr>
      </w:pPr>
    </w:p>
    <w:p>
      <w:pPr>
        <w:jc w:val="both"/>
        <w:ind w:firstLine="656"/>
        <w:spacing w:after="0" w:line="257"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in Conjunction with a Change in Control (4(a) through (d))</w:t>
      </w:r>
      <w:r>
        <w:rPr>
          <w:rFonts w:ascii="Times New Roman" w:cs="Times New Roman" w:eastAsia="Times New Roman" w:hAnsi="Times New Roman"/>
          <w:sz w:val="22"/>
          <w:szCs w:val="22"/>
          <w:color w:val="auto"/>
        </w:rPr>
        <w:t>. Subject to the provisions hereof, including, without limitation, Section 6 (relating to a reduction of severance payments and benefits in order to avoid adverse tax consequences), Section 7 (relating to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EVP Executive Transition Agreement (SEC Filing Exhibit)</w:t>
      </w:r>
    </w:p>
    <w:p>
      <w:pPr>
        <w:sectPr>
          <w:pgSz w:w="11900" w:h="16838" w:orient="portrait"/>
          <w:cols w:equalWidth="0" w:num="1">
            <w:col w:w="11240"/>
          </w:cols>
          <w:pgMar w:left="320" w:top="1260" w:right="339" w:bottom="1440" w:gutter="0" w:footer="0" w:header="0"/>
        </w:sectPr>
      </w:pPr>
    </w:p>
    <w:bookmarkStart w:id="38" w:name="page39"/>
    <w:bookmarkEnd w:id="38"/>
    <w:p>
      <w:pPr>
        <w:jc w:val="both"/>
        <w:spacing w:after="0" w:line="247" w:lineRule="auto"/>
        <w:rPr>
          <w:sz w:val="20"/>
          <w:szCs w:val="20"/>
          <w:color w:val="auto"/>
        </w:rPr>
      </w:pPr>
      <w:r>
        <w:rPr>
          <w:rFonts w:ascii="Times New Roman" w:cs="Times New Roman" w:eastAsia="Times New Roman" w:hAnsi="Times New Roman"/>
          <w:sz w:val="22"/>
          <w:szCs w:val="22"/>
          <w:color w:val="auto"/>
        </w:rPr>
        <w:t>duplication of payments and benefits provided under other agreements and arrangements), and Section 8 (relating to execution and delivery of a general release as a condition of Executive’s (or a beneficiary’s) entitlement to payments and benefits hereunder), upon the termination of Executive’s Employment with Company and its Affiliates in conjunction with a Change in Control, Executive (or Executive’s beneficiary, as the case may be) will be entitled to receive the applicable severance payments and benefits set forth in this Section 4. For the purposes hereof, a termination of Employment is in conjunction with a Change in Control if (and only if) it occurs during the period beginning six (6) months prior to a Change in Control (or, in the case of a Change in Control described in Section 2(f)(i) or (ii), beginning on the date of the definitive agreement pursuant to which the Change in Control is consummated) and ending on the second anniversary of the date of the Change in Control. If Executive (or Executive’s beneficiary) is entitled to receive payments and benefits under Section 3 (due to a termination of Employment not in conjunction with a Change in Control) and if, by reason of a subsequent Change in Control, Executive’s termination of Employment is deemed to be in conjunction with the Change in Control, then, in order to avoid duplication, the payments and benefits to which Executive (or Executive’s beneficiary) is entitled under this Section 4 upon and following the Change in Control will be reduced by the payments and benefits which Executive received under Section 3, and no further payments will be made under Section 3.</w:t>
      </w:r>
    </w:p>
    <w:p>
      <w:pPr>
        <w:spacing w:after="0" w:line="203" w:lineRule="exact"/>
        <w:rPr>
          <w:sz w:val="20"/>
          <w:szCs w:val="20"/>
          <w:color w:val="auto"/>
        </w:rPr>
      </w:pPr>
    </w:p>
    <w:p>
      <w:pPr>
        <w:jc w:val="both"/>
        <w:ind w:firstLine="656"/>
        <w:spacing w:after="0" w:line="257" w:lineRule="auto"/>
        <w:tabs>
          <w:tab w:leader="none" w:pos="1293"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by Company or an Affiliate without Cause or by Executive for Good Reason</w:t>
      </w:r>
      <w:r>
        <w:rPr>
          <w:rFonts w:ascii="Times New Roman" w:cs="Times New Roman" w:eastAsia="Times New Roman" w:hAnsi="Times New Roman"/>
          <w:sz w:val="22"/>
          <w:szCs w:val="22"/>
          <w:color w:val="auto"/>
        </w:rPr>
        <w:t>. If Executive’s Employment is terminated by Company or an Affiliate without Cause or by Executive for Good Reason, then Executive shall be entitled to receive the following payments and benefits:</w:t>
      </w:r>
    </w:p>
    <w:p>
      <w:pPr>
        <w:spacing w:after="0" w:line="17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010000"/>
        </w:rPr>
        <w:t>(i)</w:t>
      </w:r>
      <w:r>
        <w:rPr>
          <w:rFonts w:ascii="Times New Roman" w:cs="Times New Roman" w:eastAsia="Times New Roman" w:hAnsi="Times New Roman"/>
          <w:sz w:val="22"/>
          <w:szCs w:val="22"/>
          <w:color w:val="000000"/>
        </w:rPr>
        <w:t>Accrued Compensation;</w:t>
      </w:r>
    </w:p>
    <w:p>
      <w:pPr>
        <w:spacing w:after="0" w:line="2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010000"/>
        </w:rPr>
        <w:t>(ii)</w:t>
      </w:r>
      <w:r>
        <w:rPr>
          <w:rFonts w:ascii="Times New Roman" w:cs="Times New Roman" w:eastAsia="Times New Roman" w:hAnsi="Times New Roman"/>
          <w:sz w:val="22"/>
          <w:szCs w:val="22"/>
          <w:color w:val="000000"/>
        </w:rPr>
        <w:t>Pro Rata Bonus, which shall be paid to the Executive pursuant to Section 2(m) above;</w:t>
      </w:r>
    </w:p>
    <w:p>
      <w:pPr>
        <w:spacing w:after="0" w:line="233" w:lineRule="exact"/>
        <w:rPr>
          <w:sz w:val="20"/>
          <w:szCs w:val="20"/>
          <w:color w:val="auto"/>
        </w:rPr>
      </w:pPr>
    </w:p>
    <w:p>
      <w:pPr>
        <w:jc w:val="both"/>
        <w:ind w:left="660" w:firstLine="324"/>
        <w:spacing w:after="0" w:line="257" w:lineRule="auto"/>
        <w:rPr>
          <w:sz w:val="20"/>
          <w:szCs w:val="20"/>
          <w:color w:val="auto"/>
        </w:rPr>
      </w:pPr>
      <w:r>
        <w:rPr>
          <w:rFonts w:ascii="Times New Roman" w:cs="Times New Roman" w:eastAsia="Times New Roman" w:hAnsi="Times New Roman"/>
          <w:sz w:val="22"/>
          <w:szCs w:val="22"/>
          <w:color w:val="010000"/>
        </w:rPr>
        <w:t>(iii)</w:t>
      </w:r>
      <w:r>
        <w:rPr>
          <w:rFonts w:ascii="Times New Roman" w:cs="Times New Roman" w:eastAsia="Times New Roman" w:hAnsi="Times New Roman"/>
          <w:sz w:val="22"/>
          <w:szCs w:val="22"/>
          <w:color w:val="000000"/>
        </w:rPr>
        <w:t>an amount equal to 2.0 times [Salary] [Salary &amp; Bonus], which amount shall be payable in a lump sum in cash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within ten (10) business days following the date of Executive’s termination of Employment or, if later, the date of the Change in Control; and</w:t>
      </w:r>
    </w:p>
    <w:p>
      <w:pPr>
        <w:spacing w:after="0" w:line="173" w:lineRule="exact"/>
        <w:rPr>
          <w:sz w:val="20"/>
          <w:szCs w:val="20"/>
          <w:color w:val="auto"/>
        </w:rPr>
      </w:pPr>
    </w:p>
    <w:p>
      <w:pPr>
        <w:jc w:val="both"/>
        <w:ind w:left="660" w:firstLine="336"/>
        <w:spacing w:after="0" w:line="256" w:lineRule="auto"/>
        <w:rPr>
          <w:sz w:val="20"/>
          <w:szCs w:val="20"/>
          <w:color w:val="auto"/>
        </w:rPr>
      </w:pPr>
      <w:r>
        <w:rPr>
          <w:rFonts w:ascii="Times New Roman" w:cs="Times New Roman" w:eastAsia="Times New Roman" w:hAnsi="Times New Roman"/>
          <w:sz w:val="22"/>
          <w:szCs w:val="22"/>
          <w:color w:val="010000"/>
        </w:rPr>
        <w:t>(iv)</w:t>
      </w:r>
      <w:r>
        <w:rPr>
          <w:rFonts w:ascii="Times New Roman" w:cs="Times New Roman" w:eastAsia="Times New Roman" w:hAnsi="Times New Roman"/>
          <w:sz w:val="22"/>
          <w:szCs w:val="22"/>
          <w:color w:val="000000"/>
        </w:rPr>
        <w:t>Benefit Continuation Coverage for the applicable COBRA continuation period, up to the sooner of the end of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continuation period or two (2) years following termination; provided, however, if the Company determines that the provision of subsidized coverage is discriminatory under Section 105(h) of the Code, then such subsidy shall cease and the Executive shall receive additional severance which equals any remaining subsidy amount.</w:t>
      </w:r>
    </w:p>
    <w:p>
      <w:pPr>
        <w:spacing w:after="0" w:line="176" w:lineRule="exact"/>
        <w:rPr>
          <w:sz w:val="20"/>
          <w:szCs w:val="20"/>
          <w:color w:val="auto"/>
        </w:rPr>
      </w:pPr>
    </w:p>
    <w:p>
      <w:pPr>
        <w:jc w:val="both"/>
        <w:ind w:firstLine="656"/>
        <w:spacing w:after="0" w:line="257" w:lineRule="auto"/>
        <w:tabs>
          <w:tab w:leader="none" w:pos="1291"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Disability or Death</w:t>
      </w:r>
      <w:r>
        <w:rPr>
          <w:rFonts w:ascii="Times New Roman" w:cs="Times New Roman" w:eastAsia="Times New Roman" w:hAnsi="Times New Roman"/>
          <w:sz w:val="22"/>
          <w:szCs w:val="22"/>
          <w:color w:val="auto"/>
        </w:rPr>
        <w:t>. If Executive’s Employment is terminated by Company or an Affiliate due to Executive’s Disability, or if Executive’s Employment terminates by reason of death, then Executive (or Executive’s beneficiary) shall be entitled to receive the following payments and benefits:</w:t>
      </w:r>
    </w:p>
    <w:p>
      <w:pPr>
        <w:spacing w:after="0" w:line="17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010000"/>
        </w:rPr>
        <w:t>(i)</w:t>
      </w:r>
      <w:r>
        <w:rPr>
          <w:rFonts w:ascii="Times New Roman" w:cs="Times New Roman" w:eastAsia="Times New Roman" w:hAnsi="Times New Roman"/>
          <w:sz w:val="22"/>
          <w:szCs w:val="22"/>
          <w:color w:val="000000"/>
        </w:rPr>
        <w:t>Accrued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EVP Executive Transition Agreement (SEC Filing Exhibit)</w:t>
      </w:r>
    </w:p>
    <w:p>
      <w:pPr>
        <w:sectPr>
          <w:pgSz w:w="11900" w:h="16838" w:orient="portrait"/>
          <w:cols w:equalWidth="0" w:num="1">
            <w:col w:w="11240"/>
          </w:cols>
          <w:pgMar w:left="320" w:top="1260" w:right="339" w:bottom="1440" w:gutter="0" w:footer="0" w:header="0"/>
        </w:sectPr>
      </w:pPr>
    </w:p>
    <w:bookmarkStart w:id="39" w:name="page40"/>
    <w:bookmarkEnd w:id="39"/>
    <w:p>
      <w:pPr>
        <w:ind w:left="1040"/>
        <w:spacing w:after="0"/>
        <w:rPr>
          <w:sz w:val="20"/>
          <w:szCs w:val="20"/>
          <w:color w:val="auto"/>
        </w:rPr>
      </w:pPr>
      <w:r>
        <w:rPr>
          <w:rFonts w:ascii="Times New Roman" w:cs="Times New Roman" w:eastAsia="Times New Roman" w:hAnsi="Times New Roman"/>
          <w:sz w:val="22"/>
          <w:szCs w:val="22"/>
          <w:color w:val="010000"/>
        </w:rPr>
        <w:t>(ii)</w:t>
      </w:r>
      <w:r>
        <w:rPr>
          <w:rFonts w:ascii="Times New Roman" w:cs="Times New Roman" w:eastAsia="Times New Roman" w:hAnsi="Times New Roman"/>
          <w:sz w:val="22"/>
          <w:szCs w:val="22"/>
          <w:color w:val="000000"/>
        </w:rPr>
        <w:t>Pro Rata Bonus, which shall be paid to the Executive pursuant to Section 2(m) above; and</w:t>
      </w:r>
    </w:p>
    <w:p>
      <w:pPr>
        <w:spacing w:after="0" w:line="220" w:lineRule="exact"/>
        <w:rPr>
          <w:sz w:val="20"/>
          <w:szCs w:val="20"/>
          <w:color w:val="auto"/>
        </w:rPr>
      </w:pPr>
    </w:p>
    <w:p>
      <w:pPr>
        <w:jc w:val="both"/>
        <w:ind w:left="660" w:firstLine="324"/>
        <w:spacing w:after="0" w:line="256" w:lineRule="auto"/>
        <w:rPr>
          <w:sz w:val="20"/>
          <w:szCs w:val="20"/>
          <w:color w:val="auto"/>
        </w:rPr>
      </w:pPr>
      <w:r>
        <w:rPr>
          <w:rFonts w:ascii="Times New Roman" w:cs="Times New Roman" w:eastAsia="Times New Roman" w:hAnsi="Times New Roman"/>
          <w:sz w:val="22"/>
          <w:szCs w:val="22"/>
          <w:color w:val="010000"/>
        </w:rPr>
        <w:t>(iii)</w:t>
      </w:r>
      <w:r>
        <w:rPr>
          <w:rFonts w:ascii="Times New Roman" w:cs="Times New Roman" w:eastAsia="Times New Roman" w:hAnsi="Times New Roman"/>
          <w:sz w:val="22"/>
          <w:szCs w:val="22"/>
          <w:color w:val="000000"/>
        </w:rPr>
        <w:t>Benefit Continuation Coverage for the applicable COBRA continuation period, up to the sooner of the end of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continuation period or fifty-two (52) weeks following termination; provided, however, if the Company determines that the provision of subsidized coverage is discriminatory under Section 105(h) of the Code, then such subsidy shall cease and the Executive shall receive additional severance which equals any remaining subsidy amount.</w:t>
      </w:r>
    </w:p>
    <w:p>
      <w:pPr>
        <w:spacing w:after="0" w:line="176" w:lineRule="exact"/>
        <w:rPr>
          <w:sz w:val="20"/>
          <w:szCs w:val="20"/>
          <w:color w:val="auto"/>
        </w:rPr>
      </w:pPr>
    </w:p>
    <w:p>
      <w:pPr>
        <w:jc w:val="both"/>
        <w:ind w:firstLine="656"/>
        <w:spacing w:after="0" w:line="256" w:lineRule="auto"/>
        <w:tabs>
          <w:tab w:leader="none" w:pos="1293"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by Company or an Affiliate for Cause or Termination by Executive without Good Reason</w:t>
      </w:r>
      <w:r>
        <w:rPr>
          <w:rFonts w:ascii="Times New Roman" w:cs="Times New Roman" w:eastAsia="Times New Roman" w:hAnsi="Times New Roman"/>
          <w:sz w:val="22"/>
          <w:szCs w:val="22"/>
          <w:color w:val="auto"/>
        </w:rPr>
        <w:t>. If Executive’s Employment is terminated by Company or an Affiliate for Cause or is terminated by Executive without Good Reason, Executive shall be entitled to receive Accrued Compensation through the date of termination, subject to set off for amounts owed by Executive to Company or an Affiliate, and nothing more.</w:t>
      </w:r>
    </w:p>
    <w:p>
      <w:pPr>
        <w:spacing w:after="0" w:line="176" w:lineRule="exact"/>
        <w:rPr>
          <w:rFonts w:ascii="Times New Roman" w:cs="Times New Roman" w:eastAsia="Times New Roman" w:hAnsi="Times New Roman"/>
          <w:sz w:val="22"/>
          <w:szCs w:val="22"/>
          <w:color w:val="010000"/>
        </w:rPr>
      </w:pPr>
    </w:p>
    <w:p>
      <w:pPr>
        <w:ind w:firstLine="656"/>
        <w:spacing w:after="0" w:line="271" w:lineRule="auto"/>
        <w:tabs>
          <w:tab w:leader="none" w:pos="1291"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Restoration</w:t>
      </w:r>
      <w:r>
        <w:rPr>
          <w:rFonts w:ascii="Times New Roman" w:cs="Times New Roman" w:eastAsia="Times New Roman" w:hAnsi="Times New Roman"/>
          <w:sz w:val="22"/>
          <w:szCs w:val="22"/>
          <w:color w:val="auto"/>
        </w:rPr>
        <w:t>. Any severance payments and benefits paid under this Section 4 shall be subject to continuing compliance with the covenants described in and repayment pursuant to Section 9.</w:t>
      </w:r>
    </w:p>
    <w:p>
      <w:pPr>
        <w:spacing w:after="0" w:line="158" w:lineRule="exact"/>
        <w:rPr>
          <w:sz w:val="20"/>
          <w:szCs w:val="20"/>
          <w:color w:val="auto"/>
        </w:rPr>
      </w:pPr>
    </w:p>
    <w:p>
      <w:pPr>
        <w:jc w:val="both"/>
        <w:ind w:firstLine="656"/>
        <w:spacing w:after="0" w:line="256"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Treatment of Equity-Based Awards</w:t>
      </w:r>
      <w:r>
        <w:rPr>
          <w:rFonts w:ascii="Times New Roman" w:cs="Times New Roman" w:eastAsia="Times New Roman" w:hAnsi="Times New Roman"/>
          <w:sz w:val="22"/>
          <w:szCs w:val="22"/>
          <w:color w:val="auto"/>
        </w:rPr>
        <w:t>. The treatment of all outstanding Company equity-based awards granted to Executive under the Upbound Group, Inc. Amended 2021 Long-Term Incentive Plan (or under any later plan adopted by the Company, collectively, the “LTIP”) in a “change in control” (as defined in the LTIP) shall be governed by the LTIP and the relevant award agreement.</w:t>
      </w:r>
    </w:p>
    <w:p>
      <w:pPr>
        <w:spacing w:after="0" w:line="17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Golden Parachute Tax Limitation</w:t>
      </w:r>
      <w:r>
        <w:rPr>
          <w:rFonts w:ascii="Times New Roman" w:cs="Times New Roman" w:eastAsia="Times New Roman" w:hAnsi="Times New Roman"/>
          <w:sz w:val="22"/>
          <w:szCs w:val="22"/>
          <w:color w:val="auto"/>
        </w:rPr>
        <w:t>. If Executive is entitled to receive payments and benefits under this Agreement and if, when combined with the payments and benefits Executive is entitled to receive under any other plan, program or arrangement of Company or an Affiliate, Executive would be subject to excise tax under Section 4999 of the Code or Company would be denied a deduction under Section 280G of the Code, then the severance amounts otherwise payable to Executive under this Agreement will be reduced by the minimum amount necessary to ensure that Executive will not be subject to such excise tax and Company will not be denied any such deduction.</w:t>
      </w:r>
    </w:p>
    <w:p>
      <w:pPr>
        <w:spacing w:after="0" w:line="18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Other Agreements</w:t>
      </w:r>
      <w:r>
        <w:rPr>
          <w:rFonts w:ascii="Times New Roman" w:cs="Times New Roman" w:eastAsia="Times New Roman" w:hAnsi="Times New Roman"/>
          <w:sz w:val="22"/>
          <w:szCs w:val="22"/>
          <w:color w:val="auto"/>
        </w:rPr>
        <w:t>. Notwithstanding the provisions hereof, the post-termination payment and benefit provisions of Executive’s written employment or other agreement with Company or an Affiliate in force at the termination of Executive’s Employment (if any) will apply in lieu of the provisions hereof if and to the extent that, with respect to Executive’s termination of Employment, the provisions of such employment or other agreement would provide greater payments or benefits to Executive (or to Executive’s covered dependents or beneficiary). If any termination or severance payments or benefits are made or provided to Executive by Company or any of its Affiliates pursuant to a written employment or other agreement with Company or an Affiliate, such payments and benefits shall reduce the amount of the comparable payments and benefits payable hereunder. This Section 7 is intended to provide Executive with the most favorable treatment and, at the same time, avoid duplication of payments or benefits, and it will be construed and interpreted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EVP Executive Transition Agreement (SEC Filing Exhibit)</w:t>
      </w:r>
    </w:p>
    <w:p>
      <w:pPr>
        <w:sectPr>
          <w:pgSz w:w="11900" w:h="16838" w:orient="portrait"/>
          <w:cols w:equalWidth="0" w:num="1">
            <w:col w:w="11240"/>
          </w:cols>
          <w:pgMar w:left="320" w:top="1260" w:right="339" w:bottom="1440" w:gutter="0" w:footer="0" w:header="0"/>
        </w:sectPr>
      </w:pPr>
    </w:p>
    <w:bookmarkStart w:id="40" w:name="page41"/>
    <w:bookmarkEnd w:id="40"/>
    <w:p>
      <w:pPr>
        <w:jc w:val="both"/>
        <w:ind w:firstLine="656"/>
        <w:spacing w:after="0" w:line="249"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Notwithstanding anything herein to the contrary, the Compensation Committee or the Board may condition severance payments or benefits otherwise payable under this Agreement upon the execution and delivery by Executive (or Executive’s beneficiary) of a general release in favor of Company, its Affiliates and their officers, directors and employees, in such form as the Board or the Compensation Committee may specify; provided, however, that no such release will be required as a condition of Executive’s (or the beneficiary’s) entitlement to Accrued Compensation. Subject to Section 17 of this Agreement, any payment or benefit that is so conditioned shall commence or be paid during the period commencing on Executive’s termination of Employment and ending on a date not more than thirty (30) days thereafter, except that, in the event that such period could span two (2) taxable years, payment must be made in the later year.</w:t>
      </w:r>
    </w:p>
    <w:p>
      <w:pPr>
        <w:spacing w:after="0" w:line="195" w:lineRule="exact"/>
        <w:rPr>
          <w:rFonts w:ascii="Times New Roman" w:cs="Times New Roman" w:eastAsia="Times New Roman" w:hAnsi="Times New Roman"/>
          <w:sz w:val="22"/>
          <w:szCs w:val="22"/>
          <w:color w:val="auto"/>
        </w:rPr>
      </w:pPr>
    </w:p>
    <w:p>
      <w:pPr>
        <w:jc w:val="both"/>
        <w:ind w:firstLine="656"/>
        <w:spacing w:after="0" w:line="260" w:lineRule="auto"/>
        <w:tabs>
          <w:tab w:leader="none" w:pos="129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Restoration</w:t>
      </w:r>
      <w:r>
        <w:rPr>
          <w:rFonts w:ascii="Times New Roman" w:cs="Times New Roman" w:eastAsia="Times New Roman" w:hAnsi="Times New Roman"/>
          <w:sz w:val="21"/>
          <w:szCs w:val="21"/>
          <w:color w:val="auto"/>
        </w:rPr>
        <w:t>. The parties hereto understand and acknowledge that the promises in this Agreement and those in the Loyalty and Confidentiality Agreement between the Executive and the Company (“Loyalty Agreement”), and not any employment of or services performed by the Executive in the course and scope of that employment, constitute the sole consideration for the severance payments and benefits provided by this Agreement. Further, it is agreed that should the Executive violate or be in breach of any restrictions set forth herein or in the Loyalty Agreement (which determination shall be made in the discretion of the Compensation Committee) or fail to execute the Loyalty Agreement, then: (a) the Executive shall not be entitled to any further severance payments and benefits under this Agreement, (b) the Executive shall immediately return to the Company any severance payments and the value of any severance benefits which were received hereunder, and (c) the Executive will have no further rights or entitlements under this Agreement. This Section 9 shall not in any manner supersede or limit any other right the Company may have to enforce or seek legal or equitable relief based on this Agreement or the Loyalty Agreement.</w:t>
      </w:r>
    </w:p>
    <w:p>
      <w:pPr>
        <w:spacing w:after="0" w:line="178" w:lineRule="exact"/>
        <w:rPr>
          <w:rFonts w:ascii="Times New Roman" w:cs="Times New Roman" w:eastAsia="Times New Roman" w:hAnsi="Times New Roman"/>
          <w:sz w:val="21"/>
          <w:szCs w:val="21"/>
          <w:color w:val="auto"/>
        </w:rPr>
      </w:pPr>
    </w:p>
    <w:p>
      <w:pPr>
        <w:jc w:val="both"/>
        <w:ind w:right="20" w:firstLine="656"/>
        <w:spacing w:after="0" w:line="263"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Except as otherwise specifically provided herein with respect to early termination of Benefit Continuation Coverage, Executive’s entitlement to payments or benefits hereunder is not subject to mitigation or a duty to mitigate by Executive.</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Board may amend this Agreement; provided, however, that no such action which would have the effect of reducing or diminishing Executive’s entitlements under this Agreement shall be effective without the express written consent of the Executive.</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Beneficiaries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51" w:lineRule="auto"/>
        <w:tabs>
          <w:tab w:leader="none" w:pos="1293"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Successors and Assigns of Company</w:t>
      </w:r>
      <w:r>
        <w:rPr>
          <w:rFonts w:ascii="Times New Roman" w:cs="Times New Roman" w:eastAsia="Times New Roman" w:hAnsi="Times New Roman"/>
          <w:sz w:val="22"/>
          <w:szCs w:val="22"/>
          <w:color w:val="auto"/>
        </w:rPr>
        <w:t>. Company shall require any successor or assignee, whether direct or indirect, by purchase, merger, consolidation or otherwise, to all or substantially all the business or assets of Company and its subsidiaries taken as a whole, expressly and unconditionally to assume and agree to perform or cause to be performed Company’s obligations under this Agreement. In any such event, the term “Company,” as used herein shall mean Company, as defined in Section 2 hereof, and any such successor or assignee. Executive acknowledges and agrees that this Agreement and the Loyalty Agreement shall be fully enforceable by the Company’s successor or assignee.</w:t>
      </w:r>
    </w:p>
    <w:p>
      <w:pPr>
        <w:spacing w:after="0" w:line="181" w:lineRule="exact"/>
        <w:rPr>
          <w:rFonts w:ascii="Times New Roman" w:cs="Times New Roman" w:eastAsia="Times New Roman" w:hAnsi="Times New Roman"/>
          <w:sz w:val="22"/>
          <w:szCs w:val="22"/>
          <w:color w:val="010000"/>
        </w:rPr>
      </w:pPr>
    </w:p>
    <w:p>
      <w:pPr>
        <w:jc w:val="both"/>
        <w:ind w:firstLine="656"/>
        <w:spacing w:after="0" w:line="257" w:lineRule="auto"/>
        <w:tabs>
          <w:tab w:leader="none" w:pos="1291"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Executive’s Beneficiary</w:t>
      </w:r>
      <w:r>
        <w:rPr>
          <w:rFonts w:ascii="Times New Roman" w:cs="Times New Roman" w:eastAsia="Times New Roman" w:hAnsi="Times New Roman"/>
          <w:sz w:val="22"/>
          <w:szCs w:val="22"/>
          <w:color w:val="auto"/>
        </w:rPr>
        <w:t>. For the purposes hereof, Executive’s beneficiary will be the person or persons designated as such in a written beneficiary designation filed with the Company, which may be revoked or revised in the same manner at any time prior to Executive’s death.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EVP Executive Transition Agreement (SEC Filing Exhibit)</w:t>
      </w:r>
    </w:p>
    <w:p>
      <w:pPr>
        <w:sectPr>
          <w:pgSz w:w="11900" w:h="16838" w:orient="portrait"/>
          <w:cols w:equalWidth="0" w:num="1">
            <w:col w:w="11240"/>
          </w:cols>
          <w:pgMar w:left="320" w:top="1260" w:right="339" w:bottom="1440" w:gutter="0" w:footer="0" w:header="0"/>
        </w:sectPr>
      </w:pPr>
    </w:p>
    <w:bookmarkStart w:id="41" w:name="page42"/>
    <w:bookmarkEnd w:id="41"/>
    <w:p>
      <w:pPr>
        <w:spacing w:after="0" w:line="271" w:lineRule="auto"/>
        <w:rPr>
          <w:sz w:val="20"/>
          <w:szCs w:val="20"/>
          <w:color w:val="auto"/>
        </w:rPr>
      </w:pPr>
      <w:r>
        <w:rPr>
          <w:rFonts w:ascii="Times New Roman" w:cs="Times New Roman" w:eastAsia="Times New Roman" w:hAnsi="Times New Roman"/>
          <w:sz w:val="22"/>
          <w:szCs w:val="22"/>
          <w:color w:val="auto"/>
        </w:rPr>
        <w:t>absence of a properly filed written beneficiary designation or if no designated beneficiary survives Executive, Executive’s estate will be deemed to be the beneficiary hereunder.</w:t>
      </w:r>
    </w:p>
    <w:p>
      <w:pPr>
        <w:spacing w:after="0" w:line="158" w:lineRule="exact"/>
        <w:rPr>
          <w:sz w:val="20"/>
          <w:szCs w:val="20"/>
          <w:color w:val="auto"/>
        </w:rPr>
      </w:pPr>
    </w:p>
    <w:p>
      <w:pPr>
        <w:jc w:val="both"/>
        <w:ind w:firstLine="656"/>
        <w:spacing w:after="0" w:line="263"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Nonassignability</w:t>
      </w:r>
      <w:r>
        <w:rPr>
          <w:rFonts w:ascii="Times New Roman" w:cs="Times New Roman" w:eastAsia="Times New Roman" w:hAnsi="Times New Roman"/>
          <w:sz w:val="22"/>
          <w:szCs w:val="22"/>
          <w:color w:val="auto"/>
        </w:rPr>
        <w:t>. With the exception of Executive’s beneficiary designation, neither Executive nor Executive’s beneficiary may pledge, transfer or assign in any way the right to receive payments or benefits hereunder, and any attempted pledge, transfer or assignment shall be void and of no force or effect.</w:t>
      </w:r>
    </w:p>
    <w:p>
      <w:pPr>
        <w:spacing w:after="0" w:line="167"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Fees to Enforce Rights after a Change in Control</w:t>
      </w:r>
      <w:r>
        <w:rPr>
          <w:rFonts w:ascii="Times New Roman" w:cs="Times New Roman" w:eastAsia="Times New Roman" w:hAnsi="Times New Roman"/>
          <w:sz w:val="22"/>
          <w:szCs w:val="22"/>
          <w:color w:val="auto"/>
        </w:rPr>
        <w:t>. If, following a Change in Control, Company fails to comply with any of its obligations under this Agreement or Company takes any action to declare this Agreement void or unenforceable or institutes any litigation or other legal action designed to deny, diminish or to recover from Executive (or Executive’s beneficiary) the payments and benefits intended to be provided, then Executive (or Executive’s beneficiary, as the case may be) shall be entitled to select and retain counsel at the expense of Company to represent Executive (or Executive’s beneficiary) in connection with the good faith initiation or defense of any litigation or other legal action, whether by or against Company or any director, officer, stockholder or other person affiliated with Company or any successor thereto in any jurisdiction.</w:t>
      </w:r>
    </w:p>
    <w:p>
      <w:pPr>
        <w:spacing w:after="0" w:line="181"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a Contract of Employment</w:t>
      </w:r>
      <w:r>
        <w:rPr>
          <w:rFonts w:ascii="Times New Roman" w:cs="Times New Roman" w:eastAsia="Times New Roman" w:hAnsi="Times New Roman"/>
          <w:sz w:val="22"/>
          <w:szCs w:val="22"/>
          <w:color w:val="auto"/>
        </w:rPr>
        <w:t>. This Agreement shall not be deemed to constitute a contract of employment between Executive and Company or any of its Affiliates. Nothing contained herein shall be deemed to give Executive a right to be retained in the employ or other service of Company or any of its Affiliates or to interfere with the right of Company or any of its Affiliates to terminate Executive’s employment at any time.</w:t>
      </w:r>
    </w:p>
    <w:p>
      <w:pPr>
        <w:spacing w:after="0" w:line="176" w:lineRule="exact"/>
        <w:rPr>
          <w:rFonts w:ascii="Times New Roman" w:cs="Times New Roman" w:eastAsia="Times New Roman" w:hAnsi="Times New Roman"/>
          <w:sz w:val="22"/>
          <w:szCs w:val="22"/>
          <w:color w:val="auto"/>
        </w:rPr>
      </w:pPr>
    </w:p>
    <w:p>
      <w:pPr>
        <w:jc w:val="both"/>
        <w:ind w:firstLine="656"/>
        <w:spacing w:after="0" w:line="261" w:lineRule="auto"/>
        <w:tabs>
          <w:tab w:leader="none" w:pos="129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Arbitration</w:t>
      </w:r>
      <w:r>
        <w:rPr>
          <w:rFonts w:ascii="Times New Roman" w:cs="Times New Roman" w:eastAsia="Times New Roman" w:hAnsi="Times New Roman"/>
          <w:sz w:val="21"/>
          <w:szCs w:val="21"/>
          <w:color w:val="auto"/>
        </w:rPr>
        <w:t>. This Agreement shall be governed by the laws of the State of Texas, excluding its conflict of laws rules. The parties agree to use arbitration in accordance with the Mutual Agreement to Arbitrate Claims, which is governed by the Federal Arbitration Act, that exists between the parties to resolve any disputes arising from, arising under, or that relate in any way to this Agreement; provided, however, that the parties may pursue temporary and/or preliminary injunctive relief in a court of competent jurisdiction within the districts that include Collin County, Texas, because the award to which the party may be entitled in arbitration may be rendered ineffectual without such relief. Any such action shall not constitute a waiver of the parties’ agreement to arbitrate by any party. In all other respects the Mutual Agreement to Arbitrate Claims between the parties, which is incorporated herein by reference, shall control. All issues of final relief related to this Agreement will be decided through arbitration in accordance with the Mutual Agreement to Arbitrate Claims or comparable controlling agreement to arbitrate between the parties. The parties waive trial by jury on any claim arising from this Agreement. Any suit for temporary and/or preliminary injunctive relief will be brought in the federal or state courts in the districts, which include Collin County, Texas, and Executive hereby agrees to submit to the personal jurisdiction and venue thereof.</w:t>
      </w:r>
    </w:p>
    <w:p>
      <w:pPr>
        <w:spacing w:after="0" w:line="169" w:lineRule="exact"/>
        <w:rPr>
          <w:rFonts w:ascii="Times New Roman" w:cs="Times New Roman" w:eastAsia="Times New Roman" w:hAnsi="Times New Roman"/>
          <w:sz w:val="21"/>
          <w:szCs w:val="21"/>
          <w:color w:val="auto"/>
        </w:rPr>
      </w:pPr>
    </w:p>
    <w:p>
      <w:pPr>
        <w:jc w:val="both"/>
        <w:ind w:firstLine="656"/>
        <w:spacing w:after="0" w:line="253"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 of the Code</w:t>
      </w:r>
      <w:r>
        <w:rPr>
          <w:rFonts w:ascii="Times New Roman" w:cs="Times New Roman" w:eastAsia="Times New Roman" w:hAnsi="Times New Roman"/>
          <w:sz w:val="22"/>
          <w:szCs w:val="22"/>
          <w:color w:val="auto"/>
        </w:rPr>
        <w:t>. This Agreement is intended to comply with Section 409A of the Code, if and to the extent applicable, and will be interpreted and applied in a manner consistent with that intention. This Agreement is intended to meet the requirements of the “short-term deferral” exception, the “separation pay” exception and other exceptions under Section 409A of the Code. Notwithstanding anything in the Agreement to the contrary, if required by Section 409A of the Code, payments may only be made under this Agreement upon an event and in a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EVP Executive Transition Agreement (SEC Filing Exhibit)</w:t>
      </w:r>
    </w:p>
    <w:p>
      <w:pPr>
        <w:sectPr>
          <w:pgSz w:w="11900" w:h="16838" w:orient="portrait"/>
          <w:cols w:equalWidth="0" w:num="1">
            <w:col w:w="11240"/>
          </w:cols>
          <w:pgMar w:left="320" w:top="1260" w:right="339" w:bottom="1440" w:gutter="0" w:footer="0" w:header="0"/>
        </w:sectPr>
      </w:pPr>
    </w:p>
    <w:bookmarkStart w:id="42" w:name="page43"/>
    <w:bookmarkEnd w:id="42"/>
    <w:p>
      <w:pPr>
        <w:jc w:val="both"/>
        <w:spacing w:after="0" w:line="248" w:lineRule="auto"/>
        <w:rPr>
          <w:sz w:val="20"/>
          <w:szCs w:val="20"/>
          <w:color w:val="auto"/>
        </w:rPr>
      </w:pPr>
      <w:r>
        <w:rPr>
          <w:rFonts w:ascii="Times New Roman" w:cs="Times New Roman" w:eastAsia="Times New Roman" w:hAnsi="Times New Roman"/>
          <w:sz w:val="22"/>
          <w:szCs w:val="22"/>
          <w:color w:val="auto"/>
        </w:rPr>
        <w:t>permitted by Section 409A, to the extent applicable. For purposes of Section 409A of the Code, any payment required to be made hereunder shall be treated as separate from any other payment or payments required to be made hereunder, and the right to a series of payments under the Agreement shall be treated as a right to a series of separate payments. If at the time of the Executive’s termination of employment with the Company he or she is a “specified employee” as defined in Section 409A of the Code and the deferral of the commencement of any payments otherwise payable hereunder as a result of such termination of employment is necessary in order to prevent any accelerated or additional tax under Section 409A of the Code, then the Company will defer the commencement of the payment of any such payments hereunder (without any reduction in such payments ultimately paid) until the date that is six (6) months following such termination of employment with the Company (or the earliest date as is permitted under Section 409A of the Code). To the extent Section 409A of the Code is applicable, the phrase “termination of Employment” shall have the same meaning as a “separation from service” as defined in Section 409A of the Code and its accompanying regulations. All reimbursements and in-kind benefits provided under the Agreement shall be made or provided in accordance with the requirements of Section 409A of the Code.</w:t>
      </w:r>
    </w:p>
    <w:p>
      <w:pPr>
        <w:spacing w:after="0" w:line="184" w:lineRule="exact"/>
        <w:rPr>
          <w:sz w:val="20"/>
          <w:szCs w:val="20"/>
          <w:color w:val="auto"/>
        </w:rPr>
      </w:pPr>
    </w:p>
    <w:p>
      <w:pPr>
        <w:ind w:right="20" w:firstLine="656"/>
        <w:spacing w:after="0" w:line="271"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Company and its Affiliates may withhold from any and all amounts payable under this Agreement such federal, state and local taxes as may be required to be withheld pursuant to applicable law.</w:t>
      </w:r>
    </w:p>
    <w:p>
      <w:pPr>
        <w:spacing w:after="0" w:line="17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For the purposes of this Agreement, notices, demands and all other communications provided for in this Agreement will be in writing and will be deemed to have been duly given when delivered either personally or by United States certified or registered mail, return receipt requested, postage prepaid, addressed to Executive at the address last appearing in the Company’s personnel records and to the Company at the following address (or any subsequent headquarters address):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Upbound Group, Inc.</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5501 Headquarters Drive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Plano, TX 75024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Either party may change its address by written notice in accordance with this Section.</w:t>
      </w:r>
    </w:p>
    <w:p>
      <w:pPr>
        <w:spacing w:after="0" w:line="220" w:lineRule="exact"/>
        <w:rPr>
          <w:sz w:val="20"/>
          <w:szCs w:val="20"/>
          <w:color w:val="auto"/>
        </w:rPr>
      </w:pPr>
    </w:p>
    <w:p>
      <w:pPr>
        <w:jc w:val="both"/>
        <w:ind w:firstLine="656"/>
        <w:spacing w:after="0" w:line="250"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contained in this Agreement is determined by a court or arbitrator of competent jurisdiction in a final non-appealable judgment to be void, illegal or unenforceable, in whole or in part, then the other provisions contained herein shall remain in full force and effect as if the provision that was determined to be void, illegal, or unenforceable had not been contained therein. Any such provision or portion thereof determined to be void, illegal or unenforceable as provided above shall be stricken from this Agreement only as required and only in the applicable jurisdiction or jurisdictions, in each case as determined by such court or arbitrator, and, in that event, the parties shall agree in good faith on a legal and enforceable replacement provision, to the extent possible, that addresses the intent of the stricken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EVP Executive Transition Agreement (SEC Filing Exhibit)</w:t>
      </w:r>
    </w:p>
    <w:p>
      <w:pPr>
        <w:sectPr>
          <w:pgSz w:w="11900" w:h="16838" w:orient="portrait"/>
          <w:cols w:equalWidth="0" w:num="1">
            <w:col w:w="11240"/>
          </w:cols>
          <w:pgMar w:left="320" w:top="1260" w:right="339" w:bottom="1440" w:gutter="0" w:footer="0" w:header="0"/>
        </w:sectPr>
      </w:pPr>
    </w:p>
    <w:bookmarkStart w:id="43" w:name="page44"/>
    <w:bookmarkEnd w:id="43"/>
    <w:p>
      <w:pPr>
        <w:jc w:val="both"/>
        <w:ind w:firstLine="656"/>
        <w:spacing w:after="0" w:line="257" w:lineRule="auto"/>
        <w:tabs>
          <w:tab w:leader="none" w:pos="12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Loyalty Agreement, the Invention Assignment Agreement between Executive and the Company, and the Mutual Agreement to Arbitrate Claims, is the full and complete agreement of the parties concerning the matters covered herein and therein.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of EVP Executive Transition Agreement (SEC Filing Exhibit)</w:t>
      </w:r>
    </w:p>
    <w:p>
      <w:pPr>
        <w:sectPr>
          <w:pgSz w:w="11900" w:h="16838" w:orient="portrait"/>
          <w:cols w:equalWidth="0" w:num="1">
            <w:col w:w="11240"/>
          </w:cols>
          <w:pgMar w:left="320" w:top="1260"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as of the date first written.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UPBOUND GROUP, INC.</w:t>
            </w:r>
          </w:p>
        </w:tc>
        <w:tc>
          <w:tcPr>
            <w:tcW w:w="5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EXECUTIVE</w:t>
            </w:r>
          </w:p>
        </w:tc>
        <w:tc>
          <w:tcPr>
            <w:tcW w:w="0" w:type="dxa"/>
            <w:vAlign w:val="bottom"/>
          </w:tcPr>
          <w:p>
            <w:pPr>
              <w:spacing w:after="0"/>
              <w:rPr>
                <w:sz w:val="1"/>
                <w:szCs w:val="1"/>
                <w:color w:val="auto"/>
              </w:rPr>
            </w:pPr>
          </w:p>
        </w:tc>
      </w:tr>
      <w:tr>
        <w:trPr>
          <w:trHeight w:val="514"/>
        </w:trPr>
        <w:tc>
          <w:tcPr>
            <w:tcW w:w="5160" w:type="dxa"/>
            <w:vAlign w:val="bottom"/>
            <w:tcBorders>
              <w:bottom w:val="single" w:sz="8" w:color="auto"/>
            </w:tcBorders>
          </w:tcPr>
          <w:p>
            <w:pPr>
              <w:spacing w:after="0"/>
              <w:rPr>
                <w:sz w:val="24"/>
                <w:szCs w:val="24"/>
                <w:color w:val="auto"/>
              </w:rPr>
            </w:pPr>
          </w:p>
        </w:tc>
        <w:tc>
          <w:tcPr>
            <w:tcW w:w="900" w:type="dxa"/>
            <w:vAlign w:val="bottom"/>
            <w:vMerge w:val="restart"/>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Mitch Fadel</w:t>
            </w:r>
          </w:p>
        </w:tc>
        <w:tc>
          <w:tcPr>
            <w:tcW w:w="900" w:type="dxa"/>
            <w:vAlign w:val="bottom"/>
            <w:vMerge w:val="continue"/>
          </w:tcPr>
          <w:p>
            <w:pPr>
              <w:spacing w:after="0"/>
              <w:rPr>
                <w:sz w:val="21"/>
                <w:szCs w:val="21"/>
                <w:color w:val="auto"/>
              </w:rPr>
            </w:pPr>
          </w:p>
        </w:tc>
        <w:tc>
          <w:tcPr>
            <w:tcW w:w="518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Executive Signature</w:t>
            </w:r>
          </w:p>
        </w:tc>
        <w:tc>
          <w:tcPr>
            <w:tcW w:w="0" w:type="dxa"/>
            <w:vAlign w:val="bottom"/>
          </w:tcPr>
          <w:p>
            <w:pPr>
              <w:spacing w:after="0"/>
              <w:rPr>
                <w:sz w:val="1"/>
                <w:szCs w:val="1"/>
                <w:color w:val="auto"/>
              </w:rPr>
            </w:pPr>
          </w:p>
        </w:tc>
      </w:tr>
      <w:tr>
        <w:trPr>
          <w:trHeight w:val="282"/>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Chief Executive Officer</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5160" w:type="dxa"/>
            <w:vAlign w:val="bottom"/>
            <w:tcBorders>
              <w:bottom w:val="single" w:sz="8" w:color="auto"/>
            </w:tcBorders>
          </w:tcPr>
          <w:p>
            <w:pPr>
              <w:spacing w:after="0"/>
              <w:rPr>
                <w:sz w:val="24"/>
                <w:szCs w:val="24"/>
                <w:color w:val="auto"/>
              </w:rPr>
            </w:pPr>
          </w:p>
        </w:tc>
        <w:tc>
          <w:tcPr>
            <w:tcW w:w="900" w:type="dxa"/>
            <w:vAlign w:val="bottom"/>
            <w:vMerge w:val="restart"/>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900" w:type="dxa"/>
            <w:vAlign w:val="bottom"/>
            <w:vMerge w:val="continue"/>
          </w:tcPr>
          <w:p>
            <w:pPr>
              <w:spacing w:after="0"/>
              <w:rPr>
                <w:sz w:val="23"/>
                <w:szCs w:val="23"/>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Executive Transition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31.1</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Mitchell E. Fadel, certify that:</w:t>
      </w:r>
    </w:p>
    <w:p>
      <w:pPr>
        <w:spacing w:after="0" w:line="225"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Upbound Group, Inc.;</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4" w:lineRule="exact"/>
        <w:rPr>
          <w:sz w:val="20"/>
          <w:szCs w:val="20"/>
          <w:color w:val="auto"/>
        </w:rPr>
      </w:pPr>
    </w:p>
    <w:p>
      <w:pPr>
        <w:jc w:val="both"/>
        <w:ind w:left="1300" w:hanging="644"/>
        <w:spacing w:after="0" w:line="266" w:lineRule="auto"/>
        <w:tabs>
          <w:tab w:leader="none" w:pos="12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6"/>
        <w:spacing w:after="0" w:line="282" w:lineRule="auto"/>
        <w:tabs>
          <w:tab w:leader="none" w:pos="12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300" w:right="20" w:hanging="644"/>
        <w:spacing w:after="0" w:line="282" w:lineRule="auto"/>
        <w:tabs>
          <w:tab w:leader="none" w:pos="129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Mitchell E. Fadel</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Mitchell E. Fadel</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31.2</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Fahmi W. Karam, certify that:</w:t>
      </w:r>
    </w:p>
    <w:p>
      <w:pPr>
        <w:spacing w:after="0" w:line="225"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Upbound Group, Inc.;</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4" w:lineRule="exact"/>
        <w:rPr>
          <w:sz w:val="20"/>
          <w:szCs w:val="20"/>
          <w:color w:val="auto"/>
        </w:rPr>
      </w:pPr>
    </w:p>
    <w:p>
      <w:pPr>
        <w:jc w:val="both"/>
        <w:ind w:left="1300" w:hanging="644"/>
        <w:spacing w:after="0" w:line="266" w:lineRule="auto"/>
        <w:tabs>
          <w:tab w:leader="none" w:pos="129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6"/>
        <w:spacing w:after="0" w:line="282" w:lineRule="auto"/>
        <w:tabs>
          <w:tab w:leader="none" w:pos="12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300" w:right="20" w:hanging="644"/>
        <w:spacing w:after="0" w:line="282" w:lineRule="auto"/>
        <w:tabs>
          <w:tab w:leader="none" w:pos="12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Fahmi W. Karam</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Fahmi W. Karam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2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228" w:lineRule="exact"/>
        <w:rPr>
          <w:sz w:val="20"/>
          <w:szCs w:val="20"/>
          <w:color w:val="auto"/>
        </w:rPr>
      </w:pPr>
    </w:p>
    <w:p>
      <w:pPr>
        <w:jc w:val="both"/>
        <w:ind w:firstLine="328"/>
        <w:spacing w:after="0" w:line="254" w:lineRule="auto"/>
        <w:rPr>
          <w:sz w:val="20"/>
          <w:szCs w:val="20"/>
          <w:color w:val="auto"/>
        </w:rPr>
      </w:pPr>
      <w:r>
        <w:rPr>
          <w:rFonts w:ascii="Times New Roman" w:cs="Times New Roman" w:eastAsia="Times New Roman" w:hAnsi="Times New Roman"/>
          <w:sz w:val="22"/>
          <w:szCs w:val="22"/>
          <w:color w:val="auto"/>
        </w:rPr>
        <w:t>In connection with the Quarterly Report on Form 10-Q of Upbound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March 31, 2024,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218" w:lineRule="exact"/>
        <w:rPr>
          <w:sz w:val="20"/>
          <w:szCs w:val="20"/>
          <w:color w:val="auto"/>
        </w:rPr>
      </w:pPr>
    </w:p>
    <w:p>
      <w:pPr>
        <w:ind w:left="500" w:hanging="492"/>
        <w:spacing w:after="0"/>
        <w:tabs>
          <w:tab w:leader="none" w:pos="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22"/>
          <w:szCs w:val="22"/>
          <w:color w:val="auto"/>
        </w:rPr>
      </w:pPr>
    </w:p>
    <w:p>
      <w:pPr>
        <w:ind w:left="660" w:hanging="652"/>
        <w:spacing w:after="0" w:line="271" w:lineRule="auto"/>
        <w:tabs>
          <w:tab w:leader="none" w:pos="63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/s/ Mitchell E. Fadel</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Mitchell E. Fadel</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Chief Executive Officer and Director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2, 2024</w:t>
      </w:r>
    </w:p>
    <w:p>
      <w:pPr>
        <w:spacing w:after="0" w:line="200" w:lineRule="exact"/>
        <w:rPr>
          <w:sz w:val="20"/>
          <w:szCs w:val="20"/>
          <w:color w:val="auto"/>
        </w:rPr>
      </w:pPr>
    </w:p>
    <w:p>
      <w:pPr>
        <w:spacing w:after="0" w:line="2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2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228" w:lineRule="exact"/>
        <w:rPr>
          <w:sz w:val="20"/>
          <w:szCs w:val="20"/>
          <w:color w:val="auto"/>
        </w:rPr>
      </w:pPr>
    </w:p>
    <w:p>
      <w:pPr>
        <w:jc w:val="both"/>
        <w:ind w:firstLine="328"/>
        <w:spacing w:after="0" w:line="254" w:lineRule="auto"/>
        <w:rPr>
          <w:sz w:val="20"/>
          <w:szCs w:val="20"/>
          <w:color w:val="auto"/>
        </w:rPr>
      </w:pPr>
      <w:r>
        <w:rPr>
          <w:rFonts w:ascii="Times New Roman" w:cs="Times New Roman" w:eastAsia="Times New Roman" w:hAnsi="Times New Roman"/>
          <w:sz w:val="22"/>
          <w:szCs w:val="22"/>
          <w:color w:val="auto"/>
        </w:rPr>
        <w:t>In connection with the Quarterly Report on Form 10-Q of Upbound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March 31, 2024,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Fahmi W. Karam, Chief Financial Officer of the Company, hereby certify, pursuant to 18 U.S.C. Section 1350, as adopted pursuant to Section 906 of the Sarbanes-Oxley Act of 2002, that, to the best of my knowledge:</w:t>
      </w:r>
    </w:p>
    <w:p>
      <w:pPr>
        <w:spacing w:after="0" w:line="218" w:lineRule="exact"/>
        <w:rPr>
          <w:sz w:val="20"/>
          <w:szCs w:val="20"/>
          <w:color w:val="auto"/>
        </w:rPr>
      </w:pPr>
    </w:p>
    <w:p>
      <w:pPr>
        <w:ind w:left="500" w:hanging="492"/>
        <w:spacing w:after="0"/>
        <w:tabs>
          <w:tab w:leader="none" w:pos="5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22"/>
          <w:szCs w:val="22"/>
          <w:color w:val="auto"/>
        </w:rPr>
      </w:pPr>
    </w:p>
    <w:p>
      <w:pPr>
        <w:ind w:left="660" w:hanging="652"/>
        <w:spacing w:after="0" w:line="271" w:lineRule="auto"/>
        <w:tabs>
          <w:tab w:leader="none" w:pos="63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/s/ Fahmi W. Karam</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Fahmi W. Karam</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Executive Vice President, Chief Financial Officer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2, 2024</w:t>
      </w:r>
    </w:p>
    <w:p>
      <w:pPr>
        <w:spacing w:after="0" w:line="200" w:lineRule="exact"/>
        <w:rPr>
          <w:sz w:val="20"/>
          <w:szCs w:val="20"/>
          <w:color w:val="auto"/>
        </w:rPr>
      </w:pPr>
    </w:p>
    <w:p>
      <w:pPr>
        <w:spacing w:after="0" w:line="2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upperLetter"/>
      <w:start w:val="1"/>
    </w:lvl>
    <w:lvl w:ilvl="1">
      <w:lvlJc w:val="left"/>
      <w:lvlText w:val="(%2)"/>
      <w:numFmt w:val="lowerLetter"/>
      <w:start w:val="1"/>
    </w:lvl>
  </w:abstractNum>
  <w:abstractNum w:abstractNumId="18">
    <w:nsid w:val="4516DDE9"/>
    <w:multiLevelType w:val="hybridMultilevel"/>
    <w:lvl w:ilvl="0">
      <w:lvlJc w:val="left"/>
      <w:lvlText w:val="(%1)"/>
      <w:numFmt w:val="upperLetter"/>
      <w:start w:val="1"/>
    </w:lvl>
    <w:lvl w:ilvl="1">
      <w:lvlJc w:val="left"/>
      <w:lvlText w:val="%2"/>
      <w:numFmt w:val="lowerLetter"/>
      <w:start w:val="1"/>
    </w:lvl>
  </w:abstractNum>
  <w:abstractNum w:abstractNumId="19">
    <w:nsid w:val="3006C83E"/>
    <w:multiLevelType w:val="hybridMultilevel"/>
    <w:lvl w:ilvl="0">
      <w:lvlJc w:val="left"/>
      <w:lvlText w:val="(%1)"/>
      <w:numFmt w:val="lowerLetter"/>
      <w:start w:val="6"/>
    </w:lvl>
  </w:abstractNum>
  <w:abstractNum w:abstractNumId="20">
    <w:nsid w:val="614FD4A1"/>
    <w:multiLevelType w:val="hybridMultilevel"/>
    <w:lvl w:ilvl="0">
      <w:lvlJc w:val="left"/>
      <w:lvlText w:val="(%1)"/>
      <w:numFmt w:val="lowerLetter"/>
      <w:start w:val="7"/>
    </w:lvl>
  </w:abstractNum>
  <w:abstractNum w:abstractNumId="21">
    <w:nsid w:val="419AC241"/>
    <w:multiLevelType w:val="hybridMultilevel"/>
    <w:lvl w:ilvl="0">
      <w:lvlJc w:val="left"/>
      <w:lvlText w:val="(%1)"/>
      <w:numFmt w:val="lowerLetter"/>
      <w:start w:val="11"/>
    </w:lvl>
  </w:abstractNum>
  <w:abstractNum w:abstractNumId="22">
    <w:nsid w:val="5577F8E1"/>
    <w:multiLevelType w:val="hybridMultilevel"/>
    <w:lvl w:ilvl="0">
      <w:lvlJc w:val="left"/>
      <w:lvlText w:val="%1."/>
      <w:numFmt w:val="decimal"/>
      <w:start w:val="3"/>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lowerLetter"/>
      <w:start w:val="2"/>
    </w:lvl>
  </w:abstractNum>
  <w:abstractNum w:abstractNumId="25">
    <w:nsid w:val="3804823E"/>
    <w:multiLevelType w:val="hybridMultilevel"/>
    <w:lvl w:ilvl="0">
      <w:lvlJc w:val="left"/>
      <w:lvlText w:val="(%1)"/>
      <w:numFmt w:val="lowerLetter"/>
      <w:start w:val="3"/>
    </w:lvl>
  </w:abstractNum>
  <w:abstractNum w:abstractNumId="26">
    <w:nsid w:val="77465F01"/>
    <w:multiLevelType w:val="hybridMultilevel"/>
    <w:lvl w:ilvl="0">
      <w:lvlJc w:val="left"/>
      <w:lvlText w:val="%1."/>
      <w:numFmt w:val="decimal"/>
      <w:start w:val="4"/>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lowerLetter"/>
      <w:start w:val="2"/>
    </w:lvl>
  </w:abstractNum>
  <w:abstractNum w:abstractNumId="29">
    <w:nsid w:val="2463B9EA"/>
    <w:multiLevelType w:val="hybridMultilevel"/>
    <w:lvl w:ilvl="0">
      <w:lvlJc w:val="left"/>
      <w:lvlText w:val="(%1)"/>
      <w:numFmt w:val="lowerLetter"/>
      <w:start w:val="3"/>
    </w:lvl>
  </w:abstractNum>
  <w:abstractNum w:abstractNumId="30">
    <w:nsid w:val="5E884ADC"/>
    <w:multiLevelType w:val="hybridMultilevel"/>
    <w:lvl w:ilvl="0">
      <w:lvlJc w:val="left"/>
      <w:lvlText w:val="%1."/>
      <w:numFmt w:val="decimal"/>
      <w:start w:val="5"/>
    </w:lvl>
  </w:abstractNum>
  <w:abstractNum w:abstractNumId="31">
    <w:nsid w:val="51EAD36B"/>
    <w:multiLevelType w:val="hybridMultilevel"/>
    <w:lvl w:ilvl="0">
      <w:lvlJc w:val="left"/>
      <w:lvlText w:val="%1."/>
      <w:numFmt w:val="decimal"/>
      <w:start w:val="8"/>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1."/>
      <w:numFmt w:val="decimal"/>
      <w:start w:val="13"/>
    </w:lvl>
  </w:abstractNum>
  <w:abstractNum w:abstractNumId="34">
    <w:nsid w:val="153EA438"/>
    <w:multiLevelType w:val="hybridMultilevel"/>
    <w:lvl w:ilvl="0">
      <w:lvlJc w:val="left"/>
      <w:lvlText w:val="%1."/>
      <w:numFmt w:val="decimal"/>
      <w:start w:val="18"/>
    </w:lvl>
  </w:abstractNum>
  <w:abstractNum w:abstractNumId="35">
    <w:nsid w:val="3855585C"/>
    <w:multiLevelType w:val="hybridMultilevel"/>
    <w:lvl w:ilvl="0">
      <w:lvlJc w:val="left"/>
      <w:lvlText w:val="%1."/>
      <w:numFmt w:val="decimal"/>
      <w:start w:val="20"/>
    </w:lvl>
  </w:abstractNum>
  <w:abstractNum w:abstractNumId="36">
    <w:nsid w:val="70A64E2A"/>
    <w:multiLevelType w:val="hybridMultilevel"/>
    <w:lvl w:ilvl="0">
      <w:lvlJc w:val="left"/>
      <w:lvlText w:val="%1."/>
      <w:numFmt w:val="decimal"/>
      <w:start w:val="2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44" Type="http://schemas.openxmlformats.org/officeDocument/2006/relationships/hyperlink" Target="https://www.sec.gov/Archives/edgar/data/933036/000095013402016210/d02215exv3w1.txt" TargetMode="External"/><Relationship Id="rId45" Type="http://schemas.openxmlformats.org/officeDocument/2006/relationships/hyperlink" Target="https://www.sec.gov/Archives/edgar/data/933036/000095013404010948/d17068exv3w2.txt" TargetMode="External"/><Relationship Id="rId46" Type="http://schemas.openxmlformats.org/officeDocument/2006/relationships/hyperlink" Target="https://www.sec.gov/Archives/edgar/data/933036/000110465921078652/tm2119045d1_ex3-1.htm" TargetMode="External"/><Relationship Id="rId47" Type="http://schemas.openxmlformats.org/officeDocument/2006/relationships/hyperlink" Target="https://www.sec.gov/Archives/edgar/data/933036/000093303623000044/ex-31_certificateofamendme.htm" TargetMode="External"/><Relationship Id="rId48" Type="http://schemas.openxmlformats.org/officeDocument/2006/relationships/hyperlink" Target="https://www.sec.gov/Archives/edgar/data/933036/000093303623000044/ex-32rentxaxcenterxbylaw.htm" TargetMode="External"/><Relationship Id="rId49" Type="http://schemas.openxmlformats.org/officeDocument/2006/relationships/hyperlink" Target="https://www.sec.gov/Archives/edgar/data/933036/000093303617000022/exhibit31march282017america.htm" TargetMode="External"/><Relationship Id="rId50" Type="http://schemas.openxmlformats.org/officeDocument/2006/relationships/hyperlink" Target="https://www.sec.gov/Archives/edgar/data/933036/000093303621000049/ex-43_q42020.htm" TargetMode="External"/><Relationship Id="rId51" Type="http://schemas.openxmlformats.org/officeDocument/2006/relationships/hyperlink" Target="https://www.sec.gov/Archives/edgar/data/933036/000110465923068936/tm2316186d1_ex4-6.htm" TargetMode="External"/><Relationship Id="rId52" Type="http://schemas.openxmlformats.org/officeDocument/2006/relationships/hyperlink" Target="https://www.sec.gov/Archives/edgar/data/933036/000110465921024846/tm216741d1_ex4-1.htm" TargetMode="External"/><Relationship Id="rId53" Type="http://schemas.openxmlformats.org/officeDocument/2006/relationships/hyperlink" Target="https://www.sec.gov/Archives/edgar/data/933036/000110465924043915/tm241042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2024-05-02T15:46:29Z</dcterms:created>
  <dcterms:modified xsi:type="dcterms:W3CDTF">2024-05-02T15:46:29Z</dcterms:modified>
</cp:coreProperties>
</file>