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color w:val="auto"/>
        </w:rPr>
        <w:t>(Mark One)</w:t>
      </w:r>
    </w:p>
    <w:p>
      <w:pPr>
        <w:spacing w:after="0" w:line="115" w:lineRule="exact"/>
        <w:rPr>
          <w:sz w:val="24"/>
          <w:szCs w:val="24"/>
          <w:color w:val="auto"/>
        </w:rPr>
      </w:pPr>
    </w:p>
    <w:p>
      <w:pPr>
        <w:ind w:left="480" w:hanging="139"/>
        <w:spacing w:after="0"/>
        <w:tabs>
          <w:tab w:leader="none" w:pos="4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For the fiscal year ended December 31, 2025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or</w:t>
      </w:r>
    </w:p>
    <w:p>
      <w:pPr>
        <w:spacing w:after="0" w:line="29" w:lineRule="exact"/>
        <w:rPr>
          <w:sz w:val="24"/>
          <w:szCs w:val="24"/>
          <w:color w:val="auto"/>
        </w:rPr>
      </w:pPr>
    </w:p>
    <w:p>
      <w:pPr>
        <w:ind w:left="480" w:hanging="139"/>
        <w:spacing w:after="0"/>
        <w:tabs>
          <w:tab w:leader="none" w:pos="4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74" w:lineRule="exact"/>
        <w:rPr>
          <w:sz w:val="24"/>
          <w:szCs w:val="24"/>
          <w:color w:val="auto"/>
        </w:rPr>
      </w:pPr>
    </w:p>
    <w:tbl>
      <w:tblPr>
        <w:tblLayout w:type="fixed"/>
        <w:tblInd w:w="106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gridSpan w:val="3"/>
          </w:tcPr>
          <w:p>
            <w:pPr>
              <w:ind w:left="7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38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to</w:t>
            </w:r>
          </w:p>
        </w:tc>
      </w:tr>
      <w:tr>
        <w:trPr>
          <w:trHeight w:val="133"/>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80" w:type="dxa"/>
            <w:vAlign w:val="bottom"/>
            <w:gridSpan w:val="5"/>
          </w:tcPr>
          <w:p>
            <w:pPr>
              <w:jc w:val="center"/>
              <w:ind w:right="2362"/>
              <w:spacing w:after="0" w:line="133" w:lineRule="exact"/>
              <w:rPr>
                <w:sz w:val="20"/>
                <w:szCs w:val="20"/>
                <w:color w:val="auto"/>
              </w:rPr>
            </w:pPr>
            <w:r>
              <w:rPr>
                <w:rFonts w:ascii="Times New Roman" w:cs="Times New Roman" w:eastAsia="Times New Roman" w:hAnsi="Times New Roman"/>
                <w:sz w:val="12"/>
                <w:szCs w:val="12"/>
                <w:b w:val="1"/>
                <w:bCs w:val="1"/>
                <w:color w:val="auto"/>
                <w:w w:val="99"/>
              </w:rPr>
              <w:t>Commission File Number: 001-38047</w:t>
            </w:r>
          </w:p>
        </w:tc>
      </w:tr>
      <w:tr>
        <w:trPr>
          <w:trHeight w:val="389"/>
        </w:trPr>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80" w:type="dxa"/>
            <w:vAlign w:val="bottom"/>
            <w:gridSpan w:val="5"/>
          </w:tcPr>
          <w:p>
            <w:pPr>
              <w:jc w:val="center"/>
              <w:ind w:right="2362"/>
              <w:spacing w:after="0"/>
              <w:rPr>
                <w:sz w:val="20"/>
                <w:szCs w:val="20"/>
                <w:color w:val="auto"/>
              </w:rPr>
            </w:pPr>
            <w:r>
              <w:rPr>
                <w:rFonts w:ascii="Times New Roman" w:cs="Times New Roman" w:eastAsia="Times New Roman" w:hAnsi="Times New Roman"/>
                <w:sz w:val="31"/>
                <w:szCs w:val="31"/>
                <w:b w:val="1"/>
                <w:bCs w:val="1"/>
                <w:color w:val="auto"/>
                <w:w w:val="99"/>
              </w:rPr>
              <w:t>Upbound Group, Inc.</w:t>
            </w: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80" w:type="dxa"/>
            <w:vAlign w:val="bottom"/>
            <w:gridSpan w:val="5"/>
          </w:tcPr>
          <w:p>
            <w:pPr>
              <w:jc w:val="center"/>
              <w:ind w:right="2382"/>
              <w:spacing w:after="0"/>
              <w:rPr>
                <w:sz w:val="20"/>
                <w:szCs w:val="20"/>
                <w:color w:val="auto"/>
              </w:rPr>
            </w:pPr>
            <w:r>
              <w:rPr>
                <w:rFonts w:ascii="Times New Roman" w:cs="Times New Roman" w:eastAsia="Times New Roman" w:hAnsi="Times New Roman"/>
                <w:sz w:val="10"/>
                <w:szCs w:val="10"/>
                <w:i w:val="1"/>
                <w:iCs w:val="1"/>
                <w:color w:val="auto"/>
                <w:w w:val="99"/>
              </w:rPr>
              <w:t>(Exact name of registrant as specified in its charter)</w:t>
            </w:r>
          </w:p>
        </w:tc>
      </w:tr>
      <w:tr>
        <w:trPr>
          <w:trHeight w:val="176"/>
        </w:trPr>
        <w:tc>
          <w:tcPr>
            <w:tcW w:w="680" w:type="dxa"/>
            <w:vAlign w:val="bottom"/>
          </w:tcPr>
          <w:p>
            <w:pPr>
              <w:spacing w:after="0"/>
              <w:rPr>
                <w:sz w:val="15"/>
                <w:szCs w:val="15"/>
                <w:color w:val="auto"/>
              </w:rPr>
            </w:pPr>
          </w:p>
        </w:tc>
        <w:tc>
          <w:tcPr>
            <w:tcW w:w="19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20" w:type="dxa"/>
            <w:vAlign w:val="bottom"/>
            <w:gridSpan w:val="2"/>
          </w:tcPr>
          <w:p>
            <w:pPr>
              <w:jc w:val="center"/>
              <w:ind w:left="2060"/>
              <w:spacing w:after="0"/>
              <w:rPr>
                <w:sz w:val="20"/>
                <w:szCs w:val="20"/>
                <w:color w:val="auto"/>
              </w:rPr>
            </w:pPr>
            <w:r>
              <w:rPr>
                <w:rFonts w:ascii="Times New Roman" w:cs="Times New Roman" w:eastAsia="Times New Roman" w:hAnsi="Times New Roman"/>
                <w:sz w:val="12"/>
                <w:szCs w:val="12"/>
                <w:b w:val="1"/>
                <w:bCs w:val="1"/>
                <w:color w:val="auto"/>
                <w:w w:val="99"/>
              </w:rPr>
              <w:t>45-0491516</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(State or other jurisdiction of</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(I.R.S. Employer</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incorporation or organization)</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Identification No.)</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5501 Headquarters Drive, Plano, Texas</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gridSpan w:val="2"/>
          </w:tcPr>
          <w:p>
            <w:pPr>
              <w:jc w:val="center"/>
              <w:ind w:left="2100"/>
              <w:spacing w:after="0"/>
              <w:rPr>
                <w:sz w:val="20"/>
                <w:szCs w:val="20"/>
                <w:color w:val="auto"/>
              </w:rPr>
            </w:pPr>
            <w:r>
              <w:rPr>
                <w:rFonts w:ascii="Times New Roman" w:cs="Times New Roman" w:eastAsia="Times New Roman" w:hAnsi="Times New Roman"/>
                <w:sz w:val="12"/>
                <w:szCs w:val="12"/>
                <w:b w:val="1"/>
                <w:bCs w:val="1"/>
                <w:color w:val="auto"/>
                <w:w w:val="99"/>
              </w:rPr>
              <w:t>75024</w:t>
            </w:r>
          </w:p>
        </w:tc>
      </w:tr>
      <w:tr>
        <w:trPr>
          <w:trHeight w:val="159"/>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i w:val="1"/>
                <w:iCs w:val="1"/>
                <w:color w:val="auto"/>
                <w:w w:val="99"/>
              </w:rPr>
              <w:t>(Address of principal executive offices)</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(Zip Code)</w:t>
            </w:r>
          </w:p>
        </w:tc>
      </w:tr>
      <w:tr>
        <w:trPr>
          <w:trHeight w:val="159"/>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60" w:type="dxa"/>
            <w:vAlign w:val="bottom"/>
            <w:gridSpan w:val="2"/>
          </w:tcPr>
          <w:p>
            <w:pPr>
              <w:jc w:val="center"/>
              <w:ind w:left="1508"/>
              <w:spacing w:after="0"/>
              <w:rPr>
                <w:sz w:val="20"/>
                <w:szCs w:val="20"/>
                <w:color w:val="auto"/>
              </w:rPr>
            </w:pPr>
            <w:r>
              <w:rPr>
                <w:rFonts w:ascii="Times New Roman" w:cs="Times New Roman" w:eastAsia="Times New Roman" w:hAnsi="Times New Roman"/>
                <w:sz w:val="12"/>
                <w:szCs w:val="12"/>
                <w:b w:val="1"/>
                <w:bCs w:val="1"/>
                <w:color w:val="auto"/>
                <w:w w:val="99"/>
              </w:rPr>
              <w:t>972-801-1100</w:t>
            </w: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80" w:type="dxa"/>
            <w:vAlign w:val="bottom"/>
            <w:gridSpan w:val="5"/>
          </w:tcPr>
          <w:p>
            <w:pPr>
              <w:jc w:val="center"/>
              <w:ind w:right="2362"/>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r>
      <w:tr>
        <w:trPr>
          <w:trHeight w:val="223"/>
        </w:trPr>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80" w:type="dxa"/>
            <w:vAlign w:val="bottom"/>
            <w:gridSpan w:val="5"/>
          </w:tcPr>
          <w:p>
            <w:pPr>
              <w:jc w:val="center"/>
              <w:ind w:right="2382"/>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r>
      <w:tr>
        <w:trPr>
          <w:trHeight w:val="123"/>
        </w:trPr>
        <w:tc>
          <w:tcPr>
            <w:tcW w:w="68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Title of Each Class</w:t>
            </w:r>
          </w:p>
        </w:tc>
        <w:tc>
          <w:tcPr>
            <w:tcW w:w="1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Trading Symbol</w:t>
            </w:r>
          </w:p>
        </w:tc>
        <w:tc>
          <w:tcPr>
            <w:tcW w:w="212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Name of Exchange on Which Registered</w:t>
            </w:r>
          </w:p>
        </w:tc>
      </w:tr>
      <w:tr>
        <w:trPr>
          <w:trHeight w:val="20"/>
        </w:trPr>
        <w:tc>
          <w:tcPr>
            <w:tcW w:w="6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165"/>
        </w:trPr>
        <w:tc>
          <w:tcPr>
            <w:tcW w:w="266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15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UPBD</w:t>
            </w:r>
          </w:p>
        </w:tc>
        <w:tc>
          <w:tcPr>
            <w:tcW w:w="2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bl>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44450</wp:posOffset>
            </wp:positionV>
            <wp:extent cx="17449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6985"/>
                    </a:xfrm>
                    <a:prstGeom prst="rect">
                      <a:avLst/>
                    </a:prstGeom>
                    <a:noFill/>
                  </pic:spPr>
                </pic:pic>
              </a:graphicData>
            </a:graphic>
          </wp:anchor>
        </w:drawing>
      </w:r>
    </w:p>
    <w:p>
      <w:pPr>
        <w:spacing w:after="0" w:line="18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9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2"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Accelerated filer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Non-accelerated filer </w:t>
      </w:r>
      <w:r>
        <w:rPr>
          <w:rFonts w:ascii="MS PGothic" w:cs="MS PGothic" w:eastAsia="MS PGothic" w:hAnsi="MS PGothic"/>
          <w:sz w:val="12"/>
          <w:szCs w:val="12"/>
          <w:color w:val="auto"/>
        </w:rPr>
        <w:t>☐</w:t>
      </w:r>
    </w:p>
    <w:p>
      <w:pPr>
        <w:spacing w:after="0" w:line="49" w:lineRule="exact"/>
        <w:rPr>
          <w:sz w:val="24"/>
          <w:szCs w:val="24"/>
          <w:color w:val="auto"/>
        </w:rPr>
      </w:pPr>
    </w:p>
    <w:p>
      <w:pPr>
        <w:spacing w:after="0" w:line="138" w:lineRule="exact"/>
        <w:tabs>
          <w:tab w:leader="none" w:pos="1560" w:val="left"/>
        </w:tabs>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94"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7" w:lineRule="exact"/>
        <w:rPr>
          <w:sz w:val="24"/>
          <w:szCs w:val="24"/>
          <w:color w:val="auto"/>
        </w:rPr>
      </w:pPr>
    </w:p>
    <w:p>
      <w:pPr>
        <w:ind w:right="4160"/>
        <w:spacing w:after="0" w:line="15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58" w:lineRule="exact"/>
        <w:rPr>
          <w:sz w:val="24"/>
          <w:szCs w:val="24"/>
          <w:color w:val="auto"/>
        </w:rPr>
      </w:pPr>
    </w:p>
    <w:p>
      <w:pPr>
        <w:ind w:right="680"/>
        <w:spacing w:after="0" w:line="16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57" w:lineRule="exact"/>
        <w:rPr>
          <w:sz w:val="24"/>
          <w:szCs w:val="24"/>
          <w:color w:val="auto"/>
        </w:rPr>
      </w:pPr>
    </w:p>
    <w:p>
      <w:pPr>
        <w:ind w:right="80"/>
        <w:spacing w:after="0" w:line="168" w:lineRule="exact"/>
        <w:rPr>
          <w:sz w:val="20"/>
          <w:szCs w:val="20"/>
          <w:color w:val="auto"/>
        </w:rPr>
      </w:pPr>
      <w:r>
        <w:rPr>
          <w:rFonts w:ascii="Times New Roman" w:cs="Times New Roman" w:eastAsia="Times New Roman" w:hAnsi="Times New Roman"/>
          <w:sz w:val="12"/>
          <w:szCs w:val="12"/>
          <w:color w:val="auto"/>
        </w:rPr>
        <w:t xml:space="preserve">Indicate by check mark whether any of these error corrections are restatements that require a recovery analysis of incentive-based compensation received by any of the registrant's executive officers during the relevant recovery period pursuant to §240 10D-1(b). </w:t>
      </w:r>
      <w:r>
        <w:rPr>
          <w:rFonts w:ascii="MS PGothic" w:cs="MS PGothic" w:eastAsia="MS PGothic" w:hAnsi="MS PGothic"/>
          <w:sz w:val="12"/>
          <w:szCs w:val="12"/>
          <w:color w:val="auto"/>
        </w:rPr>
        <w:t>☐</w:t>
      </w:r>
    </w:p>
    <w:p>
      <w:pPr>
        <w:spacing w:after="0" w:line="20"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9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Aggregate market value of the 56,286,830 shares of Common Stock held by non-affiliates of the registrant at the closing sales price as reported on The Nasdaq Stock Market LLC, on June 30, 2025</w:t>
            </w:r>
          </w:p>
        </w:tc>
        <w:tc>
          <w:tcPr>
            <w:tcW w:w="60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1,412,799,433</w:t>
            </w:r>
          </w:p>
        </w:tc>
      </w:tr>
      <w:tr>
        <w:trPr>
          <w:trHeight w:val="156"/>
        </w:trPr>
        <w:tc>
          <w:tcPr>
            <w:tcW w:w="96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 of shares of Common Stock outstanding as of the close of business on February 13, 2026:</w:t>
            </w:r>
          </w:p>
        </w:tc>
        <w:tc>
          <w:tcPr>
            <w:tcW w:w="6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58,117,605</w:t>
            </w: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Portions of the definitive proxy statement relating to the 2026 Annual Meeting of Stockholders of Upbound Group,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619760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85"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89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40" w:type="dxa"/>
            <w:vAlign w:val="bottom"/>
          </w:tcPr>
          <w:p>
            <w:pPr>
              <w:spacing w:after="0"/>
              <w:rPr>
                <w:sz w:val="16"/>
                <w:szCs w:val="16"/>
                <w:color w:val="auto"/>
              </w:rPr>
            </w:pPr>
          </w:p>
        </w:tc>
      </w:tr>
      <w:tr>
        <w:trPr>
          <w:trHeight w:val="171"/>
        </w:trPr>
        <w:tc>
          <w:tcPr>
            <w:tcW w:w="10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1080" w:type="dxa"/>
            <w:vAlign w:val="bottom"/>
          </w:tcPr>
          <w:p>
            <w:pPr>
              <w:spacing w:after="0"/>
              <w:rPr>
                <w:sz w:val="14"/>
                <w:szCs w:val="1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1240" w:type="dxa"/>
            <w:vAlign w:val="bottom"/>
          </w:tcPr>
          <w:p>
            <w:pPr>
              <w:spacing w:after="0"/>
              <w:rPr>
                <w:sz w:val="14"/>
                <w:szCs w:val="1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4</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13</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1B.</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39</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1C.</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Cybersecurity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39</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2.</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5.</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6.</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41</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7.</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42</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7A.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8.</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56</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99</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9A.</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9B.</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9C.</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10.</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11.</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12.</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13.</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100</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14.</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101</w:t>
            </w:r>
          </w:p>
        </w:tc>
      </w:tr>
      <w:tr>
        <w:trPr>
          <w:trHeight w:val="389"/>
        </w:trPr>
        <w:tc>
          <w:tcPr>
            <w:tcW w:w="1080" w:type="dxa"/>
            <w:vAlign w:val="bottom"/>
          </w:tcPr>
          <w:p>
            <w:pPr>
              <w:spacing w:after="0"/>
              <w:rPr>
                <w:sz w:val="24"/>
                <w:szCs w:val="24"/>
                <w:color w:val="auto"/>
              </w:rPr>
            </w:pPr>
          </w:p>
        </w:tc>
        <w:tc>
          <w:tcPr>
            <w:tcW w:w="894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0000FF"/>
                <w:w w:val="97"/>
              </w:rPr>
              <w:t>PART IV</w:t>
            </w:r>
          </w:p>
        </w:tc>
        <w:tc>
          <w:tcPr>
            <w:tcW w:w="1240" w:type="dxa"/>
            <w:vAlign w:val="bottom"/>
          </w:tcPr>
          <w:p>
            <w:pPr>
              <w:spacing w:after="0"/>
              <w:rPr>
                <w:sz w:val="24"/>
                <w:szCs w:val="24"/>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15.</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102</w:t>
            </w: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Item 16.</w:t>
            </w:r>
          </w:p>
        </w:tc>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106</w:t>
            </w:r>
          </w:p>
        </w:tc>
      </w:tr>
      <w:tr>
        <w:trPr>
          <w:trHeight w:val="393"/>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89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6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our segments, our growth strategies, our expectations, plans and strategy relating to our capital structure and capital allocation, including any share repurchases under our share repurchase program, the potential impact of the matters discussed in Note M - “Contingencies” in this Annual Report on Form 10-K,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below.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35" w:lineRule="exact"/>
        <w:rPr>
          <w:sz w:val="20"/>
          <w:szCs w:val="20"/>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encountered in managing the financial and operational performance of our multiple business segments;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pricing, value proposition and other changes to our consumer offerings and strategies being deployed in our businesses;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execute our strategic initiatives, including mitigating risks associated with any potential additional mergers and acquisitions, or lease-to-own refranchising opportunities;</w:t>
      </w:r>
    </w:p>
    <w:p>
      <w:pPr>
        <w:ind w:left="520" w:hanging="133"/>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provide consumers with additional products and services beyond lease-to-own and products and services currently offered by our Brigit segment, including through third-party partnerships;</w:t>
      </w: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costs, difficulties or disruptions related to the integration of Brigit operations into our other operations will be greater than expected;</w:t>
      </w:r>
    </w:p>
    <w:p>
      <w:pPr>
        <w:spacing w:after="0" w:line="51" w:lineRule="exact"/>
        <w:rPr>
          <w:rFonts w:ascii="Times New Roman" w:cs="Times New Roman" w:eastAsia="Times New Roman" w:hAnsi="Times New Roman"/>
          <w:sz w:val="14"/>
          <w:szCs w:val="14"/>
          <w:color w:val="auto"/>
        </w:rPr>
      </w:pPr>
    </w:p>
    <w:p>
      <w:pPr>
        <w:ind w:left="620" w:hanging="233"/>
        <w:spacing w:after="0"/>
        <w:tabs>
          <w:tab w:leader="none" w:pos="6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the anticipated benefits from the Brigit acquisition may not be fully realized or may take longer to realize than expected;</w:t>
      </w:r>
    </w:p>
    <w:p>
      <w:pPr>
        <w:spacing w:after="0" w:line="51" w:lineRule="exact"/>
        <w:rPr>
          <w:rFonts w:ascii="Times New Roman" w:cs="Times New Roman" w:eastAsia="Times New Roman" w:hAnsi="Times New Roman"/>
          <w:sz w:val="14"/>
          <w:szCs w:val="14"/>
          <w:color w:val="auto"/>
        </w:rPr>
      </w:pPr>
    </w:p>
    <w:p>
      <w:pPr>
        <w:jc w:val="both"/>
        <w:ind w:left="520" w:hanging="133"/>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spacing w:after="0" w:line="8"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effectively manage our operating labor and non-labor operating expenses, including failure to effectively optimize our proprietary algorithms and customer decisioning tools to limit merchandise losses for our lease-to-own offerings;</w:t>
      </w: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revenue associated with acquired lease-to-own customer accounts and enhance the performance of acquired stores;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affecting the disposable income available to our current and potential customers;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unemployment rate;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market conditions, including changes in interest rates and availability of funding sources for us;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credit ratings;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potential acquisition candidates, complete acquisitions and successfully integrate acquired companies;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3" w:name="page4"/>
    <w:bookmarkEnd w:id="3"/>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caused by the operation of our information management systems or disruptions in the systems of our third-party retailers or other third parties with whom we do business;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virtual lease-to-own business, including our ability to continue to develop and successfully implement the necessary technologies;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the benefits expected from our integrated virtual and staffed third-party retailer offering and to successfully grow this business segment;</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potential operating margin degradation due to the higher cost of merchandise and higher merchandise losses in our Acima segment compared to our Rent-A-Center segment;</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risks associated with our Brigit segment and its consumer products and services, including managing losses, regulatory, licensing and other compliance risks, risks associated with our Brigit segment’s reliance on regulated banks and on providers of third-party data and technology and other third-party service providers; and other new risks for our Company;</w:t>
      </w: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ind w:left="140" w:hanging="133"/>
        <w:spacing w:after="0" w:line="284" w:lineRule="auto"/>
        <w:tabs>
          <w:tab w:leader="none" w:pos="30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future cash requirements as a result of the Brigit acquisition, whether caused by unanticipated increases in capital expenditures or working capital needs, unanticipated liabilities or otherwise;</w:t>
      </w:r>
    </w:p>
    <w:p>
      <w:pPr>
        <w:ind w:left="240" w:hanging="233"/>
        <w:spacing w:after="0"/>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the talent and dedication of key employees of Brigit;</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administrative proceedings to which we are or may be a party to from time to time and changes in estimates relating to litigation reserves, including in each case in connection with the regulatory and litigation matters described in Note M to our consolidated financial statements included in this Annual Report on Form 10-K;</w:t>
      </w:r>
    </w:p>
    <w:p>
      <w:pPr>
        <w:jc w:val="both"/>
        <w:ind w:left="140" w:hanging="133"/>
        <w:spacing w:after="0" w:line="26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compliance with applicable statutes and regulations governing our businesses, impacts from the enforcement of existing laws and regulations and the enactment of new laws and regulations adversely affecting our business, including in connection with the regulatory matters described in Note M to our consolidated financial statements included in this Annual Report on Form 10-K, and any legislative or other regulatory enforcement efforts or private party litigation or arbitration that seeks to re-characterize store-based or virtual lease-to-own transactions as credit sales and to apply consumer credit laws and regulations to our lease-to-own business or to apply credit laws to our Brigit segment’s non-credit consumer offerings;</w:t>
      </w:r>
    </w:p>
    <w:p>
      <w:pPr>
        <w:spacing w:after="0" w:line="13"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transition to more-readily scalable “cloud-based” solutions;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enhance digital or e-commerce capabilities, including mobile applications;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proprietary intellectual property and to defend against allegations by third parties that any of our products, services or business activities may infringe against their intellectual property rights;</w:t>
      </w: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from development, deployment and governance of artificial intelligence (“AI”) and adjacent technologies, including technical failures or inaccuracies, rapid adoption by our competitors, and evolving regulatory requirements that may restrict certain AI uses or increase compliance costs;</w:t>
      </w: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or that of our third-party retailers or other third parties with whom we do business to protect the integrity and security of customer, employee, supplier and third-party retailer or other third-party information, which may be adversely affected by hacking, computer viruses, cybersecurity attacks or similar disruptions;</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our goodwill or other intangible assets;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of, or disruptions in, our distribution network;</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inflation or deflation in the prices of our lease-to-own products and other related costs;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allegations of product safety and quality control issues, including recalls of goods we lease to customers;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as well as the effectiveness of, lease-to-own store consolidations, including our ability to retain the revenue from customer accounts merged into another store location as a result of a store consolidation;</w:t>
      </w:r>
    </w:p>
    <w:p>
      <w:pPr>
        <w:ind w:left="140" w:hanging="133"/>
        <w:spacing w:after="0"/>
        <w:tabs>
          <w:tab w:leader="none" w:pos="1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available cash flow and our ability to generate sufficient cash flow to continue paying dividends;</w:t>
      </w:r>
    </w:p>
    <w:p>
      <w:pPr>
        <w:spacing w:after="0" w:line="51" w:lineRule="exact"/>
        <w:rPr>
          <w:rFonts w:ascii="Times New Roman" w:cs="Times New Roman" w:eastAsia="Times New Roman" w:hAnsi="Times New Roman"/>
          <w:sz w:val="14"/>
          <w:szCs w:val="14"/>
          <w:color w:val="auto"/>
        </w:rPr>
      </w:pPr>
    </w:p>
    <w:p>
      <w:pPr>
        <w:ind w:left="140" w:hanging="133"/>
        <w:spacing w:after="0" w:line="287" w:lineRule="auto"/>
        <w:tabs>
          <w:tab w:leader="none" w:pos="1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from traditional competitors, virtual lease-to-own competitors, online retailers, Buy-Now-Pay-Later, earned wage access and financial health technology competitors and other fintech companies and other competitors, including subprime lenders;</w:t>
      </w:r>
    </w:p>
    <w:p>
      <w:pPr>
        <w:spacing w:after="0" w:line="200" w:lineRule="exact"/>
        <w:rPr>
          <w:sz w:val="20"/>
          <w:szCs w:val="20"/>
          <w:color w:val="auto"/>
        </w:rPr>
      </w:pPr>
    </w:p>
    <w:p>
      <w:pPr>
        <w:spacing w:after="0" w:line="2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1186" w:right="319" w:bottom="1440" w:gutter="0" w:footer="0" w:header="0"/>
        </w:sectPr>
      </w:pPr>
    </w:p>
    <w:bookmarkStart w:id="4" w:name="page5"/>
    <w:bookmarkEnd w:id="4"/>
    <w:p>
      <w:pPr>
        <w:ind w:left="140" w:hanging="133"/>
        <w:spacing w:after="0" w:line="284" w:lineRule="auto"/>
        <w:tabs>
          <w:tab w:leader="none" w:pos="1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market products and services that appeal to our current and future targeted customer segments and to accurately estimate the size of the total addressable market;</w:t>
      </w: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preferences and perceptions of our brands;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new rental or lease purchase agreements and collect on our existing rental or lease purchase agreements;</w:t>
      </w:r>
    </w:p>
    <w:p>
      <w:pPr>
        <w:spacing w:after="0" w:line="51" w:lineRule="exact"/>
        <w:rPr>
          <w:rFonts w:ascii="Times New Roman" w:cs="Times New Roman" w:eastAsia="Times New Roman" w:hAnsi="Times New Roman"/>
          <w:sz w:val="14"/>
          <w:szCs w:val="14"/>
          <w:color w:val="auto"/>
        </w:rPr>
      </w:pPr>
    </w:p>
    <w:p>
      <w:pPr>
        <w:ind w:left="140" w:hanging="133"/>
        <w:spacing w:after="0" w:line="284" w:lineRule="auto"/>
        <w:tabs>
          <w:tab w:leader="none" w:pos="13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changes in tariff policies, including impacts from tariffs proposed or imposed by the current U.S. Presidential Administration on the price of imported goods, or consumer prices overall or other financial impacts of such tariffs or proposed or imposed retaliatory tariffs enacted by U.S. trading partners on our costs or target consumers;</w:t>
      </w: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economic conditions of the industries, countries or markets that we serve;</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and data security costs;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breaches in data security or other disturbances to our information technology and other networks;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relating to self-insurance liabilities and income tax reserves;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 and</w:t>
      </w:r>
    </w:p>
    <w:p>
      <w:pPr>
        <w:spacing w:after="0" w:line="51" w:lineRule="exact"/>
        <w:rPr>
          <w:rFonts w:ascii="Times New Roman" w:cs="Times New Roman" w:eastAsia="Times New Roman" w:hAnsi="Times New Roman"/>
          <w:sz w:val="14"/>
          <w:szCs w:val="14"/>
          <w:color w:val="auto"/>
        </w:rPr>
      </w:pPr>
    </w:p>
    <w:p>
      <w:pPr>
        <w:ind w:left="140" w:hanging="133"/>
        <w:spacing w:after="0"/>
        <w:tabs>
          <w:tab w:leader="none" w:pos="1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3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680" w:top="1186"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Upbound Group, Inc.</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references to “we,” “us”, “our”, and the “Company” refer to the consolidated business operations of Upbound Group, Inc., the parent, and any or all of its direct and indirect subsidiaries. For any references in this document to Note A through Note U, refer to the Notes to consolidated financial statements in Item 8 included in this Annual Report on Form 10-K.</w:t>
      </w:r>
    </w:p>
    <w:p>
      <w:pPr>
        <w:spacing w:after="0" w:line="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January 31, 2025, we completed the acquisition of Brigit, a holistic financial health technology company that has helped millions of customers improve their financial health and literacy, find ways to earn and save money, access their earned wages before their regularly scheduled payday, build their credit through savings and protect themselves from identity theft. Its mission is to help customers build a better financial future. See Note B in our consolidated financial statements included in this Annual Report on Form 10-K for additional information.</w:t>
      </w:r>
    </w:p>
    <w:p>
      <w:pPr>
        <w:spacing w:after="0" w:line="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We were incorporated in the State of Delaware in 1986, and our common stock is traded on The Nasdaq Stock Market under the ticker symbol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UPBD.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Our principal executive offices are located at 5501 Headquarters Drive, Plano, Texas 75024. Our telephone number is (972) 801-1100 and our company website is www.upbound.com. Information contained on our website is not incorporated by reference into this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Lease Purchase Transaction</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lease purchase transaction is a flexible alternative that provides freedom for consumers who wish to obtain use and enjoyment of brand name merchandise with no long-term obligation and without having to pay the full price up front. Our customer has the right, but is not obligated, to acquire title to the merchandise either through an early purchase option or through payment of all lease renewals that would be required to obtain ownership.</w:t>
      </w:r>
    </w:p>
    <w:p>
      <w:pPr>
        <w:spacing w:after="0" w:line="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unit economics of the lease purchase transaction vary depending on the length of time customers take to obtain ownership of the product or whether the customer chooses to return the product without obtaining ownership. If a customer elects an early purchase option within a designated period of time following the initial lease, such as 90 or 120 days, a customer generally pays the retail price of the product plus a premium to the cost. Other lease-to-own transactions involve the customer leasing our merchandise through all optional lease renewal terms required to obtain ownership of the merchandise at the conclusion of the final lease renewal term. A customer may also elect to obtain ownership any time after the initial lease period, but prior to the completion of all lease renewals otherwise required to obtain ownership. Due to the longer lease period as a result of completing all lease renewals, along with the other benefits that are part of the lease-to-own transaction, obtaining ownership through payment of all lease renewals involves a higher total cost compared to the cost of the general retail price of the product if it was purchased upfront. Customers primarily take ownership of the merchandise through early purchase options, where the customer elects to make a lump-sum payment at a discounted purchase price prior to the final lease renewal. In the Rent-A-Center segment, the product is often rented more than one time before a customer ultimately obtains ownership.</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are differences in the unit economics between our Acima and Rent-A-Center segments, as we generally purchase our merchandise at wholesale prices for our Rent-A-Center segment and at retail prices for our Acima segment. Historically, operating margin for our Acima segment has benefited from the lower overhead cost associated with the virtual options employed at many third-party locations.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features of the lease purchase transaction include:</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No long term obligation. </w:t>
      </w:r>
      <w:r>
        <w:rPr>
          <w:rFonts w:ascii="Times New Roman" w:cs="Times New Roman" w:eastAsia="Times New Roman" w:hAnsi="Times New Roman"/>
          <w:sz w:val="14"/>
          <w:szCs w:val="14"/>
          <w:color w:val="auto"/>
        </w:rPr>
        <w:t>A customer may terminate a lease purchase agreement at any time without penalty. Such customers have no obligation for remaining payments other than any outstanding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to the date of return.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6" w:name="page7"/>
    <w:bookmarkEnd w:id="6"/>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Convenient payment options. </w:t>
      </w:r>
      <w:r>
        <w:rPr>
          <w:rFonts w:ascii="Times New Roman" w:cs="Times New Roman" w:eastAsia="Times New Roman" w:hAnsi="Times New Roman"/>
          <w:sz w:val="14"/>
          <w:szCs w:val="14"/>
          <w:color w:val="auto"/>
        </w:rPr>
        <w:t>Our customers make payments on a weekly, bi-weekly, semi-monthly or monthly basis in our stores, at our third-party retailer locations, online or by telephone.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 cash, credit or debit cards and payment via certain electronic platforms (such as PayPal and Venmo).</w:t>
      </w:r>
    </w:p>
    <w:p>
      <w:pPr>
        <w:spacing w:after="0" w:line="3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Flexible options to obtain ownership. </w:t>
      </w:r>
      <w:r>
        <w:rPr>
          <w:rFonts w:ascii="Times New Roman" w:cs="Times New Roman" w:eastAsia="Times New Roman" w:hAnsi="Times New Roman"/>
          <w:sz w:val="14"/>
          <w:szCs w:val="14"/>
          <w:color w:val="auto"/>
        </w:rPr>
        <w:t>Ownership of the merchandise generally transfers to the customer if the customer continuously renews the lease purchase agreement for a required period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seven and 30 months, depending upon the product type, or exercises a specified early purchase option.</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Reinstatement</w:t>
      </w:r>
      <w:r>
        <w:rPr>
          <w:rFonts w:ascii="Times New Roman" w:cs="Times New Roman" w:eastAsia="Times New Roman" w:hAnsi="Times New Roman"/>
          <w:sz w:val="14"/>
          <w:szCs w:val="14"/>
          <w:color w:val="auto"/>
        </w:rPr>
        <w:t>. If a customer is temporarily unable to make payments on a piece of rental merchandise and returns the merchandise, that customer generally may later re-rent the same piece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merchandise (or, if unavailable, a substitute of comparable quality, age and condition) on the terms that existed at the time the merchandise was returned, and pick up payments where they left off without losing credit for what they previously paid.</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Approval with less than perfect credit. </w:t>
      </w:r>
      <w:r>
        <w:rPr>
          <w:rFonts w:ascii="Times New Roman" w:cs="Times New Roman" w:eastAsia="Times New Roman" w:hAnsi="Times New Roman"/>
          <w:sz w:val="14"/>
          <w:szCs w:val="14"/>
          <w:color w:val="auto"/>
        </w:rPr>
        <w:t>Generally, no established credit score or credit history is required. In the Rent-A-Center segment, we use a proprietary decision engine to verify customer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as part of our approval process for entering into a lease purchase agreement. In our Acima segment, which provides on-site or virtual lease-to-own options through third-party retailers and through Acima direct-to-consumer offerings, customers complete the application process through a variety of resources, including online digital waterfall technology, third-party retailer electronic portals, online e-commerce websites, and the Acima mobile application. A robust proprietary automated decision engine process is used to confirm certain customer information for approval of the lease purchase agreement.</w:t>
      </w:r>
    </w:p>
    <w:p>
      <w:pPr>
        <w:spacing w:after="0" w:line="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Brand name merchandise. </w:t>
      </w:r>
      <w:r>
        <w:rPr>
          <w:rFonts w:ascii="Times New Roman" w:cs="Times New Roman" w:eastAsia="Times New Roman" w:hAnsi="Times New Roman"/>
          <w:sz w:val="14"/>
          <w:szCs w:val="14"/>
          <w:color w:val="auto"/>
        </w:rPr>
        <w:t>In our store locations and through our third-party retailers, we offer merchandise from a large number of well-known brands such as Ashley home furnishings; LG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Samsung electronics, Sony Playstation and Nintendo game consoles; LG, Samsung, General Electric, and Whirlpool appliances; and HP, Acer, Asus, and Lenovo computers.</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Delivery and set-up. </w:t>
      </w:r>
      <w:r>
        <w:rPr>
          <w:rFonts w:ascii="Times New Roman" w:cs="Times New Roman" w:eastAsia="Times New Roman" w:hAnsi="Times New Roman"/>
          <w:sz w:val="14"/>
          <w:szCs w:val="14"/>
          <w:color w:val="auto"/>
        </w:rPr>
        <w:t>We generally offer same-day or next-day delivery and installation of our merchandise at no additional cost to the customer in our Rent-A-Center stores. Our Acima locations rely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our third-party retailers to deliver merchandise leased by the customer, or for the customer to carry-out leased merchandise. Our third-party retailers typically charge us a fee for delivery, which we pass on to the customer.</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Product maintenance and replacement. </w:t>
      </w:r>
      <w:r>
        <w:rPr>
          <w:rFonts w:ascii="Times New Roman" w:cs="Times New Roman" w:eastAsia="Times New Roman" w:hAnsi="Times New Roman"/>
          <w:sz w:val="14"/>
          <w:szCs w:val="14"/>
          <w:color w:val="auto"/>
        </w:rPr>
        <w:t>In our Rent-A-Center segment, and in the Acima segment where required by law, we provide any required service or repair without additional charge, except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event of damage in excess of 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Wellness Products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Through our mobile and web application our Brigit segment offers various financial wellness products and tools to help users improve their financial health. The application provides certain services at no cost to the customer, including Finance Helper which provides users with budgeting tools and financial insights on spending habits and bills, and Deals &amp; Offers which provides subscribers with a way to earn and save more money via offers from our partners. The application also provides for paid subscription tiers called Brigit Plus and Brigit Premium, which bundle access to additional features and services. Instant Cash is available to eligible subscribers at no cost, and is also included as part of the Brigit Plus and Brigit Premium subscription tiers. Through the paid subscription tiers the customers gain access to some or all of the following services: Credit Monitoring, Credit Builder, and Identity Theft Protection.</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Instant Cash. </w:t>
      </w:r>
      <w:r>
        <w:rPr>
          <w:rFonts w:ascii="Times New Roman" w:cs="Times New Roman" w:eastAsia="Times New Roman" w:hAnsi="Times New Roman"/>
          <w:sz w:val="14"/>
          <w:szCs w:val="14"/>
          <w:color w:val="auto"/>
        </w:rPr>
        <w:t>Brigit’s Instant Cash product provides Earned Wage Access (“EWA”) advances to customers. By leveraging cash flow information from the customer’s bank account as well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verified income information, Brigit’s technology assesses the customer’s earned income and ability to repay with no FICO or credit check needed and no impact on credit scores. Brigit offers an optional expedited delivery of the cash advance for a small payment (Expedited Transfer Fee).</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i w:val="1"/>
          <w:iCs w:val="1"/>
          <w:color w:val="auto"/>
        </w:rPr>
        <w:t xml:space="preserve">Credit Builder. </w:t>
      </w:r>
      <w:r>
        <w:rPr>
          <w:rFonts w:ascii="Times New Roman" w:cs="Times New Roman" w:eastAsia="Times New Roman" w:hAnsi="Times New Roman"/>
          <w:sz w:val="14"/>
          <w:szCs w:val="14"/>
          <w:color w:val="auto"/>
        </w:rPr>
        <w:t>Credit Builder helps customers establish or improve their credit while saving through personal loans. The loans are originated by and held with Brigit’s bank partner. Unlike traditional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loans, the primary goal of Credit Builder is not to provide immediate access to funds, but to allow customers to demonstrate creditworthiness through consistent repayment history. The Credit Builder loan forms a new trade line on the borrower’s credit report. The customer can choose the amount that they are able to repay each month, and they then make installment payments towards the loan. These payments are reported to the three largest credit reporting agencies. Furthermore, Credit Builder promotes savings as the customer’s payments accumulate in a deposit account and may be withdrawn by the customer at any time during the term of the loan.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achieving our mission to elevate financial opportunity for all and growing our business through emphasis on the following key initiatives:</w:t>
      </w:r>
    </w:p>
    <w:p>
      <w:pPr>
        <w:spacing w:after="0" w:line="51" w:lineRule="exact"/>
        <w:rPr>
          <w:sz w:val="20"/>
          <w:szCs w:val="20"/>
          <w:color w:val="auto"/>
        </w:rPr>
      </w:pP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penetration with current Acima third-party retailers and build on our strength with small to medium size businesses while also adding new national and regional third-party retailers to our platform and expanding our direct-to-consumer channels;</w:t>
      </w: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Brigit, continue to grow Brigit’s EWA, credit builder and other existing products and increase Brigit’s portfolio of products;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Rent-A-Center, accelerate the shift to e-commerce, improve the fully integrated omni-channel customer experience and expand product categories, which we expect will increase brand awareness and customer loyalty;</w:t>
      </w: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data analytics capabilities to attract new customers, approve more customers and mitigate risk across business segments;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ind w:left="520" w:hanging="133"/>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Upgrade and integrate technology platforms to allow for a more simplified and seamless consumer experience, third-party retailer and waterfall integration, consumer transaction process and coworker efficiency.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Operating Segments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31, 2025, we established a new operating segment following the acquisition of Bridge IT, Inc. (“Brigit”). Please reference Note B in our consolidated financial statements included in this Annual Report on Form 10-K for additional discussion of the acquisition. In addition, effective January 1, 2025, we combined our Franchising segment with our Rent-A-Center segment. Financial information disclosed within this report has been recast for the related prior year period to reflect this additional change. Brigit’s results of operations are reflected in our Consolidated Statements of Operations beginning January 31, 2025, the date on which we acquired Brigit.</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We report financial operating performance under four operating segments. To better reflect our current strategic focus, our third-party retailer business operations are reported as the Acima segment, which includes our virtual and staffed business models; and our company-owned and franchise stores and e-commerce platform through rentacenter.com, getitnowstores.com and homechoicestores.com are reported as the Rent-A-Center segment. In addition, we report operating results for our Brigit and Mexico segments. Additional information regarding our operating segments is presented in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contained in Item 7 of this Annual Report on Form 10-K, and financial information regarding these segments and revenues by geographic area are provided in Note T to our consolidated financial statements contained in this Annual Report on Form 10-K. Substantially all of our revenues for the past three years originated in the United States.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Acima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includes the operations of Acima Holdings, LLC (“Acima Holdings”), which we acquired in February 2021, and locations formerly operating under our Acceptance Now brand, which completed the transition to the Acima platform in 2024. The Acima segment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a proprietary automated process to confirm certain customer information for approval of the lease purchase agreement, including certain information from consumer reporting agencies as part of our decisioning process that may constitute a "consumer report" under applicable law. We believe our lease-to-own solutions within the Acima segment are beneficial for both the retailer and the consumer. The retailer captures more sales and reduces their payment risk because we buy the merchandise directly from them. We believe consumers also benefit from our Acima model because they are able to obtain the products they want and need under flexible terms and without the necessity of relying on credit to finance a purchase or need 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8" w:name="page9"/>
    <w:bookmarkEnd w:id="8"/>
    <w:p>
      <w:pPr>
        <w:jc w:val="both"/>
        <w:spacing w:after="0" w:line="270" w:lineRule="auto"/>
        <w:rPr>
          <w:sz w:val="20"/>
          <w:szCs w:val="20"/>
          <w:color w:val="auto"/>
        </w:rPr>
      </w:pPr>
      <w:r>
        <w:rPr>
          <w:rFonts w:ascii="Times New Roman" w:cs="Times New Roman" w:eastAsia="Times New Roman" w:hAnsi="Times New Roman"/>
          <w:sz w:val="14"/>
          <w:szCs w:val="14"/>
          <w:color w:val="auto"/>
        </w:rPr>
        <w:t>pay the full cost upfront. We generally pay the retail price for merchandise purchased from our third-party retailers and subsequently leased to the customer. Through certain third-party retailers,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operating model is highly agile and dynamic given our virtual offerings and our ability to open and close staffed and unstaffed locations quickly and efficiently. Generally, our Acima staffed locations consist of an area with a tablet computer, desk and chairs. We occupy the space without charge by agreement with each retailer. In our virtual locations, transactions are initiated through an electronic portal accessible by third-party retailers on their store computers, on our third-party retailers' e-commerce sites or through our Acima direct-to-consumer offerings including the Acima mobile application. Accordingly, capital expenditures with respect to new Acima locations are minimal.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Acima relies on our third-party retailers to deliver merchandise leased by the customer. Such third-party retailers typically charge us a fee for delivery, which we pass on to the customer. In the event the customer wishes to return rented merchandise and terminate their lease, we provide various return options.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Rent-A-Center</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based on a percent of the franchisees' monthly gross revenues. Our Rent-A-Center segment operates through our company-owned stores, franchise stores and e-commerce platforms through rentacenter.com, getitnowstores.com and homechoicestores.com. We routinely evaluate the locations in which we operate to optimize our store network.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Brigit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Brigit segment, which operates in the United States, was acquired on January 31, 2025 (the “Closing Date”). The Brigit segment, through mobile and web applications, offers various financial health products and tools to help users improve their financial health, such as Finance Helper, Deals &amp; Offers, Instant Cash, Credit Builder, Identity Theft Protection and more. These products and tools help customers improve their financial health and literacy, find ways to earn and save money, access their earned wages before their regularly scheduled payday, build their credit through savings, and protect themselves from identity theft.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Mexico segment consists of our company-owned stores in Mexico that lease durable goods to customers on a lease-to-own basis.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applies generally to all of our operating segments, unless otherwise noted.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operating segment expenses primarily relate to merchandise costs and labor and non-labor operating expenses, including salaries and benefits for our employees, lease charge-offs, occupancy, delivery, advertising, selling, insurance, travel, fixed asset depreciation, and other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Selection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stores in our Rent-A-Center and Mexico segments generally offer merchandise from certain basic product categories such as furniture, including mattresses; tires; consumer electronics; appliances; tools; handbags; computers; and accessories. Although we seek to maintain sufficient inventory in our stores to offer customers a wide variety of models, styles and brands, we generally limit merchandise to prescribed levels to maintain strict inventory controls. We also provide merchandise options to our Rent-A-Center customers through our extended marketplace on our e-commerce platform. We seek to provide a wide variety of high quality merchandise to our customers, and we emphasize products from name-brand manufacturers. Customers may request either new merchandise or previously leased merchandise. Previously leased merchandise is generally offered at 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similar weekly, bi-weekly, semi-monthly, or monthly lease rate as is offered for new merchandise, but with an opportunity to obtain ownership of the merchandise after fewer lease payments.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and tablet computers.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Acima locations offer merchandise available for sale in-store and online through third-party retailers, including furniture and accessories, consumer electronics and appliances, wheels and tires, and jewelry.</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Brigit segment, through its mobile and web applications, offers a suite of financial health products and tools designed to help users improve their financial well-being. These include Finance Helper, Deals &amp; Offers, Instant Cash, Credit Builder, Identity Theft Protection and more. Together, these offerings help customers budget more effectively, build financial literacy, discover ways to earn and save, access earned wages ahead of payday, strengthen credit through savings-based programs, and protect themselves from identity theft.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Turnover</w:t>
      </w:r>
    </w:p>
    <w:p>
      <w:pPr>
        <w:spacing w:after="0" w:line="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Product turnover is the number of times a product is rented to a different customer. On average, a product is leased (turned over) to multiple customers before a customer acquires ownership. Merchandise returned in the Acima segment is often moved to a Rent-A-Center store where it is offered for lease. To cover the higher operating expenses generated by the key benefits of lease purchase transactions and product turnover, lease purchase agreements require higher aggregate payments to obtain ownership over time (if elected by the customer) than are generally charged under purchase plans, such as installment purchase or credit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 Management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majority of our lease purchase agreements are subject to weekly, bi-weekly, semi-monthly, and monthly renewal terms. In our Rent-A-Center stores, managers use our management information system to track past due payments on a daily basis. Similarly, past due payments are monitored on a daily basis by on-site employees in our Acima staffed locations and by our back-office account management team in respect of our Acima virtual locations. If a customer fails to make a lease payment when due, we will attempt to contact the customer to terminate the account and arrange to regain possession of our merchandise or, if elected by the customer, to obtain payment and reinstate the agreement.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our Rent-A-Center segment, we attempt to recover the merchandise as soon as possible following non-renewal or termination of a lease purchase agreement. These efforts are enhanced by the personal and job-related references required of customers, the personal nature of the relationships between our employees and customers, and the availability of lifetime reinstatement.</w:t>
      </w:r>
    </w:p>
    <w:p>
      <w:pPr>
        <w:spacing w:after="0" w:line="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a customer does not return the merchandise or make a payment sufficient to reinstate an agreement, the remaining book value of the leased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our Acima segment, we purchase the merchandise selected by the customer from the applicable third-party retailer at the time such customer enters into a lease purchase agreement with us and the product is delivered. We retain ownership of the leased property unless and until the customer elects to purchase the property pursuant to the lease terms.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our Rent-A-Center and Mexico segments, we purchase our rental merchandise from a variety of suppliers. In 2025, approximately 37%, 11% and 10% of our merchandise purchases were attributable to Ashley Furniture Industries, LG Electronics and Whirlpool, respectively.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 However, any termination or disruption to our relationship with Ashley Furniture Industries, Whirlpool or other significant suppliers could materially adversely impact our results.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executive management team has extensive experience in the lease-to-own industry, as well as financial services and technology and has demonstrated the ability to grow and manage our business through their operational leadership and strategic vision. Our regional and district managers generally have long tenures with us, and we have a history of promoting management personnel from within. To support our strategic efforts we have hired additional key management members in recent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executive management team's extensive industry and company experience will allow us to effectively execute our strategies.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promote our products and services through direct marketing, paid and organic search optimization, digital advertisements, paid social media, radio and television commercials, and store signage. Our advertisements emphasize such features as product and name-brand selection, limited time offers, easy approval process, the flexible payment and return options, the ability to avoid relying on credit to finance a purchase and without requiring long-term contracts or obligations, convenient delivery and set-up, product repair and loaner services, lifetime reinstatement and multiple options to acquire ownership if desired by the customer, including early purchase pricing options or through a fixed number of lease renewal payments. In addition, in the Rent-A-Center segment, we promote the “RAC Worry-Free Guarantee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 further highlight these aspects of the lease purchase transaction. We also promote the Acima segment’s lease-to-own solution and the Brigit segment’s financial wellness products. We believe that by leveraging our advertising efforts to highlight the benefits of accessible and inclusive financial solutions, we will continue to educate our customers and potential customers about the ways we address the evolving needs and aspirations of underserved consumers.</w:t>
      </w:r>
    </w:p>
    <w:p>
      <w:pPr>
        <w:spacing w:after="0" w:line="6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Franchising has established national advertising funds for the franchised stores, whereby franchising has the right to collect a percent of the monthly gross revenue from each franchisee as contributions to the fund. Franchising directs the advertising programs of the fund, generally consisting of television and radio commercials and print and digital display advertisements. Franchising also has the right to require franchisees to expend a percent of their monthly gross revenue on local advertising.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&amp; Competition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According to data released by the Fair Isaac Corporation in September 2025, consumers in the “subprime” category (those with credit scores below 650) made up approximately 26% of the United States population. Approximately 30% of U.S. consumers have incomes below $50,000 and may lack access to traditional credit. The lease-to-own industry provides customers the opportunity to obtain merchandise they might otherwise be unable to obtain due to insufficient cash resources or a lack of access to credit to finance a purchase.</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Buy-Now-Pay-Later and other fintech companies and other competitors, including subprime lenders. Competition is based primarily on convenience, store location, product selection and availability, customer service, and pricing. Our Brigit segment also faces significant competition from other providers of EWA, credit building products and other financial health technology solutions. See </w:t>
      </w:r>
      <w:r>
        <w:rPr>
          <w:rFonts w:ascii="Times New Roman" w:cs="Times New Roman" w:eastAsia="Times New Roman" w:hAnsi="Times New Roman"/>
          <w:sz w:val="14"/>
          <w:szCs w:val="14"/>
          <w:i w:val="1"/>
          <w:iCs w:val="1"/>
          <w:color w:val="auto"/>
        </w:rPr>
        <w:t>“The industries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 which we operate are highly competitive, which could impede our ability to maintain and grow consumer transaction volumes and pricing and have a material adverse effect on our prospects and operating results.” </w:t>
      </w:r>
      <w:r>
        <w:rPr>
          <w:rFonts w:ascii="Times New Roman" w:cs="Times New Roman" w:eastAsia="Times New Roman" w:hAnsi="Times New Roman"/>
          <w:sz w:val="14"/>
          <w:szCs w:val="14"/>
          <w:color w:val="auto"/>
        </w:rPr>
        <w:t>contained in Item 1A of this Annual Report on Form 10-K.</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revenue mix in our lease-to-own businesses is moderately seasonal, with the first quarter of each fiscal year generally providing higher 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own various trademarks and service marks that are used in connection with our operations, including certain trademarks that have been registered with the United States Patent and Trademark Office. The duration of our registered trademarks is unlimited, subject to periodic renewal and continued use. We believe we hold the necessary rights for protection of the trademarks and service marks essential to our business. The products held for rent in our lease-to-own stores or through our third-party retailers also bear trademarks and service marks held by their respective manufacturers.</w:t>
      </w:r>
    </w:p>
    <w:p>
      <w:pPr>
        <w:spacing w:after="0" w:line="22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We license the use of the Rent-A-Center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trademarks and service marks to our franchisees under our franchise agreements with such franchisees. We also own various trademarks and service marks, including RimTyme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that are used in connection with our franchisees’ operations and have been registered with the United States Patent and Trademark office. The duration of these marks is unlimited, subject to periodic renewal and continued use.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employed a total of 12,050 coworkers, the vast majority of which are full time employees. Our employee base is made up of 10,290 coworkers in our U.S. Operations, including Puerto Rico, 1,050 coworkers in our Mexico operations and 710 coworkers at our corporate facilities.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continually monitor our demand for labor and provide training and competitive compensation packages in an effort to attract and retain skilled coworkers. We believe our coworkers are one of the primary keys to successfully operating our business and achieving our strategic objectives. Our human capital measures and objectives focus on the successful training and development of our coworkers, in addition to their safety. We also focus on supporting an inclusive and talented workforce with a variety of backgrounds and perspectives. All of our coworkers are employed at will and are free to end their employment with us at any time.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of Lease-to-Own Transactions</w:t>
      </w:r>
    </w:p>
    <w:p>
      <w:pPr>
        <w:spacing w:after="0" w:line="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u w:val="single" w:color="auto"/>
          <w:color w:val="auto"/>
        </w:rPr>
        <w:t>State Regulation.</w:t>
      </w:r>
      <w:r>
        <w:rPr>
          <w:rFonts w:ascii="Times New Roman" w:cs="Times New Roman" w:eastAsia="Times New Roman" w:hAnsi="Times New Roman"/>
          <w:sz w:val="14"/>
          <w:szCs w:val="14"/>
          <w:color w:val="auto"/>
        </w:rPr>
        <w:t xml:space="preserve"> Currently, 46 states, the District of Columbia and Puerto Rico have rental purchase statutes that recognize and regulate lease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over the maximum potential life of a rental purchase agreement if the customer elects to renew the lease for the maximum number of optional renewal periods to amounts ranging from 2.0 times to 2.4 times the lessor's disclosed cash price or the retail value of the rental product. Six of those eleven states also limit the lessor's cash price of merchandise to amounts ranging from 1.56 to 2.5 times our cost for each item.</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As of December 31, 2025, we operated 20 Home Choice stores in Minnesota.</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As of December 31, 2025, we operated 84 lease-to-own stores and 22 Acima staffed locations in North Carolina.</w:t>
      </w:r>
    </w:p>
    <w:p>
      <w:pPr>
        <w:spacing w:after="0" w:line="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As of December 31, 2025, we operated 30 Get It Now stores in Wisconsin and 18 Rent-A-Center stores in New Jersey.</w:t>
      </w:r>
    </w:p>
    <w:p>
      <w:pPr>
        <w:spacing w:after="0" w:line="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addition to state lease-to-own laws as described above, general consumer protection laws and regulations adopted by states and enforcement activities by state attorneys general and other consumer regulatory authorities may also impact our business. There can be no assurance as to whether the enforcement of existing state laws or regulations, including in connection with the regulatory matters described in Note M to our consolidated financial statements included in this Annual Report on Form 10-K,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or the enactment of new laws or regulations that may unfavorably impact the lease-to-own industry would have a material and adverse effect on us.</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u w:val="single" w:color="auto"/>
          <w:color w:val="auto"/>
        </w:rPr>
        <w:t>Federal Regulation</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color w:val="auto"/>
        </w:rPr>
        <w:t xml:space="preserve"> To date, no comprehensive federal legislation has been enacted regulating the rental purchase transaction. However, other consumer protection laws and regulations adopted at the federal level and enforcement activities by the Consumer Financial Protection Bureau (“CFPB”) and the United States Federal Trade Commission (the “FTC”) may impact our business. The Dodd-Frank Wall Street Reform and Consumer Protection Act (“Dodd-Frank Act”) regulates “leases” if, among other things, the initial term of the lease is at least 90 days. We believe the lease-to-own transaction, therefore, is not a covered “lease” under the Dodd-Frank Act because, among other reasons, the lease-to-own transaction is for a term of week to week, or at most, month to month. The CFPB has in past adopted, and may in the future adopt, a different interpretation of the Dodd-Frank Act and other federal consumer financial protection laws.</w:t>
      </w:r>
    </w:p>
    <w:p>
      <w:pPr>
        <w:spacing w:after="0" w:line="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From time to time, we have supported legislation introduced in Congress that would regulate the rental purchase transaction. While both beneficial and adverse legislation regulating the rental purchase transaction may be introduced in Congress in the future, any adverse federal legislation, if enacted, could have a material and adverse effect on us. In addition, there can be no assurance as to whether the enforcement of existing federal consumer protection laws or regulations, including in connection with the regulatory matters described in Note M to our consolidated financial statements included in this Annual Report on Form 10-K, or the enactment of new laws or regulations that may unfavorably impact the lease-to-own industry would have a material and adverse effect on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of EWA Products</w:t>
      </w:r>
    </w:p>
    <w:p>
      <w:pPr>
        <w:spacing w:after="0" w:line="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u w:val="single" w:color="auto"/>
          <w:color w:val="auto"/>
        </w:rPr>
        <w:t>State Regulation.</w:t>
      </w:r>
      <w:r>
        <w:rPr>
          <w:rFonts w:ascii="Times New Roman" w:cs="Times New Roman" w:eastAsia="Times New Roman" w:hAnsi="Times New Roman"/>
          <w:sz w:val="14"/>
          <w:szCs w:val="14"/>
          <w:color w:val="auto"/>
        </w:rPr>
        <w:t xml:space="preserve"> At the state level, the legal and regulatory landscape is evolving and numerous states have addressed the coverage of EWA by their loan-related regulatory regimes, implemented new EWA-specific regulatory requirements, or publicly considered one of these approaches (e.g., through the introduction of legislation that would, if enacted, specifically regulate EWA as a product distinct from loans). Many of the states that have taken EWA-related action have implemented provisions that require EWA providers to register or obtain licenses and/or comply with EWA-specific disclosure and practice requirements. Some states, however, have adopted more restrictive approaches. For example, in 2023, legislatures or consumer financial regulators in Connecticut and Maryland issued guidance and/or changes in law or regulation, indicating that EWA products, in certain cases, would be considered loans or otherwise regulated under loan regulatory regimes imposing licensing, rate and fee limitation, and origination and servicing practice limitations on EWA providers.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u w:val="single" w:color="auto"/>
          <w:color w:val="auto"/>
        </w:rPr>
        <w:t>Federal Regulation.</w:t>
      </w:r>
      <w:r>
        <w:rPr>
          <w:rFonts w:ascii="Times New Roman" w:cs="Times New Roman" w:eastAsia="Times New Roman" w:hAnsi="Times New Roman"/>
          <w:sz w:val="14"/>
          <w:szCs w:val="14"/>
          <w:color w:val="auto"/>
        </w:rPr>
        <w:t xml:space="preserve"> Although there is currently no comprehensive federal legislation regulating EWA products, such as Brigit’s EWA product, the CFPB under the previous Presidential Administration proposed an interpretative rule that would have potentially treated many EWA products as extensions of credit for the purposes of applying certain federal consumer financial laws and regulations, including the potential regulation of unfair, deceptive, or abusive practices with respect to EWA products. In December 2025, the CFPB withdrew that proposed interpretative rule and issued an advisory opinion stating that certain “covered” EWA products, structured to provide access to earned wages without creating a debt obligation and subject to specified conditions, generally are not credit under the Truth in Lending Act or Regulation Z. The opinion also stated that optional expedited funding fees and tips paid by consumers in connection with EWA products are not finance charges under that statute or regulation. The advisory opinion is non-binding, and the legal and regulatory landscape at the federal level may continue to evolve.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statements and other information with the SEC. The public may obtain copies of these reports and any amendments at the SEC's website,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 Board of Directors has adopted a Code of Business Conduct and Ethics applicable to all members of our Board of Directors, as well as all of our coworkers, including our Chief Executive Officer, Chief Financial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13" w:name="page14"/>
    <w:bookmarkEnd w:id="13"/>
    <w:p>
      <w:pPr>
        <w:spacing w:after="0" w:line="287" w:lineRule="auto"/>
        <w:rPr>
          <w:sz w:val="20"/>
          <w:szCs w:val="20"/>
          <w:color w:val="auto"/>
        </w:rPr>
      </w:pPr>
      <w:r>
        <w:rPr>
          <w:rFonts w:ascii="Times New Roman" w:cs="Times New Roman" w:eastAsia="Times New Roman" w:hAnsi="Times New Roman"/>
          <w:sz w:val="14"/>
          <w:szCs w:val="14"/>
          <w:color w:val="auto"/>
        </w:rPr>
        <w:t>is published on our website at https://investor.upbound.com/corporate-governance/governance-documents.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Upbound Group, Inc.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Economic Conditions</w:t>
      </w:r>
    </w:p>
    <w:p>
      <w:pPr>
        <w:spacing w:after="0" w:line="25" w:lineRule="exact"/>
        <w:rPr>
          <w:sz w:val="20"/>
          <w:szCs w:val="20"/>
          <w:color w:val="auto"/>
        </w:rPr>
      </w:pPr>
    </w:p>
    <w:p>
      <w:pPr>
        <w:ind w:left="140" w:right="200" w:hanging="135"/>
        <w:spacing w:after="0" w:line="266" w:lineRule="auto"/>
        <w:tabs>
          <w:tab w:leader="none" w:pos="13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success of our business overall and each of our segments is dependent on macroeconomic and other factors affecting consumer demand, spending and payment behaviors that are outside of our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Vendors, Suppliers, Products and Services</w:t>
      </w:r>
    </w:p>
    <w:p>
      <w:pPr>
        <w:spacing w:after="0" w:line="25" w:lineRule="exact"/>
        <w:rPr>
          <w:sz w:val="20"/>
          <w:szCs w:val="20"/>
          <w:color w:val="auto"/>
        </w:rPr>
      </w:pP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Disruptions in our lease-to-own supply chain and other factors affecting the distribution of our merchandise could materially and adversely affect our business.</w:t>
      </w:r>
    </w:p>
    <w:p>
      <w:pPr>
        <w:spacing w:after="0" w:line="8" w:lineRule="exact"/>
        <w:rPr>
          <w:rFonts w:ascii="Times New Roman" w:cs="Times New Roman" w:eastAsia="Times New Roman" w:hAnsi="Times New Roman"/>
          <w:sz w:val="14"/>
          <w:szCs w:val="14"/>
          <w:i w:val="1"/>
          <w:iCs w:val="1"/>
          <w:color w:val="auto"/>
        </w:rPr>
      </w:pPr>
    </w:p>
    <w:p>
      <w:pPr>
        <w:ind w:left="140" w:right="74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rely on the receipt of information from third-party data vendors across our business segments, and inaccuracies in or delays in receiving such information, or the termination of our relationships with such vendors, could have a material adverse effect on our business, operating results and financial condition.</w:t>
      </w:r>
    </w:p>
    <w:p>
      <w:pPr>
        <w:ind w:left="140" w:right="160" w:hanging="135"/>
        <w:spacing w:after="0" w:line="253" w:lineRule="auto"/>
        <w:tabs>
          <w:tab w:leader="none" w:pos="13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must successfully manage our Rent-A-Center inventory to reflect customer demand and anticipate changing consumer preferences and leasing trends or our revenue and profitability could be materially and adversely affected.</w:t>
      </w:r>
    </w:p>
    <w:p>
      <w:pPr>
        <w:ind w:left="120" w:hanging="115"/>
        <w:spacing w:after="0"/>
        <w:tabs>
          <w:tab w:leader="none" w:pos="1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Allegations of or actual product safety and quality control issues for our leased products, including product recalls, could harm our reputation, divert resources, reduce sales and increase costs.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Strategy and Operations</w:t>
      </w:r>
    </w:p>
    <w:p>
      <w:pPr>
        <w:spacing w:after="0" w:line="25" w:lineRule="exact"/>
        <w:rPr>
          <w:sz w:val="20"/>
          <w:szCs w:val="20"/>
          <w:color w:val="auto"/>
        </w:rPr>
      </w:pP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success depends on the effective implementation and continued execution of our strategies to continue to grow and transform our business.</w:t>
      </w:r>
    </w:p>
    <w:p>
      <w:pPr>
        <w:spacing w:after="0" w:line="8" w:lineRule="exact"/>
        <w:rPr>
          <w:rFonts w:ascii="Times New Roman" w:cs="Times New Roman" w:eastAsia="Times New Roman" w:hAnsi="Times New Roman"/>
          <w:sz w:val="14"/>
          <w:szCs w:val="14"/>
          <w:i w:val="1"/>
          <w:iCs w:val="1"/>
          <w:color w:val="auto"/>
        </w:rPr>
      </w:pP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are unable to successfully appeal to and engage with our target consumers and third-party retailers, our business and financial performance may be materially and adversely affected.</w:t>
      </w:r>
    </w:p>
    <w:p>
      <w:pPr>
        <w:spacing w:after="0" w:line="8" w:lineRule="exact"/>
        <w:rPr>
          <w:rFonts w:ascii="Times New Roman" w:cs="Times New Roman" w:eastAsia="Times New Roman" w:hAnsi="Times New Roman"/>
          <w:sz w:val="14"/>
          <w:szCs w:val="14"/>
          <w:i w:val="1"/>
          <w:iCs w:val="1"/>
          <w:color w:val="auto"/>
        </w:rPr>
      </w:pP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must maintain corporate brands that are recognized and trusted by consumers and third-party retailers.</w:t>
      </w:r>
    </w:p>
    <w:p>
      <w:pPr>
        <w:spacing w:after="0" w:line="8" w:lineRule="exact"/>
        <w:rPr>
          <w:rFonts w:ascii="Times New Roman" w:cs="Times New Roman" w:eastAsia="Times New Roman" w:hAnsi="Times New Roman"/>
          <w:sz w:val="14"/>
          <w:szCs w:val="14"/>
          <w:i w:val="1"/>
          <w:iCs w:val="1"/>
          <w:color w:val="auto"/>
        </w:rPr>
      </w:pPr>
    </w:p>
    <w:p>
      <w:pPr>
        <w:ind w:left="14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proprietary algorithms and customer decisioning tools used to approve customers are subject to unexpected changes in behavior caused by macroeconomic conditions, which could cause these tools to no longer be indicative of our customers’ ability to perform under their agreements with us.</w:t>
      </w:r>
    </w:p>
    <w:p>
      <w:pPr>
        <w:ind w:left="140" w:right="18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industries in which we operate are highly competitive, which could impede our ability to maintain and grow consumer transaction volumes and pricing and have a material adverse effect on our prospects and operating results.</w:t>
      </w: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Failure to effectively manage our costs could have a material adverse effect on our profitability.</w:t>
      </w:r>
    </w:p>
    <w:p>
      <w:pPr>
        <w:spacing w:after="0" w:line="8" w:lineRule="exact"/>
        <w:rPr>
          <w:rFonts w:ascii="Times New Roman" w:cs="Times New Roman" w:eastAsia="Times New Roman" w:hAnsi="Times New Roman"/>
          <w:sz w:val="14"/>
          <w:szCs w:val="14"/>
          <w:i w:val="1"/>
          <w:iCs w:val="1"/>
          <w:color w:val="auto"/>
        </w:rPr>
      </w:pPr>
    </w:p>
    <w:p>
      <w:pPr>
        <w:ind w:left="140" w:right="6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face risks in our Acima third-party retailer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meet our growth objectives for the Acima segment and result in a material adverse effect on our results of operations.</w:t>
      </w: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integration and use of AI and similar technology in our business presents risks and challenges that could adversely affect our business, reputation, and results of operations.</w:t>
      </w:r>
    </w:p>
    <w:p>
      <w:pPr>
        <w:spacing w:after="0" w:line="8" w:lineRule="exact"/>
        <w:rPr>
          <w:rFonts w:ascii="Times New Roman" w:cs="Times New Roman" w:eastAsia="Times New Roman" w:hAnsi="Times New Roman"/>
          <w:sz w:val="14"/>
          <w:szCs w:val="14"/>
          <w:i w:val="1"/>
          <w:iCs w:val="1"/>
          <w:color w:val="auto"/>
        </w:rPr>
      </w:pPr>
    </w:p>
    <w:p>
      <w:pPr>
        <w:ind w:left="140" w:right="8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strategy to grow the third-party retailer business depends on our ability to develop and offer robust virtual lease-to-own technology, including algorithmic decisioning programs and waterfall integrations.</w:t>
      </w:r>
    </w:p>
    <w:p>
      <w:pPr>
        <w:ind w:left="140" w:right="60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operations depend on effective information management systems. Failure of our systems or those of our third-party retailers, bank partners or other commercial counterparties could negatively impact our business, financial condition and results of operations.</w:t>
      </w:r>
    </w:p>
    <w:p>
      <w:pPr>
        <w:ind w:left="140" w:right="6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fail to protect the integrity and security of customer, employee, supplier, third-party retailer, bank partner or other third-party information, or if our third-party retailers, bank partners, outsourced technology providers or other third parties fail to protect the integrity and security of customer, employee or other sensitive information, we could incur significant liability and damage our reputation, and our business could be materially and adversely affected.</w:t>
      </w:r>
    </w:p>
    <w:p>
      <w:pPr>
        <w:jc w:val="both"/>
        <w:ind w:left="140" w:right="8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Brigit segment’s EWA advances expose Brigit to the repayment risk of Brigit’s customers and if Brigit’s decisioning criteria for EWA advance eligibility is not sufficient to mitigate against this risk, or if the data Brigit uses to assess customer earned wages is inaccurate or incomplete, Brigit’s financial condition and operating results could be adversely affected if a substantial number of Brigit’s customers are unable to repay the EWA advance they receive.</w:t>
      </w:r>
    </w:p>
    <w:p>
      <w:pPr>
        <w:ind w:left="140" w:right="40" w:hanging="135"/>
        <w:spacing w:after="0" w:line="253" w:lineRule="auto"/>
        <w:tabs>
          <w:tab w:leader="none" w:pos="13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we are unable to attract, train and retain managerial personnel and hourly associates in our Rent-A-Center stores and staffed Acima locations, our reputation, sales and operating results may be materially and adversely affected.</w:t>
      </w:r>
    </w:p>
    <w:p>
      <w:pPr>
        <w:ind w:left="120" w:hanging="115"/>
        <w:spacing w:after="0"/>
        <w:tabs>
          <w:tab w:leader="none" w:pos="12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Environmental impacts and increased focus by stakeholders on environmental issues could adversely affect our business, financial condition and operating results.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Legal and Compliance Matters</w:t>
      </w:r>
    </w:p>
    <w:p>
      <w:pPr>
        <w:spacing w:after="0" w:line="25" w:lineRule="exact"/>
        <w:rPr>
          <w:sz w:val="20"/>
          <w:szCs w:val="20"/>
          <w:color w:val="auto"/>
        </w:rPr>
      </w:pPr>
    </w:p>
    <w:p>
      <w:pPr>
        <w:ind w:left="140" w:right="30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businesses and industries are heavily regulated and subject to active enforcement including legal and regulatory proceedings that have in the past and may in the future result in damages, penalties or other significant monetary obligations and restrictions on our business operations.</w:t>
      </w:r>
    </w:p>
    <w:p>
      <w:pPr>
        <w:ind w:left="120" w:hanging="115"/>
        <w:spacing w:after="0"/>
        <w:tabs>
          <w:tab w:leader="none" w:pos="1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use of arbitration agreements may not allow us to avoid costly litigation or mass arbitrations.</w:t>
      </w:r>
    </w:p>
    <w:p>
      <w:pPr>
        <w:spacing w:after="0" w:line="8" w:lineRule="exact"/>
        <w:rPr>
          <w:rFonts w:ascii="Times New Roman" w:cs="Times New Roman" w:eastAsia="Times New Roman" w:hAnsi="Times New Roman"/>
          <w:sz w:val="14"/>
          <w:szCs w:val="14"/>
          <w:i w:val="1"/>
          <w:iCs w:val="1"/>
          <w:color w:val="auto"/>
        </w:rPr>
      </w:pPr>
    </w:p>
    <w:p>
      <w:pPr>
        <w:ind w:left="140" w:right="60" w:hanging="135"/>
        <w:spacing w:after="0" w:line="170" w:lineRule="exact"/>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Federal and state regulatory authorities are increasingly focused on the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ind w:left="140" w:right="160" w:hanging="135"/>
        <w:spacing w:after="0" w:line="170" w:lineRule="exact"/>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ind w:left="14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ind w:left="120" w:hanging="115"/>
        <w:spacing w:after="0"/>
        <w:tabs>
          <w:tab w:leader="none" w:pos="1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reputation, ability to do business and operating results may be impaired by improper conduct by any of our employees, agents or business partners, including third-party retailers.</w:t>
      </w:r>
    </w:p>
    <w:p>
      <w:pPr>
        <w:spacing w:after="0" w:line="8" w:lineRule="exact"/>
        <w:rPr>
          <w:rFonts w:ascii="Times New Roman" w:cs="Times New Roman" w:eastAsia="Times New Roman" w:hAnsi="Times New Roman"/>
          <w:sz w:val="14"/>
          <w:szCs w:val="14"/>
          <w:i w:val="1"/>
          <w:iCs w:val="1"/>
          <w:color w:val="auto"/>
        </w:rPr>
      </w:pPr>
    </w:p>
    <w:p>
      <w:pPr>
        <w:ind w:left="140" w:right="20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third-party retailers, bank partners or other commercial counterparties, demand for our goods and the transactions we offer could decrease and our business could be materially and adversely affected.</w:t>
      </w:r>
    </w:p>
    <w:p>
      <w:pPr>
        <w:ind w:left="140" w:right="10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ind w:left="140" w:right="68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Brigit previously entered into a settlement with the FTC under which it continues to have ongoing compliance obligations, noncompliance with which could result in material regulatory enforcement.</w:t>
      </w:r>
    </w:p>
    <w:p>
      <w:pPr>
        <w:ind w:left="120" w:hanging="115"/>
        <w:spacing w:after="0"/>
        <w:tabs>
          <w:tab w:leader="none" w:pos="12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Brigit segment is subject to extensive regulation and oversight in a variety of areas under federal, state and local laws.</w:t>
      </w:r>
    </w:p>
    <w:p>
      <w:pPr>
        <w:spacing w:after="0" w:line="8" w:lineRule="exact"/>
        <w:rPr>
          <w:rFonts w:ascii="Times New Roman" w:cs="Times New Roman" w:eastAsia="Times New Roman" w:hAnsi="Times New Roman"/>
          <w:sz w:val="14"/>
          <w:szCs w:val="14"/>
          <w:i w:val="1"/>
          <w:iCs w:val="1"/>
          <w:color w:val="auto"/>
        </w:rPr>
      </w:pPr>
    </w:p>
    <w:p>
      <w:pPr>
        <w:ind w:left="140" w:right="100" w:hanging="135"/>
        <w:spacing w:after="0" w:line="253"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our Brigit segment is unable to obtain, or was determined to be operating without having obtained, necessary state or local licenses, registrations, or similar regulatory filings or approvals that are required or deemed required by regulatory authorities for certain of its products and services, it could adversely affect Brigit’s business, results of operations, financial condition, and future prospects.</w:t>
      </w:r>
    </w:p>
    <w:p>
      <w:pPr>
        <w:ind w:left="140" w:right="80" w:hanging="135"/>
        <w:spacing w:after="0" w:line="259" w:lineRule="auto"/>
        <w:tabs>
          <w:tab w:leader="none" w:pos="13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Federal and state regulatory authorities are increasingly focused on the EWA industry,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Indebtedness and Other Financial Matters</w:t>
      </w:r>
    </w:p>
    <w:p>
      <w:pPr>
        <w:spacing w:after="0" w:line="25" w:lineRule="exact"/>
        <w:rPr>
          <w:sz w:val="20"/>
          <w:szCs w:val="20"/>
          <w:color w:val="auto"/>
        </w:rPr>
      </w:pP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have significant indebtedness, and the level of our indebtedness could materially and adversely affect us.</w:t>
      </w:r>
    </w:p>
    <w:p>
      <w:pPr>
        <w:spacing w:after="0" w:line="8" w:lineRule="exact"/>
        <w:rPr>
          <w:rFonts w:ascii="Times New Roman" w:cs="Times New Roman" w:eastAsia="Times New Roman" w:hAnsi="Times New Roman"/>
          <w:sz w:val="14"/>
          <w:szCs w:val="14"/>
          <w:i w:val="1"/>
          <w:iCs w:val="1"/>
          <w:color w:val="auto"/>
        </w:rPr>
      </w:pPr>
    </w:p>
    <w:p>
      <w:pPr>
        <w:ind w:left="140" w:right="280" w:hanging="135"/>
        <w:spacing w:after="0" w:line="253" w:lineRule="auto"/>
        <w:tabs>
          <w:tab w:leader="none" w:pos="13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amount of borrowings permitted under the ABL Credit Facility is limited to the value of certain of our assets, and we rely in part on available borrowings under the ABL Credit Facility for cash to operate our business, which subjects us to market and counterparty risk, some of which is beyond our control.</w:t>
      </w: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variable rate indebtedness subjects us to interest rate risk, which could cause our debt service obligations to increase significantly.</w:t>
      </w:r>
    </w:p>
    <w:p>
      <w:pPr>
        <w:spacing w:after="0" w:line="8" w:lineRule="exact"/>
        <w:rPr>
          <w:rFonts w:ascii="Times New Roman" w:cs="Times New Roman" w:eastAsia="Times New Roman" w:hAnsi="Times New Roman"/>
          <w:sz w:val="14"/>
          <w:szCs w:val="14"/>
          <w:i w:val="1"/>
          <w:iCs w:val="1"/>
          <w:color w:val="auto"/>
        </w:rPr>
      </w:pPr>
    </w:p>
    <w:p>
      <w:pPr>
        <w:ind w:left="140" w:right="100" w:hanging="135"/>
        <w:spacing w:after="0" w:line="253" w:lineRule="auto"/>
        <w:tabs>
          <w:tab w:leader="none" w:pos="13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ind w:left="120" w:hanging="115"/>
        <w:spacing w:after="0"/>
        <w:tabs>
          <w:tab w:leader="none" w:pos="1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If our goodwill or other intangible assets become impaired, we may be required to record a significant charge to earnings.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Acquisition of Brigit</w:t>
      </w:r>
    </w:p>
    <w:p>
      <w:pPr>
        <w:spacing w:after="0" w:line="25" w:lineRule="exact"/>
        <w:rPr>
          <w:sz w:val="20"/>
          <w:szCs w:val="20"/>
          <w:color w:val="auto"/>
        </w:rPr>
      </w:pPr>
    </w:p>
    <w:p>
      <w:pPr>
        <w:ind w:left="140" w:right="240" w:hanging="135"/>
        <w:spacing w:after="0" w:line="253" w:lineRule="auto"/>
        <w:tabs>
          <w:tab w:leader="none" w:pos="136"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unable to realize the anticipated benefits of the Brigit acquisition, including synergies, and have incurred substantial expenses related to the acquisition, which could have a material adverse effect on our business, financial condition and results of operations.</w:t>
      </w:r>
    </w:p>
    <w:p>
      <w:pPr>
        <w:ind w:left="120" w:hanging="115"/>
        <w:spacing w:after="0"/>
        <w:tabs>
          <w:tab w:leader="none" w:pos="1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may be unable to retain key personnel hired as a result of the Brigit acquisition.</w:t>
      </w:r>
    </w:p>
    <w:p>
      <w:pPr>
        <w:spacing w:after="0" w:line="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Risks Relating to Economic Conditions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success of our business overall and each of our segments is dependent on macroeconomic and other factors affecting consumer demand, spending and payment behaviors that are outside of our control.</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Consumer demand, spending and payment behaviors are affected by general economic conditions and other factors outside our control, including levels of employment, disposable consumer income, prevailing interest rates, consumer debt and availability of credit, tariff policies, cost of fuel, food and housing, inflation, recession and fears of recession, war and fears of war, terrorist activities, pandemics, inclement weather, tax rates and rate increases, timing of receipt of tax refunds, consumer confidence in future economic conditions and political conditions and consumer perceptions of personal well-being and security. Unfavorable general economic changes, due to any one or more of these or other factors, could reduce demand for our lease-to-own, EWA and other products and services resulting in lower revenue or negatively impact consumer payment behavior resulting in higher than expected losses and negatively impacting our business and financial results. For example, starting in the latter part of 2021, our lease-to-own businesses experienced negative trends in customer behavior following the expiration of government stimulus and relief programs combined with a significant rise in the U.S. consumer price index, resulting in significant pressure on the discretionary income levels of our consumers. This led us to tighten our underwriting policies in an effort to improve risk management related to the execution of new leases. The trends described above combined with the tightening of our underwriting policies reduced the number of active leases with corresponding decreases in lease revenue and operating cash flows compared to having less restrictive underwriting policies.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negative trends in customer behavior described above, we have also been impacted by other negative macroeconomic trends in recent years, including a tight labor market, which contributed to wage inflation, and global supply chain disruptions resulting in reduced product availability and rising product costs.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Moreover, the current U.S. Presidential Administration has enacted tariffs on a wide range of imports from various countries. The current U.S. Presidential Administration has increased, and may increase in the future, current tariffs and may impose additional tariffs and expand tariffs to capture goods from countries not previously captured, which may lead to widespread economic effects, including increased consumer prices and a reduction in discretionary income. As a result, consumer spending may decline. In addition, we may not be able to fully pass tariff-related price increases on to our customers. These proposed or imposed tariffs, changes in duty regimes or retaliatory trade restrictions that have been or may be implemented by the U.S. or other countries, as well as any fluctuation in foreign exchange rates as a result of such activity, could reduce demand for our products and services resulting in lower revenue or negatively impact consumer payment behavior resulting in higher than expected losses, which could materially impact our business and financial results.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full extent to which these macroeconomic trends (including consumer demand, spending and payment behavior) and our risk management strategies across our business segments may impact our business in future periods is uncertain. The continuation of volatile macroeconomic trends may have a material adverse impact on our financial statements, including our results of operations, operating cash flows, liquidity and capital resources.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Vendors, Suppliers, Products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in our lease-to-own supply chain and other factors affecting the distribution of our merchandise could materially and adversely affect our business.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Disruptions in our lease-to-own business supply chain and those of our third-party retailers can and have resulted in our inability to meet our customers’ expectations, higher costs, an inability to stock our stores, or longer lead time associated with distributing merchandise. Disruptions within our supply chain network also result in decreased net sales, increased costs and reduced profits.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arrangements with our lease-to-own merchandise suppliers and other vendors may be materially and adversely affected by changes in our financial results or financial position or changes in consumer demand, which could materially and adversely affect our business.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Substantially all of our lease-to-own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third-party suppliers may decrease, which could result in smaller discounts from our vendors or the elimination of such discounts by our vendors. Our arrangements with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4"/>
          <w:szCs w:val="14"/>
          <w:color w:val="auto"/>
        </w:rPr>
        <w:t>our suppliers and vendors may also be impacted by media reports regarding our financial position or other factors relating to our business. Our need for additional liquidity could materially increase and our supply of inventory could be 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the receipt of information from third-party data vendors across our business segments, and inaccuracies in or delays in receiving such information, or the termination of our relationships with such vendors, could have a material adverse effect on our business, operating results and financial condition.</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heavily dependent on data provided by third-party providers across our business segments, including our lease-to-own, EWA and other offerings. We employ proprietary decisioning algorithms that determine whether or not applications submitted by a customer for our products and services will be approved and the potential amount of the transaction. These algorithms depend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unsecure as a result of a data-security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business would be negatively impacted, which would materially and adversely affect our operating results and financial condition. We cannot provide assurance that we will be successful in maintaining our relationships with these external data-source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must successfully manage our Rent-A-Center inventory to reflect customer demand and anticipate changing consumer preferences and leasing trends or our revenue and profitability could be materially and adversely affected.</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success of our Rent-A-Center segment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any of the markets for our merchandise, our customers’ product preferences or our customers’ leasing behaviors, our revenue may decline significantly, and we may not have sufficient quantities of merchandise to satisfy customer demand, or we may be required to mark down excess inventory, either of which would result in lower revenue and profit. In addition, our level of profitability and success in our Rent-A-Center segment depends on our ability to successfully re-lease our inventory of merchandise that is returned by customers of our Rent-A-Center or Acima segments, due to their lease agreements being terminated, or otherwise.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Allegations of or actual product safety and quality control issues for our leased products, including product recalls, could harm our reputation, divert resources, reduce sales and increase costs.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products we lease and sell in our Acima and Rent-A-Center segments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leased or sold by us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each of which could have a material adverse effect on our results of operations or financial condition. In addition, in the event of such a product quality or safety issue, our customers who have leased the defective merchandise from us could terminate their lease agreements for that merchandise and/or not renew those lease agreements, which could have a material adverse effect on our results of operations or financial condition if we are unable to recover those losses from the vendor who supplied us with the relevant merchandise. In addition, new federal or state legislation, including new product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safety and hazardous material laws and regulations, may negatively impact our operations, increase our cost of doing business and adversely affect our operating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Strategy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the effective implementation and continued execution of our strategies to continue to grow and transform our business.</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We are focused on our mission to elevate financial opportunity for cash- and credit-constrained consumers including through affordable, flexible and convenient access across digital and physical channels to durable goods that promote a higher quality of living and additional complementary and scalable products and services such as financial health technology solutions. In recent years, we accelerated our virtual lease-to-own growth strategy through the acquisition of Merchants Preferred, launch of our Preferred Lease offering and, in 2021, acquisition of Acima Holdings, with a focus towards executing on large market opportunities through national and regional third-party retailers and offering consumers greater choice in where they shop and the durable goods they can select to lease under our flexible transactions. Most recently, in 2025, we acquired Brigit, which expands our strategic focus for our target customers into technology-driven financial health solutions, such as EWA and credit building products for consumers who are underserved by traditional financial institutions. We seek to capitalize on key differentiators in our expanding digital, and technology and data-driven consumer offerings, as well as grow our business through expansion in our lease-to-own product verticals,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commerce platforms and other digital enhancements, improving the customer and third-party retailer experience and providing consumers with greater opportunities to shop how, when and where they want with the flexibility of our lease-to-own solutions and to meet their liquidity, cash flow and other financial health needs through Brigit’s leading technology solutions. In our more mature Rent-A-Center segment, we also seek to adapt to changing consumer preferences and the increasing shift to online shopping behaviors while managing our cost structure.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continued growth and transformation of our business, including through the launch of new digital product offerings, requires us to effectively manage, integrate and continue to enhance our growing products and services and achieve intended synergies, invest in and expand our data and technology capabilities, engage and retain additional personnel who are experienced in technology and data driven consumer offerings, manage our investments in our stores to align to changing consumer trends, and otherwise make additional investments and incur additional costs. Our inability to implement these strategies or otherwise to achieve targeted results associated with our initiatives could materially and adversely affect our prospects, or results of operations, or negatively impact our ability to successfully execute future strategies, which may result in a material adverse effect on our business and financial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appeal to and engage with our target consumers and third-party retailers, our business and financial performance may be materially and adversely affected.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lease-to-own segments operate digitally and through brick-and-mortar stores including direct-to-consumer and through third-party retailer channels. Through our Brigit segment, we provide financial health technology solutions direct to consumers. As such, our success depends, among other things, on our ability to identify and successfully market products and services through various channels that appeal to our current and future target customer segments and third-party retailers, to align our offerings with consumer and third-party retailer preferences and to maintain favorable perceptions of our brands by our target consumers and third-party retailers. If we are unable to successfully appeal to and engage with our target consumers and third-party retailers, our business and financial performance may be materially and adversely affected.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must maintain corporate brands that are recognized and trusted by consumers and third-party retailers.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Acima®, Brigit™, Rent-A-Center® and other brands could be adversely affected by situations that reflect negatively on us, whether due to actual or perceived business practices, adverse financial developments, a data breach, perceptions of our corporate governance or how we address corporate responsibility initiatives, the conduct of our officers, directors, or employees, the actions of a significant partner or other businesses with which we do business, or other causes. The negative impacts of these or other events may be amplified as consumers and other stakeholders increase or change their expectations regarding the conduct of public companies and corporate responsibility. These impacts may be further complicated by the fact that perceptions are formed through rapid and broad interactions using modern communication and social media tools over which we have no control. Any such event could decrease demand for our products and services, reduce our ability to recruit and retain employees, and lead to greater regulatory scrutiny of our businesses.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9" w:name="page20"/>
    <w:bookmarkEnd w:id="19"/>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proprietary algorithms and customer decisioning tools used to approve customers are subject to unexpected changes in behavior caused by macroeconomic conditions, which could cause these tools to no longer be indicative of our customers’ ability to perform under their agreements with us.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believe our proprietary customer lease decisioning process to be a key to the success of our business for both Acima and Rent-A-Center. Brigit also employs a proprietary decisioning process to assess eligibility for its products and services. We assume behavior and attributes observed from prior customers, among other factors, are indicative of performance by future customers. Unexpected changes in behavior caused by macroeconomic conditions, including, for example, impacts to the U.S. economy related to the tariffs proposed or imposed by the current U.S. Presidential Administration and changes in consumer behavior relating thereto as well as the current challenging macroeconomic conditions, could lead to increased incidence and costs related to lease merchandise write-offs or customer losses at Brigit. For example, we experienced higher losses in the fourth quarter of 2021 and during 2022 due to the impacts of changing consumer payment behaviors following the expiration of governmental stimulus programs and high inflation. Unexpected changes in behavior caused by macroeconomic conditions will impact our decisioning process and likely require frequent adjustments and the application of greater management judgment in the interpretation and adjustment of the results produced by our decisioning tools. We may be unable to accurately predict and respond to the impact of a prolonged economic downturn or changes to consumer behaviors, which in turn may limit our ability to manage risk and avoid lease merchandise write-offs or other losses and could result in our accounts receivable allowance being insufficient. Even after the effect of the current macroeconomic conditions subside, unexpected changes in behavior caused by macroeconomic conditions such as the U.S. economy experiencing a recession or slowdown in economic growth and job losses related thereto, a continued high interest rate environment, inflationary pressures, reduced availability or elimination of government subsidies relied on by our target customers, changes in consumer preferences, availability of alternative products or other factors, could lead to increased incidence and costs related to lease merchandise write-offs or other customer losses.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industries in which we operate are highly competitive, which could impede our ability to maintain and grow consumer transaction volumes and pricing and have a material adverse effect on our prospects and operating results.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products and services across our business segments are highly competitive. In our lease-to-own segments, many categories of products we lease and sell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fintech firms and others. In addition, the lease-to-own industry faces competition from layaway programs and various types of consumer finance companies, including Buy-Now-Pay-Later, installment, payday and title loan companies that may enable our customers to shop at traditional or online retailers, as well as rental stores that do not offer their customers a purchase option. Our Acima segment relies heavily on relationships with third-party retailers. An increase in competition, which we continue to face, could cause our third-party retailers to no longer offer the Acima lease-to-own solutions in favor of those of our competitors, or to offer the Acima lease-to-own solutions and the products of our competitors simultaneously at the same store locations, which could slow growth in the Acima segment and limit or reduce profitability. Furthermore, Acima’s lease-to-own competitors may deploy different business models, such as a core focus on direct-to-consumer strategies, that forego reliance on third-party retailer relationships that may prove to be more successful. Our Brigit segment also faces significant competition from other providers of EWA, credit building products and other financial health technology solutions, which may adversely impact Brigit's ability to achieve its growth objectives in a timely manner or at all.</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Competitors may have significantly greater financial and operating resources, greater name recognition in certain markets, and offer a larger selection of relevant products and services at more competitive prices than our business segments. Competitors with greater financial resources may be able to grow faster than us, including through acquisitions. Our competitors may also employ aggressive marketing strategies involving frequent sales and discounts, including the use of certain products as “loss leaders” or otherwise offering products and services on an unprofitable basis to increase customer traffic and gain market share. Engaging in these pricing strategies could cause a material reduction in our sales revenue and gross margins. Alternatively, we may be unable to or elect not to engage in these pricing strategies, which could decrease our consumer transaction volumes. Our strategic focus on digital technology consumer offerings and the expansion of digital technology business models has also increased the number and variety of companies with which we compete, and other companies may have greater brand recognition, social media following and engagement and sophisticated websites or mobile applications than we do. In addition, certain competitors may be willing to offer products and services or to engage in other practices related to pricing, compliance and other areas in which we are not willing to or cannot engage. The heavy competition from all of these sources may reduce the market share held by our Acima, Rent-A-Center and Brigit segments and result in the failure to meet our growth targets for our company.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0" w:name="page21"/>
    <w:bookmarkEnd w:id="2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take advantage of additional merger and acquisition opportunities from time to time with the intent of advancing our key initiatives, but such activities may not prove successful and may subject us to additional risks.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we may take advantage of additional merger and acquisition opportunities intended to advance our key strategic initiatives, such as our Acima acquisition to accelerate our growth in the virtual lease-to-own channel and our Brigit acquisition to add complementary data-driven financial health technology solutions to our portfolio of consumer offerings for our target customers. Such merger and acquisition opportunities may involve numerous risks, including the following:</w:t>
      </w:r>
    </w:p>
    <w:p>
      <w:pPr>
        <w:spacing w:after="0" w:line="8" w:lineRule="exact"/>
        <w:rPr>
          <w:sz w:val="20"/>
          <w:szCs w:val="20"/>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integrating the operations, systems, technologies, products and personnel of the acquired businesses;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entering markets in which we have no or limited direct prior experience and where competitors in such markets may have stronger market positions;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application of regulatory regimes that have not previously applied to, and may significantly impact,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normal daily operations of the business and the challenges of managing larger, more complex and more widespread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employees, vendors and other business partners of the businesses we acquire;</w:t>
      </w:r>
    </w:p>
    <w:p>
      <w:pPr>
        <w:spacing w:after="0" w:line="23" w:lineRule="exact"/>
        <w:rPr>
          <w:rFonts w:ascii="Times New Roman" w:cs="Times New Roman" w:eastAsia="Times New Roman" w:hAnsi="Times New Roman"/>
          <w:sz w:val="14"/>
          <w:szCs w:val="14"/>
          <w:color w:val="auto"/>
        </w:rPr>
      </w:pPr>
    </w:p>
    <w:p>
      <w:pPr>
        <w:ind w:left="520" w:hanging="133"/>
        <w:spacing w:after="0" w:line="161" w:lineRule="exact"/>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debt, contingent liabilities and amortization expenses and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offs of goodwill in connection with such activities that could harm our financial condition; and</w:t>
      </w:r>
    </w:p>
    <w:p>
      <w:pPr>
        <w:spacing w:after="0" w:line="7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dilutive issuances of common stock or other equity securities.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Mergers and acquisitions are inherently risky and subject to many factors outside of our control. We cannot assure you that our previous or future acquisitions will be successful in achieving our growth and value creation objectives and will not materially and adversely affect our business, operating results or financial condition. Failure to manage and successfully integrate acquisitions could materially harm our business and operating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effectively manage our costs could have a material adverse effect on our profitability.</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Consumer spending remains uncertain and our continued profitability is largely dependent on our ability to effectively manage our cost structure, certain elements of which are largely fixed in nature. We have experienced, and may experience in the future, increases in the costs of purchasing certain merchandise from suppliers or third-party retailers as a result of various factors, including supply/demand trends, tariffs and other government regulations, increases in the prices of certain commodities, increases in shipping costs and general economic conditions. We have experienced and may experience in the future increases in labor costs as a result of wage inflation for employees in many regions or increased competition for employees as unemployment rates decline. We have limited or no control over many of these inflationary forces. We also incur many other costs across our business segments based on our projections about future consumer demand for our products and services, including with respect to our data and technology systems, marketing and advertising and other items. In addition, due to the competitive environment in our industries and increasing price comparison tools, we may not be able to recover all or even a portion of such cost increases by increasing our merchandise or other prices, fees, or otherwise. Even if we are able to increase merchandise or other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customer-stolen merchandise, other operating expenses or indirect spending could materially and adversely affect our profitability.</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face risks in our Acima third-party retailer business and virtual locations that differ in some potentially significant respects from the risks of the traditional lease-to-own business conducted in Rent-A-Center store locations. These risks could have a material adverse effect on Acima, which could negatively impact our ability to meet our growth objectives for the Acima segment and result in a material adverse effect on our results of operations.</w:t>
      </w:r>
    </w:p>
    <w:p>
      <w:pPr>
        <w:spacing w:after="0" w:line="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Our Acima segment offers the lease-to-own transaction primarily through the stores or websites of third-party retailers and, therefore, faces risks different from those that have historically been associated with our traditional direct-to-consumer lease-to-own business conducted in our Rent-A-Center store locations. These potential risks include, among others:</w:t>
      </w:r>
    </w:p>
    <w:p>
      <w:pPr>
        <w:spacing w:after="0" w:line="1" w:lineRule="exact"/>
        <w:rPr>
          <w:sz w:val="20"/>
          <w:szCs w:val="20"/>
          <w:color w:val="auto"/>
        </w:rPr>
      </w:pP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ability of unaffiliated third-party retailers to attract customers and to maintain quality and consistency in their operations and their ability to continue to provide eligible durable goods desired by customers;</w:t>
      </w: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relationships with unaffiliated third-party retailers;</w:t>
      </w:r>
    </w:p>
    <w:p>
      <w:pPr>
        <w:spacing w:after="0" w:line="51" w:lineRule="exact"/>
        <w:rPr>
          <w:rFonts w:ascii="Times New Roman" w:cs="Times New Roman" w:eastAsia="Times New Roman" w:hAnsi="Times New Roman"/>
          <w:sz w:val="14"/>
          <w:szCs w:val="14"/>
          <w:color w:val="auto"/>
        </w:rPr>
      </w:pPr>
    </w:p>
    <w:p>
      <w:pPr>
        <w:ind w:left="520" w:hanging="133"/>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unaffiliated third-party retailers for many important business functions, from advertising through assistance with lease transaction applications, including, for example, adhering to Acima’s merchant policies and procedures, properly explaining the nature of the lease-to-own transaction to potential customers, properly handling customer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4"/>
          <w:szCs w:val="14"/>
          <w:color w:val="auto"/>
        </w:rPr>
        <w:t>inquiries made directly to the third-party retailer and properly explaining that the lease transaction is with Acima and not with the third-party retailer;</w:t>
      </w:r>
    </w:p>
    <w:p>
      <w:pPr>
        <w:spacing w:after="0" w:line="51" w:lineRule="exact"/>
        <w:rPr>
          <w:sz w:val="20"/>
          <w:szCs w:val="20"/>
          <w:color w:val="auto"/>
        </w:rPr>
      </w:pPr>
    </w:p>
    <w:p>
      <w:pPr>
        <w:jc w:val="both"/>
        <w:ind w:left="520" w:hanging="133"/>
        <w:spacing w:after="0" w:line="261" w:lineRule="auto"/>
        <w:tabs>
          <w:tab w:leader="none" w:pos="516" w:val="left"/>
        </w:tabs>
        <w:numPr>
          <w:ilvl w:val="0"/>
          <w:numId w:val="15"/>
        </w:numPr>
        <w:rPr>
          <w:rFonts w:ascii="Arial" w:cs="Arial" w:eastAsia="Arial" w:hAnsi="Arial"/>
          <w:sz w:val="14"/>
          <w:szCs w:val="14"/>
          <w:b w:val="1"/>
          <w:bCs w:val="1"/>
          <w:i w:val="1"/>
          <w:iCs w:val="1"/>
          <w:color w:val="auto"/>
        </w:rPr>
      </w:pPr>
      <w:r>
        <w:rPr>
          <w:rFonts w:ascii="Times New Roman" w:cs="Times New Roman" w:eastAsia="Times New Roman" w:hAnsi="Times New Roman"/>
          <w:sz w:val="14"/>
          <w:szCs w:val="14"/>
          <w:color w:val="auto"/>
        </w:rPr>
        <w:t>increased regulatory focus on the virtual lease-to-own transaction and/or the potential that regulators adopt new regulations or legislation (or existing laws and regulations may be interpreted in a manner) that negatively impact Acima’s ability to offer virtual lease-to-own programs or certain products or services through third-party retailers, and/or that regulators may attempt to force the application of laws and regulations on Acima’s lease-to-own business or certain products or services in inconsistent and unpredictable ways that could increase the compliance-related costs incurred by us, restrict certain business activities, impose restrictions on pricing, and negatively impact our financial and operational performance (see, for example, the regulatory matters discussed in Note M to our consolidated financial statements included in this Annual Report on Form 10-K);</w:t>
      </w:r>
    </w:p>
    <w:p>
      <w:pPr>
        <w:spacing w:after="0" w:line="15" w:lineRule="exact"/>
        <w:rPr>
          <w:rFonts w:ascii="Arial" w:cs="Arial" w:eastAsia="Arial" w:hAnsi="Arial"/>
          <w:sz w:val="14"/>
          <w:szCs w:val="14"/>
          <w:b w:val="1"/>
          <w:bCs w:val="1"/>
          <w:i w:val="1"/>
          <w:iCs w:val="1"/>
          <w:color w:val="auto"/>
        </w:rPr>
      </w:pP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automatic bank account drafts for lease renewal payments, which may become disfavored as a payment method for these transactions by regulators and/or providers, or may otherwise become unavailable;</w:t>
      </w: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product diversity within Acima’s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barriers to entry and start-up capital costs to launch a competitor due to the reliance of Acima and its competitors on the store locations and inventories of third-party retailers, and, in some cases, online connections with retailers, rather than incurring the cost to obtain and maintain brick and mortar locations and in-store or in-warehouse inventories;</w:t>
      </w:r>
    </w:p>
    <w:p>
      <w:pPr>
        <w:jc w:val="both"/>
        <w:ind w:left="520" w:hanging="133"/>
        <w:spacing w:after="0" w:line="26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obligations to Acima’s third-party retailers and their service providers for losses stemming from Acima’s failure to perform with respect to its products and services, to comply with applicable laws or regulations or to take steps to protect its third-party retailers’ and their customers’ data and information from being accessed or stolen by unauthorized third-parties, including through cyberattacks;</w:t>
      </w:r>
    </w:p>
    <w:p>
      <w:pPr>
        <w:ind w:left="520" w:hanging="133"/>
        <w:spacing w:after="0" w:line="161" w:lineRule="exact"/>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consumer fraud with respect to Acima’s lease-to-own business and e-commerce business as compared to the traditional store-based Rent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Center transactions;</w:t>
      </w:r>
    </w:p>
    <w:p>
      <w:pPr>
        <w:spacing w:after="0" w:line="79"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merchant fraud due to the planned growth in third-party retailers and other merchants from which customers can select products to lease from Acima;</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gross margins compared to the Rent-A-Center segment because Acima generally purchases merchandise it leases to customers based on retail, rather than wholesale, prices;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financial, regulatory or other risks associated with the development and implementation of new digital technologies that are intended to enhance the customer and third-party retailer experience and to differentiate Acima from competing consumer offerings, including Acima’s direct-to-consumer offerings; and</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Acima to adequately protect its proprietary technologies or to address any claims of infringement by third-parties.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risks could have a material adverse effect on Acima, which could negatively impact our ability to grow the Acima segment and meet our growth targets and result in a material adverse effect on our results of operations. In addition, since acquiring Acima, these risks have become more significant due to the increased size of the Acima segment relative to our other segments and its future growth targets as a percentage of our overall company.</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strategy to grow the third-party retailer business depends on our ability to develop and offer robust virtual lease-to-own technology, including algorithmic decisioning programs and waterfall integrations.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our third-party retailer business began as a staffed model, our strategy to grow the third-party retailer business depends on significantly expanding our unstaffed or virtual lease-to-own solution. The acquisition of Acima Holdings in recent years, including a scalable technology offering, robust decision engine, enhanced infrastructure and experienced management team members, accelerated the development of our virtual lease-to-own offering. Since 2021, we have further executed on our virtual growth strategy through, among other things, continued investments in Acima’s proprietary offerings, technologies and organizational enhancements. We may not realize the intended benefits from these investments and initiatives. If we are unable to maintain and continuously improve our technologies and decisioning methodologies and to achieve our growth targets for our Acima segment, our business and financial results may be materially and adversely affected.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compete effectively within the growing e-commerce channel, our business and results of operations may be materially and adversely affected.</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Competition from the e-commerce channel continues to grow. To compete in this e-commerce channel, we must be able to innovate and develop technologies and digital solutions that appeal to our customers. We utilize virtual capabilities across all of our business segments. There can be no assurance we will be successful in continuing to develop the technologies and digital solutions necessary to grow our e-commerce platforms in a profitable manner. Certain of our competitors, and a number of e-commerce retailers, have established e-commerce operations against which we compete for customers. It is possible that the increasing competition from the e-commerce channel may reduce or prevent us from growing our market share, gross and operating margins, and may materially and adversely affect our business and results of operations in other ways.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integration and use of AI and similar technology in our business presents risks and challenges that could adversely affect our business, reputation, and results of operations.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continuing to integrate AI in our businesses, including machine learning AI and generative AI tools that collect and analyze data to support our business operations and customer-facing interactions. For example, our Brigit segment offers certain products that depend on the use of AI. We also use products and services from third parties that use integrated AI technology and are continuing to evaluate use cases of AI at our company. The use of AI tools and technology presents many challenges and risks to our business. The development and deployment of AI systems involve inherent technical complexities and uncertainties, and our AI systems may encounter unexpected technical difficulties, limitations or errors, including inaccuracies in data processing or flawed algorithms, which could compromise the reliability and effectiveness of our products and services based on AI.</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or other third parties may incorporate AI into their products more quickly or more successfully than us, which could impair our ability to compete effectively. The rapid development and adoption of AI and AI-adjacent technology, and of AI’s competitive use cases, may make it more difficult for us to compete in our industry. Emerging forms of autonomous or “agentic” AI, capable of taking independent actions to pursue goals, may amplify these risks by enabling competitors to operate faster, more efficiently or more creatively at scale. Failure to keep pace with or properly govern such technologies could materially disadvantage us in innovation, customer engagement and operational performance.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use of AI applications, including large language models,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or reputational harm, competitive harm, regulatory scrutiny or legal liability.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introduction of AI technologies into our products and services may result in new or enhanced governmental or regulatory scrutiny, litigation, confidentiality or security risks, ethical concerns or other complications that could adversely affect our business, reputation or financial results. The regulatory landscape governing AI technologies is evolving rapidly, and changes in laws, regulations or enforcement practices may impose new compliance requirements, restrict certain AI applications or increase our regulatory obligations, which could negatively impact our business and results of operations.</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operations depend on effective information management systems. Failure of our systems or those of our third-party retailers, bank partners or other commercial counterparties could negatively impact our business, financial condition and results of operations.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rely on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cyberattacks, phishing attacks, internet failures and outages, operator error, or catastrophic events, and any associated loss of data or interruption of such information management systems for a significant period of time could disrupt our business. If our information management systems sustain repeated failures, we may not be able to manage our store and virtual lease-to-own operations or our Brigit operations, which could have a material adverse effect on our business, financial condition and results of operations. We continuously need to improve and upgrade our systems and technology while maintaining their reliability and integrity. We invest in new information management technology and systems 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 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 expand our systems to meet our evolving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3" w:name="page24"/>
    <w:bookmarkEnd w:id="23"/>
    <w:p>
      <w:pPr>
        <w:jc w:val="both"/>
        <w:spacing w:after="0" w:line="270" w:lineRule="auto"/>
        <w:rPr>
          <w:sz w:val="20"/>
          <w:szCs w:val="20"/>
          <w:color w:val="auto"/>
        </w:rPr>
      </w:pPr>
      <w:r>
        <w:rPr>
          <w:rFonts w:ascii="Times New Roman" w:cs="Times New Roman" w:eastAsia="Times New Roman" w:hAnsi="Times New Roman"/>
          <w:sz w:val="14"/>
          <w:szCs w:val="14"/>
          <w:color w:val="auto"/>
        </w:rPr>
        <w:t>business requirements, could impair our ability to achieve critical strategic initiatives and could materially and adversely affect our business, financial condition and results of operations. Similar risks associated with Acima’s third-party retailer information management systems or information management systems of Brigit’s bank partners or other commercial counterparties across our company, which we do not control, may also materially and adversely affect our business, financial condition and results of operations.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we fail to protect the integrity and security of customer, employee, supplier, third-party retailer, bank partner or other third-party information, or if our third-party retailers, bank partners, outsourced technology providers or other third parties fail to protect the integrity and security of customer, employee or other sensitive information, we could incur significant liability and damage our reputation, and our business could be materially and adversely affected.</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third-party retailers, bank partners and employees, among others. Much of this data constitutes confidential personally identifiable information (“PII”) which, if unlawfully accessed, either through a “hacking” attack or otherwise, could subject us to significant liability as further discussed below.</w:t>
      </w:r>
    </w:p>
    <w:p>
      <w:pPr>
        <w:spacing w:after="0" w:line="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Despite instituted safeguards for the protection of such information, our systems may be materially compromised by increasingly aggressive and sophisticated cyberattacks, including hacking, computer viruses, malicious or destructive code, ransomware, social engineering attacks (including phishing and impersonation), denial-of-service attacks, as well as the advancements of technologies like AI, which malicious third parties are using to create new, sophisticated approaches and more frequent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PII or other confidential information. In addition, one of our employees, contractors or other third parties with whom we do business may attempt to circumvent our security measures in order to obtain such information, or if a third party we are engaged with suffers a breach, we could potentially also suffer from the loss of such information. Cybersecurity incidents could disrupt our operations, damage our reputation, and expose us to claims from customers, employees, suppliers, third-party retailers, bank partners, regulators and other persons, any of which could have a material adverse effect on our business, financial condition and results of operations, while cybersecurity incidents at other companies could also lead to operational disruption, financial losses and other harms. Further, the effect of any breach or compromise that is not detected can compound quickly. The costs associated with information security, such as increased investment in technology, the costs of compliance with privacy laws and industry standards, fines, penalties, or liability, and costs incurred to prevent or remediate information security breaches, could materially and adversely affect our business. In addition, we rely on the secure operation of our website and other third-party systems generally to assist us in the collection and transmission of the sensitive data we collect. Similar risks associated with Acima third-party retailers’, Brigit’s bank partners’, our outsourced technology providers or other service providers’ failure to protect the integrity and security of customer information, which we do not control, may also materially and adversely affect our business, financial condition and results of operations.</w:t>
      </w:r>
    </w:p>
    <w:p>
      <w:pPr>
        <w:spacing w:after="0" w:line="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Brigit segment fails to comply with its obligations under license or technology agreements with third parties, or if Brigit cannot license rights to use technologies on reasonable terms, we could be required to pay damages, lose license rights that are critical to Brigit’s business or be unable to commercialize new products and services in the future.</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Brigit segment licenses certain third-party intellectual property that is important to Brigit’s business, including data, technologies, content and software from third parties, and in the future Brigit may license additional valuable third-party data, intellectual property or technology. If Brigit fails to comply with any of the obligations under Brigit’s license agreements or other applicable agreements, it may be required to pay damages and the licensor may have the right to terminate the license, which would cause Brigit to lose valuable rights, and could prevent Brigit from selling certain of its products and services, or inhibit its ability to commercialize current or future products and services. Brigit’s business may suffer if any current or future licenses or other grants of rights to our Brigit segment terminate, if the licensors (or other applicable counterparties) fail to abide by the terms of the license or other applicable agreement, if the licensors fail to enforce the licensed intellectual property rights against infringing third parties, or if the licensed intellectual property rights are found to be invalid or unenforceable. Third parties from whom our Brigit segment currently licenses data, intellectual property and technology could refuse to renew those agreements upon their expiration or could impose additional terms and fees that we otherwise would not deem acceptable, requiring Brigit to obtain the data, intellectual property or technology from another third party, if any is available, or to pay increased licensing fees or be subject to additional restrictions on Brigit’s use of such third-party data, intellectual property or technology.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4" w:name="page25"/>
    <w:bookmarkEnd w:id="24"/>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Brigit segment’s EWA advances expose Brigit to the repayment risk of Brigit’s customers and if Brigit’s decisioning criteria for EWA advance eligibility is not sufficient to mitigate against this risk, or if the data Brigit uses to assess customer earned wages is inaccurate or incomplete, Brigit’s financial condition and operating results could be adversely affected if a substantial number of Brigit’s customers are unable to repay the EWA advance they receive.</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Brigit segment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 EWA advance product exposes Brigit to financial losses if Brigit’s customers do not repay the advance provided, which they are not contractually required to do. The timing and volume of advance repayments have a significant impact on Brigit’s financial results and cash flows. If a large number of Brigit’s customers do not repay advances, Brigit’s financial condition and operating results would be adversely affected.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Brigit’s customer transaction eligibility standards may not offer adequate protection against the risk of non-payment, especially in periods of economic uncertainty. Brigit relies on consumer's bank account data obtained through a third party in order to develop its decisioning models and in order to determine any particular consumer's advance eligibility. If this data becomes unavailable or is inaccurate or incomplete, Brigit’s decisioning model may not adequately predict repayment of advances.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can be no assurance that Brigit’s performance forecasts will be accurate. In periods with changing economic conditions and continued or renewed inflationary pressures, accurately forecasting repayment of advances is more difficult. Brigit’s allowance for losses is an estimate, and if actual repayment defaults are materially greater than the allowance for losses, or more generally, if Brigit’s forecasts are not accurate, Brigit’s financial position, liquidity and results of operations could be materially adversely affected.</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Brigit segment’s key banking relationships are terminated and Brigit is not able to secure or successfully migrate client portfolios to a new bank partner or partners in a timely manner, Brigit’s business could be adversely affected.</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Brigit segment relies on agreements with bank partners, including Coastal Community Bank, to provide certain of its products and services to customers. These agreements and corresponding regulations governing banks and financial institutions may give bank partners substantial discretion in approving certain aspects of Brigit’s business practices, including the application and qualification procedures for Brigit’s customers and require Brigit to comply with certain legal requirements. Discretionary actions by bank partners under these agreements or regulatory requirements that bank partners must follow could impose limitations on or increase costs for Brigit’s business, and impact Brigit’s financial condition and operating results. If Brigit’s relationship with any of its bank partners is terminated, Brigit would need to find another financial institution to provide those services, which could be operationally complex and involve incremental costs or temporary disruption. If Brigit is unable to find a replacement financial institution, Brigit would not be able to offer certain of its products and services to its customers, which would have a material adverse effect on Brigit’s business, financial condition and results of operations. Furthermore, Brigit’s financial results could be adversely affected if the costs associated with any of its bank partners materially change or if any penalty or claim for damages is imposed as a result of Brigit’s breach of its agreements with them.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achieve and maintain effective internal controls could have a material adverse effect on our business.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as amended (“Sarbanes-Oxley”),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In addition, we may face challenges integrating Brigit, which was not subject to the rules and regulations promulgated under Sarbanes-Oxley prior to its acquisition by us, into our internal control infrastructure.</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Sarbanes-Oxley. Failure to achieve and maintain an effective internal control environment could cause investors to lose confidence in our reported financial information, which could have a material adverse effect on our ability to raise capital,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5" w:name="page26"/>
    <w:bookmarkEnd w:id="25"/>
    <w:p>
      <w:pPr>
        <w:jc w:val="both"/>
        <w:spacing w:after="0" w:line="287" w:lineRule="auto"/>
        <w:rPr>
          <w:sz w:val="20"/>
          <w:szCs w:val="20"/>
          <w:color w:val="auto"/>
        </w:rPr>
      </w:pPr>
      <w:r>
        <w:rPr>
          <w:rFonts w:ascii="Times New Roman" w:cs="Times New Roman" w:eastAsia="Times New Roman" w:hAnsi="Times New Roman"/>
          <w:sz w:val="14"/>
          <w:szCs w:val="14"/>
          <w:color w:val="auto"/>
        </w:rPr>
        <w:t>may also expose us to potential claims and losses. Additionally, any such failure could subject us to increased regulatory scrutiny, which could also have a material adverse effect on our business and the price of our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attract and retain key employees needed to achieve our growth strategies.</w:t>
      </w:r>
    </w:p>
    <w:p>
      <w:pPr>
        <w:spacing w:after="0" w:line="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continued growth, success and strategic transformation of our company depends in part upon our ability to attract and retain our executive leadership, management team and other key employees. Key personnel may depart because of a variety of reasons.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 As our company continues to execute against our strategies and expand into additional solutions for our target customers, we compete for talent with an increasing range of consumer financial technology firms, further increasing this risk.</w:t>
      </w:r>
    </w:p>
    <w:p>
      <w:pPr>
        <w:spacing w:after="0" w:line="2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attract, train and retain managerial personnel and hourly associates in our Rent-A-Center stores and staffed Acima locations, our reputation, sales and operating results may be materially and adversely affected.</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substantial portion of our workforce is comprised primarily of employees who work on an hourly basis. We rely on our sales associates in our Rent-A-Center store locations and staffed Acima locations to provide customers with an enjoyable and informative shopping experience and to help ensure the efficient processing and delivery of products and leading customer service. To grow our operations and meet the needs and expectations of our customers, we must attract, train, and retain a large number of hourly associates, while at the same time controlling labor costs. We compete with other retail businesses as well as restaurants and other industries for many candidates for employment at our Rent-A-Center store locations and staffed Acima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region, unemployment levels within those regions, governmental regulatory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complex federal, state and local labor and employment, benefits and other regulations and laws impacting personnel, it could have a material adverse effect on our business,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Acts of nature, whether due to climate change, pandemic or otherwise, can disrupt our Rent-A-Center store operations and those of our Acima third-party retailers.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Rent-A-Center store operations, as well as those of our third-party retailers at Acima, are subject to the effects of adverse acts of nature, such as pandemics and other public health crises, winter storms, hurricanes, hail storms, strong winds, earthquakes, tornadoes and wildfires, which have in the past caused damage such as flooding and other damage to our stores and those of our third-party retailers in specific geographic locations, including in Mexico, Puerto Rico, Florida, Louisiana and 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 Moreover, we may be unable to obtain or maintain insurance in the amounts and on terms we view as appropriate and favorable for our operations.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subject to the risk of pandemics and other threats to public health, and the reactions of governmental authorities to those emergencies, including governmental responses that impact the ability to conduct physical retail operations. The COVID-19 pandemic and the measures taken in response to it prevented us from continuing our operations in the ordinary course, which had an immediate adverse effect on our business as we experienced operational restrictions, delays on our timing or ability to obtain desired merchandise and increased costs. To the extent that similar measures are implemented in the future in response to a pandemic or other public health or safety crises, our business and results of operations may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impacts and increased focus by stakeholders on environmental issues could adversely affect our business, financial condition and operating results.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Short- and long-term effects of climate change may result in the increased frequency, intensity, unpredictability and duration of weather events, which could significantly disrupt supply chains, potentially impacting our vendors’ costs and the production of products leased at our Rent-A-Center stores as well as our third-party retailers at Acima. These weather events could also lead to an increased rate of temporary store closures and reduced customer traffic at our stores and impact the availability and costs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of products, commodities and energy, which in turn may impact our ability to procure goods or services required for the operation of our business at the quantities and levels we require.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concern over climate change may result in new or increased regional, federal or global legal and regulatory requirements to reduce or mitigate the effects of greenhouse gases, including increased disclosure requirements. These requirements may lead to an increase in tax, transportation, utility and other expenses.</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Lastly, there is increased focus, including by governmental and non-governmental organizations, investors, customers and communities on these and other environmental sustainability matters, including deforestation, land use, climate impact and recyclability or recoverability of packaging, including plastic. Our reputation could be damaged if we or others in our industries do not act, or are perceived not to act, responsibly with respect to our impact on the environment. Moreover, our customers, stockholders, employees and other stakeholders have diverse expectations, demands and perspectives on these topics, which are continuing to evolve. We may not be able to meet the diverse expectations and demands of all of our stakeholders, which could result in adverse publicity, harm our reputation, lead to claims against us and affect our relationships with our customers and employees, and subject us to legal and operational risks, any of which could have a material adverse effect on our business. Our third-party retailers in our Acima segment may face similar risks, which could adversely impact the results of our Acima segment.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franchising business is dependent on the ability and success of our third-party franchisees, over which we have limited control.</w:t>
      </w:r>
    </w:p>
    <w:p>
      <w:pPr>
        <w:spacing w:after="0" w:line="96"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The franchisees of our Rent-A-Center franchising business are independent third-party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as with our corporate-owned Rent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Center stores, and the ultimate success and quality of a franchise ultimately rests with the franchisee. Certain state franchise laws may also limit our ability to terminate, not renew or modify our franchise agreements. Our franchisees have in the past and may in the future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2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businesses are typically subject to seasonality, which causes our revenues and operating cash flows to fluctuate and may adversely affect our ability to borrow on our credit facilities, service our debt obligations and fund our operations.</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lease-to-own businesses typically experience moderate seasonality with the first quarter of each fiscal year generally providing higher sales than any other quarter, due to customers’ receipt of federal tax refunds, followed by reduced demand in the second and third quarters of each fiscal year. This seasonality requires us to manage our cash flows over the course of the year. If our revenues were to fall substantially below what we would normally expect during certain periods, our annual financial results, our ability to borrow on our credit facilities, and our ability to service our debt obligations or fund our operations could be adversely affected.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current insurance program may expose us to unexpected costs and negatively affect our financial performance.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insurance coverage is subject to deductibles, self-insured retentions, limits of liability and similar provisions that we believe are prudent based on our operations. We may elect to accept higher deductibles or reduce the amount of coverage to reduce insurance cost.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were not able to send or accept electronic payments, our business and financial results could be adversely affected.</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access to various financial networks to process payments received from our customers. These include credit card and debit card networks and the Automated Clearing House (ACH) network. Our ability to participate in these networks depends on our compliance with applicable laws and regulations and with the complex rules of each network and any related industry supervisory groups. If we fail to comply with legal requirements or rules and best practices established by a network or industry group, including those related to data security, we could be assessed significant monetary fines and other penalties,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7" w:name="page28"/>
    <w:bookmarkEnd w:id="27"/>
    <w:p>
      <w:pPr>
        <w:jc w:val="both"/>
        <w:spacing w:after="0" w:line="287" w:lineRule="auto"/>
        <w:rPr>
          <w:sz w:val="20"/>
          <w:szCs w:val="20"/>
          <w:color w:val="auto"/>
        </w:rPr>
      </w:pPr>
      <w:r>
        <w:rPr>
          <w:rFonts w:ascii="Times New Roman" w:cs="Times New Roman" w:eastAsia="Times New Roman" w:hAnsi="Times New Roman"/>
          <w:sz w:val="14"/>
          <w:szCs w:val="14"/>
          <w:color w:val="auto"/>
        </w:rPr>
        <w:t>including, in certain cases, the termination of our right to use the applicable network or system. Such fines and penalties, and any disruption in or termination of our ability to process customer payments electronically, could materially adversely affect our businesses and our brands.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Legal and Compliance Matters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businesses and industries are heavily regulated and subject to active enforcement including legal and regulatory proceedings that have in the past and may in the future result in damages, penalties or other significant monetary obligations and restrictions on our business operations.</w:t>
      </w:r>
    </w:p>
    <w:p>
      <w:pPr>
        <w:spacing w:after="0" w:line="37" w:lineRule="exact"/>
        <w:rPr>
          <w:sz w:val="20"/>
          <w:szCs w:val="20"/>
          <w:color w:val="auto"/>
        </w:rPr>
      </w:pPr>
    </w:p>
    <w:p>
      <w:pPr>
        <w:jc w:val="both"/>
        <w:spacing w:after="0" w:line="171" w:lineRule="exact"/>
        <w:rPr>
          <w:sz w:val="20"/>
          <w:szCs w:val="20"/>
          <w:color w:val="auto"/>
        </w:rPr>
      </w:pPr>
      <w:r>
        <w:rPr>
          <w:rFonts w:ascii="Times New Roman" w:cs="Times New Roman" w:eastAsia="Times New Roman" w:hAnsi="Times New Roman"/>
          <w:sz w:val="14"/>
          <w:szCs w:val="14"/>
          <w:color w:val="auto"/>
        </w:rPr>
        <w:t>Our businesses and industries are heavily regulated, including through active enforcement by regulatory authorities that focus on subprime consumer-facing industries such as ours and by plaintiffs’ law firms that seek to bring putative class actions and mass arbitrations. In addition to laws and regulations regarding our lease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 transactions and those impacting EWA and other products and services offered by Brigit, we are subject to other consumer protection, data privacy, labor and employment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 which may be subject to a variety of additional statutory and regulatory requirements not presently applicable to our operations. We have defended against, continue to defend against, and may in the future defend against, legal and regulatory proceedings from time to time, including class action lawsuits, mass arbitrations and regulatory enforcement proceedings alleging various regulatory violations. We have incurred and may in the future incur significant damages, fines, penalties, and legal fees and expenses in connection with such legal and regulatory proceedings, and we have paid in the past and may pay in the future significant amounts to settle legal or regulatory proceedings, which could materially and adversely affect our results of operations, liquidity and capital resources. As discussed further in Note M to our consolidated financial statements included in this Annual Report on Form 10-K, at December 31, 2025, we had estimated legal accruals of $72.0 million included in accrued liabilities in our Consolidated Balance Sheet for pending legal and regulatory matters for which we believe losses are probable and the amount of the loss can be reasonably estimated. In addition, the failure to pay any material judgment would constitute a default under the ABL Credit Facility, the Term Loan Facility and the Notes (as defined in </w:t>
      </w:r>
      <w:r>
        <w:rPr>
          <w:rFonts w:ascii="Times New Roman" w:cs="Times New Roman" w:eastAsia="Times New Roman" w:hAnsi="Times New Roman"/>
          <w:sz w:val="14"/>
          <w:szCs w:val="14"/>
          <w:i w:val="1"/>
          <w:iCs w:val="1"/>
          <w:color w:val="auto"/>
        </w:rPr>
        <w:t xml:space="preserve">“Management’s Discussion and Analysis of Financial Condition and Results of Operations” </w:t>
      </w:r>
      <w:r>
        <w:rPr>
          <w:rFonts w:ascii="Times New Roman" w:cs="Times New Roman" w:eastAsia="Times New Roman" w:hAnsi="Times New Roman"/>
          <w:sz w:val="14"/>
          <w:szCs w:val="14"/>
          <w:color w:val="auto"/>
        </w:rPr>
        <w:t>contained in Item 7 of this Annual Report on Form 10-K).</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also become subject to significant restrictions on or changes to our business practices, operations or methods, including pricing, account management, or similar terms, as a result of existing or future governmental or other proceedings or settlements, any of which could significantly harm our reputation and competitiveness with consumers as well as with third-party retailers, bank partners and other commercial counterparties, and could materially and adversely affect our business, prospects, results of operations and financial condition. For example, in connection with the Multistate and District of Columbia Attorneys’ General matters described in Note M to our consolidated financial statements included in this Annual Report on Form 10-K, if we are able to reach final binding settlement agreements, we expect that any potential settlement of such matters would include injunctive relief regarding various aspects of Acima’s business. By way of further example, as discussed below, our Brigit segment previously entered into and remains subject to a settlement with the FTC which includes various injunctive requirements.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arbitration agreements may not allow us to avoid costly litigation or mass arbitrations.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an attempt to limit costly and lengthy consumer, employee and other litigation, including class actions, we require our customers and, with the exception of our Brigit segment, our employees to sign arbitration agreements, including class action waivers. However, in addition to opt-out provisions contained in such agreements, judicial, regulatory or legislative actions may restrict or eliminate the enforceability of such agreements and waivers. In the past, various courts and administrative authorities have concluded that arbitration agreements with class action waivers are unenforceable, particularly where a small dollar amount is in controversy on an individual basis. If we are not permitted to use arbitration agreements, class action waivers or provisions intended to mitigate the risk of mass arbitrations, or if the enforceability of such agreements, waivers and provisions is restricted or eliminated, we could incur increased defense or settlement costs to resolve legal actions brought by customers, employees and others, and we could be forced to participate in more expensive and lengthy dispute resolution processes, any of which could have a material adverse effect on our business. See Note M to our consolidated financial statements included in this Annual Report on Form 10-K for additional information regarding certain legal and regulatory proceedings impacting our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8" w:name="page29"/>
    <w:bookmarkEnd w:id="28"/>
    <w:p>
      <w:pPr>
        <w:jc w:val="both"/>
        <w:spacing w:after="0" w:line="185" w:lineRule="exact"/>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the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own industry, and any negative change in these laws or regulations or the passage of unfavorable new laws or regulations or the manner in which any of these are enforced or interpreted could expose us to significant additional costs or compliance-related burdens and could require us to alter our business practices in a manner that may be materially adverse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-285115</wp:posOffset>
            </wp:positionV>
            <wp:extent cx="55880" cy="3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-285115</wp:posOffset>
            </wp:positionV>
            <wp:extent cx="55880" cy="3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there is currently no comprehensive federal legislation regulating rental purchase transactions, federal regulatory authorities, such as the United States FTC and the CFPB, have at times been increasingly focused on the subprime financial marketplace in which the lease-to-own industry operates and adverse federal legislation may be enacted in the future. Any federal agency, or any state regulatory authority, may propose and adopt new 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our company to “headline risks” whereby media attention to these matters could negatively impact our business in a particular region or in general or investor sentiment, and may materially and adversely affect the value of our securities. Moreover, an adverse outcome from a lawsuit or arbitration, even one against one of our competitors, could result in changes in the way we and others in the industry do business, possibly leading to significant costs or decreased revenues or profitability. See Note M to our consolidated financial statements included in this Annual Report on Form 10-K for additional information regarding certain legal and regulatory proceedings impacting our company.</w:t>
      </w:r>
    </w:p>
    <w:p>
      <w:pPr>
        <w:spacing w:after="0" w:line="37" w:lineRule="exact"/>
        <w:rPr>
          <w:sz w:val="20"/>
          <w:szCs w:val="20"/>
          <w:color w:val="auto"/>
        </w:rPr>
      </w:pPr>
    </w:p>
    <w:p>
      <w:pPr>
        <w:jc w:val="both"/>
        <w:spacing w:after="0" w:line="192" w:lineRule="exact"/>
        <w:rPr>
          <w:sz w:val="20"/>
          <w:szCs w:val="20"/>
          <w:color w:val="auto"/>
        </w:rPr>
      </w:pPr>
      <w:r>
        <w:rPr>
          <w:rFonts w:ascii="Times New Roman" w:cs="Times New Roman" w:eastAsia="Times New Roman" w:hAnsi="Times New Roman"/>
          <w:sz w:val="14"/>
          <w:szCs w:val="14"/>
          <w:b w:val="1"/>
          <w:bCs w:val="1"/>
          <w:i w:val="1"/>
          <w:iCs w:val="1"/>
          <w:color w:val="auto"/>
        </w:rPr>
        <w:t>Our lease</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to</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own transactions are regulated by and subject to the requirements of federal and state laws and regulations that vary by jurisdiction, which require significant compliance costs and expose us to regulatory action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-177800</wp:posOffset>
            </wp:positionV>
            <wp:extent cx="5588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460375</wp:posOffset>
            </wp:positionH>
            <wp:positionV relativeFrom="paragraph">
              <wp:posOffset>-177800</wp:posOffset>
            </wp:positionV>
            <wp:extent cx="5588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 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maximum potential life of a rental purchase agreement if the customer elects to renew the lease for the maximum number of optional renewal periods,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have in the past and may continue to incur substantial expenses to respond to federal and state government investigations and enforcement actions, proposed fines and penalties, criminal or civil sanctions, and private litigation and arbitration, including those arising out of our or our franchisees’ alleged violations of existing laws and/or regulations.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Similar to other consumer transactions, our lease-to-own transactions are also governed by various federal and state consumer protection statutes, in addition to the lease-to-own purchase statutes under which we operate, that provide various consumer remedies, including monetary penalties, for violations. We have been and continue to be subject to disputes alleging that we have violated some of these statutory provisions, including matters initiated by regulatory authorities. See Note M to our consolidated financial statements included in this Annual Report on Form 10-K for additional information regarding certain legal and regulatory proceedings impacting our company.</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Laws and regulations regarding information security and data collection, use and privacy are increasingly rigorous and subject to change, which may cause us to incur significant compliance costs and subject us to adverse impacts in the event of actual or alleged compliance failures.</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regulatory environment related to information security and data collection, use and privacy is increasingly rigorous, with new and constantly-changing requirements applicable to certain aspects of our business, including our collection practices (as well as those of third parties), the manner in which we contact our customers, our decisioning process regarding whether to lease merchandise to customers or otherwise approve customers for our products or services, any payment information we may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4"/>
          <w:szCs w:val="14"/>
          <w:color w:val="auto"/>
        </w:rPr>
        <w:t>decide to furnish to consumer reporting agencies, our credit reporting practices, our ability to share customer information between our affiliated businesses and with third parties,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the California Privacy Rights Act (the “CPRA”) was passed in November 2020 and is intended to augment and expand the CCPA, and many of the CPRA's provisions became effective on January 1, 2023 (with respect to information collected from and after January 2022). The CPRA significantly modified the CCPA, including by expanding consumers' rights with respect to certain personal information and creating a new state agency that is vested with authority to implement and enforce the CCPA and the CPRA. On September 23, 2025, the California Privacy Protection Agency approved another major update to the CCPA/CPRA regulations. These rules expand compliance obligations, particularly around automated decision-making technology, risk assessments, and cybersecurity audits, with most provisions effective on or after January 1, 2026. Moreover, other states have adopted and may continue to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Furthermore, various jurisdictions are considering various frameworks for AI and have passed, or may in the future pass, laws and regulations that impact existing privacy and data protection requirements. These costs, including others relating to increased regulatory oversight and compliance, could materially and adversely affect our business. In addition, given that privacy and customer data protection laws may be interpreted and applied inconsistently and are in a state of flux that varies by jurisdiction, our data protection policies and 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legal or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reputation, ability to do business and operating results may be impaired by improper conduct by any of our employees, agents or business partners, including third-party retailers.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While our policies and compliance programs are intended to promote legal and ethical business practices, there is a risk that our employees, agents or business partners, including third-party retailers and franchisees,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stockholder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reputation,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 misconduct by our employees, agents or business partners, including third-party retailers, bank partners or other commercial counterparties, even if not substantiated, may attract negative publicity that could damage our reputation and impair our ability to maintain and develop relationships with our vendors, customers and other third parties with whom we do business and to attract and retain employees.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0" w:name="page31"/>
    <w:bookmarkEnd w:id="30"/>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third-party retailers, bank partners or other commercial counterparties, demand for our goods and the transactions we offer could decrease and our business could be materially and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Certain third parties, including consumer advocacy groups, media reports, and federal and state government officials have asserted that laws and regulations regarding lease-to-own, EWA and other consumer transactions should be broader, more restrictive or otherwise changed, including, for example, that such transactions should be regulated as consumer credit and subject to credit-based disclosures and pricing restrictions. For lease-to-own transactions,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lease customers' early purchase options, the fact that consumers can terminate and return their leased merchandise at any time without penalty or further payment obligations or the numerous other benefits to consumers of lease-to-own programs compared to traditional financing, or the lack of viable alternatives available to many of these consumers to obtain critical household items. Brigit’s EWA business and other offerings to underserved consumers face similar risks and negative characterizations from time to time by certain third parties, including consumer advocacy groups, media reports, and federal and state government officials. If the negative characterization of our consumer transactions becomes increasingly accepted by consumers or our third-party retailers and merchant partners, bank partners or other commercial counterparties, demand for our products and services could significantly decrease, which could have a material adverse effect on our business, results of operations and financial condition. Additionally, if the negative characterization of our consumer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third-party retailers, bank partners or other commercial counterparties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EWA or other transactions that we offer, or any actions by our competitors that are challenged by consumers, advocacy groups, the media or governmental agencies or entities as being abusive or predatory, could result in our company being perceived as engaging in similar unlawful or inappropriate activities or business practices, merely because we operate in the same general industries as such competitors. Such perception, whether or not accurate, could have a material adverse effect on our business, results of operations and financial condition.</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protect our intellectual property, or may be alleged to have infringed upon the intellectual property rights of others, which could result in a loss of our competitive advantage, a diversion of resources and a material adverse effect on our business and results of operations.</w:t>
      </w:r>
    </w:p>
    <w:p>
      <w:pPr>
        <w:spacing w:after="0" w:line="37"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The success of our business depends in part on identification of the names “Upbound”, “Rent-A-Center”, “Acima” and “Brigit”, and the success of our lease-to-own, EWA decisioning and other models necessary to offer our products and services depend in large part on our proprietary decisioning algorithms, our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commerce platforms and other proprietary technologies that we currently have or may develop in the future. To protect our intellectual property rights, we rely, or may from time to time rely, on a combination of trademark, trade dress, domain name, copyright, trade secret and patent laws, as well as confidentiality and license agreements with our employees, contractors and other third 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 invalid or unenforceable. Any litigation or claims relating to our intellectual property and proprietary information brought by or against us, whether with or without merit, or whether successful or not, could result in substantial costs and diversion of our resources, which could have a material adverse effect on us.</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Moreover, competitors or other third parties may allege that we, or agents, consultants or other third parties retained or indemnified by us, have infringed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of money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4"/>
          <w:szCs w:val="14"/>
          <w:color w:val="auto"/>
        </w:rPr>
        <w:t>defend the claim (even if we ultimately prevail). We may also be required to pay significant money damages. In the event of a settlement or adverse 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Brigit previously entered into a settlement with the FTC under which it continues to have ongoing compliance obligations, noncompliance with which could result in material regulatory enforcement.</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November 2023, Brigit entered into a Stipulated Order for Permanent Injunction, Monetary Judgment, and Other Relief with the FTC settling allegations, which Brigit denied, that Brigit violated provisions of the Restore Online Shoppers’ Confidence Act ("ROSCA") and Section 5 of the FTC Act in its subscription practices and the marketing of its EWA product. The settlement required payment of a monetary penalty of $18 million, as well as ongoing injunctive requirements related to disclosures and representations regarding the marketing of its EWA advances, disclosures and authorizations regarding subscription plans, and subscription cancellation practices. The settlement also requires Brigit to comply with certain obligations regarding reporting settlement-relevant information to the FTC, recordkeeping, and responding to further requests from the FTC. Monetary elements of the settlement have been satisfied, but requirements to engage in compliance obligations continue for up to 15 years and injunctive relief related to ROSCA and FTC Act is permanent. While we believe Brigit is in material compliance with the terms of its FTC settlement, any actual noncompliance or noncompliance asserted by the FTC may result in further regulatory action and, ultimately, additional penalties, defense and compliance costs, or business restrictions.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Brigit segment is subject to extensive regulation and oversight in a variety of areas under federal, state and local laws.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Brigit is subject to extensive regulation under United States federal and state laws and regulations governing the provision of consumer financial services such as EWA, credit building products and other products. Regulators have broad discretion with respect to the interpretation, implementation, and enforcement of these laws and regulations, including through enforcement actions that could subject Brigit to civil money penalties, consumer remediation, increased compliance costs, and limits or prohibitions on its ability to offer certain products or services or to engage in certain activities. Any failure or perceived failure to comply with any of these laws or regulations could subject Brigit to lawsuits, arbitrations or governmental actions and/or damage its reputation, which could materially and adversely affect Brigit’s business. Moreover, any competitors subject to different, or in some cases less restrictive, legislative or regulatory regimes may have or obtain a competitive advantage over Brigit.</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certain of Brigit’s offerings depend on bank partnerships with heavily regulated and supervised banks. For example, Brigit’s bank partnership with Coastal Community Bank is subject to the supervisory authority of the FDIC and the Washington State Department of Financial Institutions, which are the bank’s primary federal and state banking regulators, respectively. Certain laws and regulations that apply directly to the bank are indirectly applicable to Brigit as a service provider to the bank. Brigit is also subject to supervision and regulation by certain state regulators as a result of licenses or similar approvals it holds or in the process of obtaining. Authority and discretion of such additional regulators may also involve investigation and enforcement resulting in the potential for monetary penalties, consumer remediation, and injunctive relief.</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If our Brigit segment is unable to obtain, or was determined to be operating without having obtained, necessary state or local licenses, registrations, or similar regulatory filings or approvals that are required or deemed required by regulatory authorities for certain of its products and services, it could adversely affect Brigit’s business, results of operations, financial condition, and future prospects.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Certain states have adopted laws regulating and requiring licensing, registration, or similar regulatory filings or approvals by parties that engage in certain activities regarding consumer finance transactions. The scope of such requirements varies by jurisdiction and the application of some consumer financial licensing laws to Brigit’s products and activities is unclear but may include providing EWA, offering subscription programs, offering or facilitating the originating of loans, and servicing or collecting loans, among other regulated activities. In addition, these requirements may evolve over time, including, in particular, recent trends toward increased licensing requirements and regulation of: (i) as relevant to Brigit’s EWA product, parties offering EWA products; and (ii) as relevant to Brigit’s Credit Builder product and any loan-related product development, such as its line of credit, parties engaged in loan solicitation, loan or receivable acquisition, loan servicing and debt collection. Even where Brigit complies with existing regulatory requirements, rapidly evolving laws and related regulations potentially applicable to EWA or subscription programs may impose additional operational, pricing, or product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design constraints that could require Brigit to modify its offerings or limit its ability to offer its products in certain geographic areas in the same or materially similar manner as it currently does.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such license and registration programs, Brigit has obtained, and continues to apply for and seek, numerous state licenses with respect to its current and planned products and services. Brigit has also received inquiries from certain state regulatory agencies regarding requirements to obtain licenses from or register with those states, and Brigit may receive additional such inquiries in the future.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Brigit were determined to be in violation of applicable licensing or similar requirements by a court or a state, federal, or local enforcement agency, Brigit could be subject to fines, damages, injunctive relief (including required modification or discontinuation of its business in certain areas), criminal penalties and other penalties or consequences, and Brigit’s ability to engage in its current products and services may be impaired, any of which could have a material adverse effect on Brigit’s business.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the EWA industry,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there is currently no comprehensive federal legislation regulating EWA products, such as Brigit’s EWA product, the CFPB under the previous Presidential Administration proposed an interpretative rule that would have potentially treated many EWA products as extensions of credit for the purposes of applying certain federal consumer financial laws and regulations and the potential regulation of unfair, deceptive, or abusive practices with respect to EWA products. In December 2025, the CFPB withdrew that proposed interpretative rule and issued an advisory opinion stating that certain “covered” EWA products, structured to provide access to earned wages without creating a debt obligation and subject to specified conditions, generally are not credit under the Truth in Lending Act or Regulation Z, and that optional expedited funding fees and tips paid by consumers in connection with EWA products are not finance charges under that statute or regulation.</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this advisory opinion provides additional federal regulatory clarity for certain EWA products, it does not have the force of law, may be subject to future revision, reinterpretation, or rescission, and does not apply to other federal or state consumer protection laws. In addition, the advisory opinion applies only to EWA products meeting specific structural criteria, and the structure of Brigit’s products or business model, future changes to Brigit’s products or business model, or evolving regulatory interpretations, could affect its applicability. Federal and state regulators may continue to scrutinize EWA products, and future rulemaking, guidance, or enforcement actions could require Brigit to modify product features or pricing, enhance disclosures or compliance infrastructure, or otherwise alter its operations, any of which could materially adversely affect Brigit’s business, financial condition, and results of operations.</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At the state level, a significant number of states have addressed the coverage of EWA products by their loan-related regulatory regimes, implemented new EWA-specific regulatory requirements, or publicly considered one of these approaches (e.g., through the introduction of legislation that would, if enacted, specifically regulate EWAs as a product distinct from loans). Many of the states that have taken EWA-related action have implemented requirements that EWA providers register or obtain licenses and/or comply with disclosure and practice requirements. For example, California finalized a new regulation under the California Consumer Finance Protection Law requiring EWA providers to register with the state, but not imposing rate or fee restrictions on EWA products at this time. Brigit has obtained incrementally more EWA-related licenses and been subject to increasing disclosure and practice requirements with respect to its EWA product over time, and it expects to continue doing so into the near future. Some states, however, have adopted more restrictive approaches. For example, in 2023, legislatures or consumer financial regulators in Connecticut and Maryland issued guidance and/or changes in law or regulation, indicating that EWA products, in certain cases, would be considered loans or otherwise regulated under loan regulatory regimes imposing licensing, rate and fee limitation, and origination and servicing practice limitations on providers of such EWAs. Brigit also has been subject to, and continues to engage with regulators and attorney generals, with respect to Brigit’s EWA offering. Resolution of existing matters, as well as any new licensing or practice requirements may involve penalties, consumer remediation, increased compliance costs, or business restrictions that may be material to Brigit’s business.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Federal and state regulatory authorities are increasingly focused on consumer financial products offered through partnerships between banks and non-bank entities, and any negative change in these laws or regulations or the passage of unfavorable new laws or regulations or the manner in which any of these are enforced or interpreted could expose Brigit to significant additional costs or compliance-related burdens and could require Brigit to alter its business practices in a manner that may be materially adverse to Brigit.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Loan programs involving partnerships between banks and non-bank entities, like the relationship between Coastal Community Bank and Brigit with respect to the Credit Builder product, have been the subject of increased regulatory and private plaintiff focus over time. Federal banking regulators increasingly have scrutinized banks’ oversight and control over service providers, in some cases bringing enforcement actions against banks partnering with financial technology companies in manners inconsistent with appropriate compliance and risk controls that constrains such banks’ ability to offer or expand credit or payments products through partnerships. State legislatures and regulators increasingly have sought to regulate bank partnership structures through methods such as enforcement actions seeking to recharacterize non-banks as the “true lenders” in bank partnership relationships for licensing and regulatory purposes, anti-evasion provisions purporting to recharacterize non-banks as lenders or otherwise subject them to licensing or usury restrictions as though they were lenders, imposition of new or more expansively interpreted licensing requirements for activities engaged in by non-bank entities as service providers to banks (e.g., the marketing, arrangement, or brokering of loans, the acquisition of loans or interests therein, or the servicing or collection of loans), adoption of opt-outs from the federal regulatory regime (the Depository Institutions Deregulation and Monetary Control Act of 1980, or DIDMCA) permitting banks to rely on the interest-related provisions of the state in which they make a loan when lending elsewhere, and seeking to impose rate or fee limitations on non-banks after they have acquired loans or interests in loans from a bank partner (“Madden claims”). Private plaintiffs have also increasingly brought litigation grounded in licensing, “true lender,” and Madden claims over time. While we believe Brigit’s relationship with Coastal Community Bank and other bank partners, and the products offered and activities conducted in connection with such relationship, comply with applicable law, regulatory or private plaintiff actions relating to bank partnerships, or the general evolution of regulatory requirements arising from bank partnerships, may result in penalties, compliance costs, required product or practice changes, or other business restrictions that may be material.</w:t>
      </w:r>
    </w:p>
    <w:p>
      <w:pPr>
        <w:spacing w:after="0" w:line="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Due to Brigit’s bank partnership model, Brigit is and will continue to be subject to third-party risk management obligations, its business model may need to be substantially altered and Brigit may not be able to continue to operate its business as it is currently operated.</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of Brigit’s products and services rely on bank partnerships. For example, the Credit Builder product made available through Brigit by Coastal Community Bank is subject to regulation and supervision by Coastal Community Bank’s regulators, including the FDIC and the Washington State Department of Financial Institutions, and Brigit, as a service provider to Coastal Community Bank, undertakes certain compliance obligations. If Brigit were to become directly subject to banking regulations or if the third-party risk management requirements applicable to Brigit were to change, Brigit’s business model may need to be substantially altered and Brigit may not be able to continue to operate its business as it is currently operated. Failure by Brigit, or Coastal Community Bank or other partners, to comply with applicable laws and regulations could have a material adverse effect on Brigit’s business, financial position and results of operations.</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a franchisor, we are subject to regulation by various federal and state laws and regulations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4" w:name="page35"/>
    <w:bookmarkEnd w:id="34"/>
    <w:p>
      <w:pPr>
        <w:jc w:val="both"/>
        <w:spacing w:after="0" w:line="264" w:lineRule="auto"/>
        <w:rPr>
          <w:sz w:val="20"/>
          <w:szCs w:val="20"/>
          <w:color w:val="auto"/>
        </w:rPr>
      </w:pPr>
      <w:r>
        <w:rPr>
          <w:rFonts w:ascii="Times New Roman" w:cs="Times New Roman" w:eastAsia="Times New Roman" w:hAnsi="Times New Roman"/>
          <w:sz w:val="14"/>
          <w:szCs w:val="14"/>
          <w:color w:val="auto"/>
        </w:rPr>
        <w:t>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liability or reputational harm for the actions, omissions and liabilities of our franchisees, which could materially and adversely affect our results of operation.</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liabilities and reputational harm based on vicarious liability, joint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employer liability, or other theories of liability. Expansion of these bases for liability not only could result in expensive litigation with our franchisees, third-parties or government agencies, but also could make it more difficult to appropriately support our franchisees while managing our risk of liability and reputational harm, all of which could impact our results of operations. For instance, on October 27, 2023, the National Labor Relations Board (“NLRB”) issued an amended rule for determining when two or more employers may be found to be a joint employer under the National Labor Relations Act. In March 2024, a federal court struck down the NLRB’s 2023 expanded rule, leaving the NLRB’s prior 2020 rule on joint employment in effect. The NLRB’s 2020 rule requires “substantial direct and immediate control” over one or more “essential terms or conditions of employment” in order to establish joint liability. There is a possibility of further changes in the law from the NLRB, as well as other agencies and state governments that may cause us or our franchisees to be liable or held responsible for unfair labor practices, violations of wage and hour laws, or other violations or require us to conduct collective bargaining negotiations regarding employees of our franchisees. If this occurs,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application of indirect taxes, such as sales tax, is a complex and evolving issue, particularly with respect to the lease-to-own industry generally and our virtual lease-to-own Acima and e-commerce businesses more specifically. Many of the 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applicable tax authorities requiring us to collect taxes in a 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As governments increasingly search for ways to increase revenues, states may adopt tax reform or take other legislative action designed to raise tax revenues, including by expanding the scope of transactions subject to taxation or by increasing applicable tax rates, or interpreting existing sales, income and other tax regulations in a manner adverse to our business. Such changes could subject our business to new or increased tax obligations, which could have a material adverse effect on our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Indebtedness and Other Financial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significant indebtedness, and the level of our indebtedness could materially and adversely affect us.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our total indebtedness was approximately $1.6 billion. We also had undrawn commitments available for borrowings of an additional $237.6 million under the ABL Credit Facility (after giving effect to approximately $48.4 million of outstanding letters of credit).</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our indebtedness could further increase, and the related risks that we face could intensify. For example, we expect to continue to evaluate the possibility of acquiring additional businesses and making strategic investments, and we may elect to finance these endeavors by incurring additional indebtedness. For example, a portion of cash consideration paid in connection with the Brigit acquisition was financed by incurring additional indebtedness. Moreover, to respond to competitive challenges, we may be required to raise substantial additional capital to finance new product or service offerings. We may also require additional capital to fund purchases of merchandise during high volume periods.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5" w:name="page36"/>
    <w:bookmarkEnd w:id="35"/>
    <w:p>
      <w:pPr>
        <w:spacing w:after="0" w:line="284" w:lineRule="auto"/>
        <w:rPr>
          <w:sz w:val="20"/>
          <w:szCs w:val="20"/>
          <w:color w:val="auto"/>
        </w:rPr>
      </w:pPr>
      <w:r>
        <w:rPr>
          <w:rFonts w:ascii="Times New Roman" w:cs="Times New Roman" w:eastAsia="Times New Roman" w:hAnsi="Times New Roman"/>
          <w:sz w:val="14"/>
          <w:szCs w:val="14"/>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1" w:lineRule="exact"/>
        <w:rPr>
          <w:sz w:val="20"/>
          <w:szCs w:val="20"/>
          <w:color w:val="auto"/>
        </w:rPr>
      </w:pPr>
    </w:p>
    <w:p>
      <w:pPr>
        <w:ind w:left="52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to pay or refinance our debts as they become due during adverse economic, financial market and industry conditions, resulting in possible defaults on such indebtedness;</w:t>
      </w: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use a larger portion of our cash flow for debt service, reducing funds available for other purposes;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our ability to take advantage of business opportunities, such as acquisition opportunities, and to react to changes in market or industry conditions;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adverse economic, industry or competitive developments, including interest rate fluctuations, and decrease our ability to respond to such changes as compared to our competitors with less leverage;</w:t>
      </w:r>
    </w:p>
    <w:p>
      <w:pPr>
        <w:ind w:left="52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and adversely affect our ability to refinance our existing indebtedness or obtain additional financing in the future to fund working capital, capital expenditures and other general corporate purposes, particularly as substantially all of our assets are subject to liens securing certain of our existing indebtedness;</w:t>
      </w:r>
    </w:p>
    <w:p>
      <w:pPr>
        <w:ind w:left="52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our profitability and/or cash flow or require us to dispose of significant assets in order to satisfy our debt service and other obligations if cash from operations or other sources is insufficient to satisfy such obligations;</w:t>
      </w:r>
    </w:p>
    <w:p>
      <w:pPr>
        <w:ind w:left="52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compared to our competitors with proportionally less debt or comparable debt at more favorable interest rates which, as a result, may be better positioned to withstand economic downturns;</w:t>
      </w: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risk of a downgrade in the credit rating of us or any indebtedness of us or our subsidiaries which could increase the cost of further borrowings; and</w:t>
      </w:r>
    </w:p>
    <w:p>
      <w:pPr>
        <w:spacing w:after="0" w:line="51" w:lineRule="exact"/>
        <w:rPr>
          <w:rFonts w:ascii="Times New Roman" w:cs="Times New Roman" w:eastAsia="Times New Roman" w:hAnsi="Times New Roman"/>
          <w:sz w:val="14"/>
          <w:szCs w:val="14"/>
          <w:color w:val="auto"/>
        </w:rPr>
      </w:pPr>
    </w:p>
    <w:p>
      <w:pPr>
        <w:ind w:left="520" w:hanging="133"/>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financial resources available to continue paying dividends on our common stock or to repurchase our common stock, as determined in the discretion of our Board of Directors and subject to the restrictive covenants in our debt agreements and applicable law.</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amount of borrowings permitted under the ABL Credit Facility is limited to the value of certain of our assets, and we rely in part on available borrowings under the ABL Credit Facility for cash to operate our business, which subjects us to market and counterparty risk, some of which is beyond our control.</w:t>
      </w:r>
    </w:p>
    <w:p>
      <w:pPr>
        <w:spacing w:after="0" w:line="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cash we generate from our business, our principal existing sources of cash are borrowings available under the ABL Credit Facility. Our borrowing capacity under the ABL Credit Facility varies according to our eligible lease contracts, eligible installment sales accounts and inventory, net of certain reserves. In the event of any material decrease in the amount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 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6" w:name="page37"/>
    <w:bookmarkEnd w:id="3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cash interest payments on our indebtedness were approximately $105 million for the year ended December 31, 2025, which could fluctuate in the future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16" w:lineRule="exact"/>
        <w:rPr>
          <w:sz w:val="20"/>
          <w:szCs w:val="20"/>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or delaying capital expenditures;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growth;</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additional capital;</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assets;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or eliminating the dividend on our common stock;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or refinancing our indebtedness.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 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 and the Term Loan Facility could foreclose against the assets securing such indebtedness and Upbound Group, Inc. could be forced into bankruptcy or liquidation.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Restrictive covenants in certain of the agreements and instruments governing our indebtedness may materially and adversely affect our financial and operational flexibility.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 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 event of default that, if not cured or waived, could result in the acceleration of certain of our debt, which could have a material adverse effect on our business, financial condition and results of operations.</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96"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2025, approximately $1.1 billion of our indebtedness was variable rate indebtedness, and, assuming all loans were fully drawn, each quarter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point (0.25%) change in interest rates would result in an additional $2.8 million annualized pretax charge or credit to our Consolidated Statements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change in control could accelerate our obligation to pay our outstanding indebtedness, and we may not have sufficient liquid assets at that time to repay these amounts.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 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Upbound Group, Inc.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organizational documents and our current or future debt instruments contain or may contain provisions that may prevent or deter another group from paying a premium over the market price to Upbound Group, Inc.’s stockholders to acquire its stock.</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Upbound Group, Inc.’s organizational documents contain provisions that authorize its Board of Directors to issue blank check preferred stock and establish advance notice requirements on its stockholders for director nominations and actions to be taken at meetings of the stockholders. In addition, as a Delaware corporation, Upbound Group, Inc. is subject to Section 203 of the Delaware General Corporation Law, which prohibits persons that acquire, or are affiliated with any person that acquires, more than 15% of our outstanding common stock from engaging in any business combination with Upbound Group, Inc. for a three-year period following the date of such acquisition, subject to limited exceptions. Furthermore, the terms of our indebtedness include various change in control provisions which, in the event of a change in control, would cause a default under such indebtedness.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 the Notes, and there can be no assurance that we or the potential acquirer will have sufficient financial resources to effect such a redemption or repurchase.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other intangible assets become impaired, we may be required to record a significant charge to earnings.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assess our goodwill and intangible assets for impairment annually or when events or changes in circumstances indicate the carrying value may not be recoverable. We test goodwill for impairment at the reporting unit level. If goodwill or intangible assets are deemed to be impaired, an impairment loss equal to the amount by which the carrying amount exceeds the fair value of the assets would be recognized. We would be required to record a charge in our financial statements during the period in which any impairment of our goodwill or intangible assets is determined, which may be significant and would negatively affect our results of operations reported under U.S. GAAP.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Risks Relating to Our Structure or an Investment in Our Common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are dependent on the operations and funds of our subsidiaries.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is volatile, and you may not be able to recover your investment if our stock price declines.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price of our common stock has been volatile and can be expected to be significantly affected by factors such as:</w:t>
      </w:r>
    </w:p>
    <w:p>
      <w:pPr>
        <w:spacing w:after="0" w:line="51" w:lineRule="exact"/>
        <w:rPr>
          <w:sz w:val="20"/>
          <w:szCs w:val="20"/>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perceived ability to meet market expectations with respect to the growth and profitability of each of our operating segments;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our results of operations, which may be impacted by, among other things, changes in same store sales, invoice volume, customer growth, loss rates, when and how many locations we acquire, franchise, open, sell or close, accruals recorded in a quarter for contingent liabilities and other factors;</w:t>
      </w: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variations in our competitors’ results of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estimates or buy/sell recommendations by financial analysts;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our actual financial performance compares to the financial performance guidance we provide;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or federal legislative or regulatory proposals, initiatives, actions or changes that are, or are perceived to be, adverse to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price performance of comparable companies;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unpredictability of global and regional economic and political conditions;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conditions in the consumer financial service industry, the domestic or global economy or the domestic or global credit or capital markets;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commentary regarding us and corresponding short-selling market behavior;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in our relationships with our customers, third-party retailers, bank partners or vendors;</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18"/>
        </w:numPr>
        <w:rPr>
          <w:rFonts w:ascii="Arial" w:cs="Arial" w:eastAsia="Arial" w:hAnsi="Arial"/>
          <w:sz w:val="14"/>
          <w:szCs w:val="14"/>
          <w:i w:val="1"/>
          <w:iCs w:val="1"/>
          <w:color w:val="auto"/>
        </w:rPr>
      </w:pPr>
      <w:r>
        <w:rPr>
          <w:rFonts w:ascii="Times New Roman" w:cs="Times New Roman" w:eastAsia="Times New Roman" w:hAnsi="Times New Roman"/>
          <w:sz w:val="14"/>
          <w:szCs w:val="14"/>
          <w:color w:val="auto"/>
        </w:rPr>
        <w:t>legal proceedings brought against us or our officers and directors, including the matters described in Note M to our consolidated financial statements included in this Annual Report on Form 10-K;</w:t>
      </w: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senior management team;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of the other risk factors discussed or incorporated by reference herein.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as to the dividends that we may pay on our common stock or as to future stock repurchases.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Holders of our common stock are only entitled to receive such dividends as our Board of Directors may declare in its discretion out of funds legally available for such payments. Although we have paid quarterly cash dividends on our common stock since 2019, we are not required to declare or pay any dividends and there may be circumstances under which we may be unable to declare and pay dividends or repurchase our shares under applicable Delaware law or due to the impact of restrictive covenants in our debt agreements. In addition, we may elect to eliminate or reduce our common stock dividend or not to implement additional stock repurchases in the future for any reason. Any elimination of or reduction in the amount of our common stock dividend or the failure to implement future stock repurchases could materially and adversely affect the market price of our common stock.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lowering or withdrawal of the ratings assigned to Upbound Group, Inc.’s debt by rating agencies may increase our future borrowing costs and reduce our access to capital.</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indebtedness currently has a non-investment grade rating, and any rating assigned to our debt could be lowered or withdrawn entirely by a rating agency if, in that rating agency’s judgment, future circumstances relating to the basis of the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9" w:name="page40"/>
    <w:bookmarkEnd w:id="39"/>
    <w:p>
      <w:pPr>
        <w:jc w:val="both"/>
        <w:spacing w:after="0" w:line="270" w:lineRule="auto"/>
        <w:rPr>
          <w:sz w:val="20"/>
          <w:szCs w:val="20"/>
          <w:color w:val="auto"/>
        </w:rPr>
      </w:pPr>
      <w:r>
        <w:rPr>
          <w:rFonts w:ascii="Times New Roman" w:cs="Times New Roman" w:eastAsia="Times New Roman" w:hAnsi="Times New Roman"/>
          <w:sz w:val="14"/>
          <w:szCs w:val="14"/>
          <w:color w:val="auto"/>
        </w:rPr>
        <w:t>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Acquisition of Brigit</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realize the anticipated benefits of the Brigit acquisition, including synergies, and have incurred substantial expenses related to the acquisition, which could have a material adverse effect on our business, financial condition and results of operations.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expect to realize potential revenue and, to a lesser extent, cost synergies as a result of the Brigit acquisition. In addition to the purchase price we paid in connection with the acquisition, we also expect to incur certain costs to achieve these synergies. While we believe these synergies are achievable, our ability to achieve such estimated synergies and the timing of achieving any such synergies is subject to various assumptions by our management, which may or may not be realized, as well as the incurrence of other costs in our operations that offset all or a portion of such synergies. As a consequence, we may not be able to realize all of these synergies within the timeframe expected or at all. In addition, we may incur additional and/or unexpected costs in order to realize these synergies. Failure to achieve the expected synergies could significantly reduce the expected benefits associated with the acquisition and materially and adversely affect our business, financial condition and results of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retain key personnel hired as a result of the Brigit acquisition.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success of the Brigit acquisition will depend in part on our ability to retain the talent and dedication of key employees of Brigit. It is possible that these employees may decide not to remain with Brigit after the acquisition. If our Brigit segment is unable to retain key employees, including management, who are critical to the successful integration and future operations of the Brigit segment, Brigit could face disruptions in its operations, loss of existing customers, loss of key information, expertise or know-how and unanticipated additional recruitment costs. In addition if key employees terminate their employment, Brigit’s business activities may be adversely affected, and Brigit’s management’s attention may be diverted to hiring suitable replacements, all of which may cause Brigit’s business to suffer. Brigit also may not be able to locate or retain suitable replacements for any key employees who leave Brigit.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 xml:space="preserve">Item 1B. </w:t>
      </w:r>
      <w:r>
        <w:rPr>
          <w:rFonts w:ascii="Times New Roman" w:cs="Times New Roman" w:eastAsia="Times New Roman" w:hAnsi="Times New Roman"/>
          <w:sz w:val="14"/>
          <w:szCs w:val="14"/>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1C. </w:t>
      </w:r>
      <w:r>
        <w:rPr>
          <w:rFonts w:ascii="Times New Roman" w:cs="Times New Roman" w:eastAsia="Times New Roman" w:hAnsi="Times New Roman"/>
          <w:sz w:val="14"/>
          <w:szCs w:val="14"/>
          <w:b w:val="1"/>
          <w:bCs w:val="1"/>
          <w:i w:val="1"/>
          <w:iCs w:val="1"/>
          <w:color w:val="auto"/>
        </w:rPr>
        <w:t>Cybersecurity.</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rely heavily on information systems to meet the operational and financial needs of our business. Therefore, we seek to continuously improve our approach to cybersecurity with the goal of ensuring the confidentiality, integrity and availability of our information resources and to reduce the risk of information loss by accidental or intentional modification, disclosure or destruction. We believe we devote appropriate resources to cybersecurity and risk management processes to adapt to the changing cybersecurity landscape and respond to emerging threats in a timely and effective manner.</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Cybersecurity and Privacy team, which maintains our cybersecurity function, reports to our Chief Technology Officer (“CTO”), who reports directly to our Chief Executive Officer. The Cybersecurity and Privacy team is led by our Chief Information Security Officer (“CISO”), who is responsible for developing and implementing our cybersecurity program and reporting on cybersecurity matters. The CISO reports to the Cybersecurity, Technology and Innovation Committee of our Board of Directors (the “Committee”) at least three times per year. Our CISO has been a cybersecurity leader for more than 20 years, maintains appropriate security certifications, and has extensive experience in building and maintaining cybersecurity risk and compliance programs. The cybersecurity team includes members who also have various levels of cybersecurity experience and maintain relevant cybersecurity certifications. The CISO implements and oversees processes for the regular monitoring of our information systems. This includes the deployment of advanced security controls and technologies and ongoing scanning and testing of Company information systems by internal teams as well as third-party organizations to identify potential vulnerabilities. To maintain knowledge of the latest developments in cybersecurity, evolving threat landscape, and cyber defense techniques, our CISO regularly attends cybersecurity related conferences and events hosted by cybersecurity experts, subscribes to cybersecurity threat intelligence communications and newsletters, and meets with cybersecurity vendors.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strategically integrated cybersecurity risk management into our broader risk management framework to promote a company-wide culture of cybersecurity risk management. We regularly assess the cybersecurity landscape to holistically evaluate the threat of cybersecurity risks and seek to mitigate such risks through a layered cybersecurity strategy based on identification, protection, detection, incident response and recovery. Our Enterprise Cybersecurity Policy includes guidance related to encryption standards, vulnerability management, identity management, end point malware protection, security awareness, remote access, multi-factor authentication, protection of confidential information and the appropriate use of the internet, social media, email and wireless devices. This policy is reviewed for updates annually and approved by appropriate members of management. All coworkers are required to acknowledge review of the policy and complete cybersecurity and privacy awareness training annually. We also provide coworkers with additional cybersecurity training through online offerings, company broadcasts and security awareness events.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Committee was formed in December 2024 and is responsible for cybersecurity, technology and innovation oversight previously performed by the Audit and Risk Committee. It is a committee of the Company’s Board of Directors that actively participates in discussions with management regarding cybersecurity risks and receives periodic reports regarding the Company’s cybersecurity program, which includes discussion of management’s actions to identify and detect threats, remedy audit findings, and review enhancements to the Company’s defenses and management’s progress on implementing its cybersecurity strategy. In addition, the Committee reviews key cybersecurity risks at least three times per year to help ensure such risks are incorporated into the Company’s Enterprise Risk Management framework. The Committee also meets at least three times per year in executive session with the Company's CISO. To assist with their oversight of the Company's cybersecurity programs and mitigation efforts as they relate to the broader cybersecurity landscape, our Committee periodically participates in cybersecurity awareness training or other educational events presented by third-party cybersecurity experts.</w:t>
      </w:r>
    </w:p>
    <w:p>
      <w:pPr>
        <w:spacing w:after="0" w:line="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to assessing our own cybersecurity preparedness, we also consider and evaluate cybersecurity risks associated with the use of third-party service providers. The cybersecurity program has been enhanced to help ensure that critical vendors and other third parties are risk assessed prior to being given access to the Company’s information assets and networks. Additionally, processes are currently in place to review existing third-party access to systems that have a material impact on the financial statements of the Company. Privacy is a critical pillar of the program and we routinely monitor evolving state and federal regulations to help ensure that our systems, networks, websites and applications remain compliant and that necessary controls are in place to protect the privacy of our coworkers and customers. We also formed our Data and AI Governance Committee, which includes company executives, to address the risks of AI-based technology use on an ongoing basis. This committee meets on a quarterly basis.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1" w:name="page42"/>
    <w:bookmarkEnd w:id="41"/>
    <w:p>
      <w:pPr>
        <w:jc w:val="both"/>
        <w:spacing w:after="0" w:line="264" w:lineRule="auto"/>
        <w:rPr>
          <w:sz w:val="20"/>
          <w:szCs w:val="20"/>
          <w:color w:val="auto"/>
        </w:rPr>
      </w:pPr>
      <w:r>
        <w:rPr>
          <w:rFonts w:ascii="Times New Roman" w:cs="Times New Roman" w:eastAsia="Times New Roman" w:hAnsi="Times New Roman"/>
          <w:sz w:val="14"/>
          <w:szCs w:val="14"/>
          <w:color w:val="auto"/>
        </w:rPr>
        <w:t>In the event of a cybersecurity incident, we have developed and implemented a communication and disclosure framework, which includes processes for escalating communication of the event to members of our internal disclosure committee for assessment of materiality and disclosure, executive management team members, internal and external legal counsel, internal and external audit teams, and other internal stakeholders. Significant cybersecurity events and strategic risk management decisions would be directed to the Committee for additional comprehensive oversight of the Company’s response measures and public disclosure of the event as appropriate.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Despite our cybersecurity governance program, we cannot assure you that we will be able to effectively prevent, detect or respond to all cybersecurity incidents, which may have a material adverse impact on our reputation and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space for all of our Rent-A-Center and Mexico stores under operating leases expiring at various times through 2036.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Store sizes average approximately 4,800 square feet. Approximately 75% of each store’s space is generally used for showroom space and 25% for offices and storage space. Our Acima kiosks occupy space without charge in the retailer's location with no lease commitment.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Please see Note M to our consolidated financial statements and “</w:t>
      </w:r>
      <w:r>
        <w:rPr>
          <w:rFonts w:ascii="Times New Roman" w:cs="Times New Roman" w:eastAsia="Times New Roman" w:hAnsi="Times New Roman"/>
          <w:sz w:val="14"/>
          <w:szCs w:val="14"/>
          <w:i w:val="1"/>
          <w:iCs w:val="1"/>
          <w:color w:val="auto"/>
        </w:rPr>
        <w:t>Risks Relating to Legal and Compliance Matters”</w:t>
      </w:r>
      <w:r>
        <w:rPr>
          <w:rFonts w:ascii="Times New Roman" w:cs="Times New Roman" w:eastAsia="Times New Roman" w:hAnsi="Times New Roman"/>
          <w:sz w:val="14"/>
          <w:szCs w:val="14"/>
          <w:color w:val="auto"/>
        </w:rPr>
        <w:t xml:space="preserve"> contained in Item 1A of this Annual Report on Form 10-K for additional discussion of certain of our legal proceedings and governmental inquiries.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2" w:name="page43"/>
    <w:bookmarkEnd w:id="42"/>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Nasdaq Stock Market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under the symbol “UPBD.”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February 13, 2026, there were approximately 86 record holders of our common stock. This figure does not represent the actual number of beneficial owners of common stock because shares are frequently held in “street name” by securities dealers and others for the benefit of individual owners who may vote the shares.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included in this Annual Report on Form 10-K for further discussion of such restrictions.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 of Equity Securities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2021, our Board of Directors authorized a stock repurchase program for up to $500.0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years ended December 31, 2025 and 2024. Approximately $235.0 million remains available for repurchases under the current authorization at December 31,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2020,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4460240" cy="2324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6024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report financial operations under four operating segments, including our Acima segment, which includes our virtual and staffed business models; our Rent-A-Center segment, which includes our company-owned stores, franchise stores, and e-commerce platform through rentacenter.com; and our Brigit and Mexico segments.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51" w:lineRule="exact"/>
        <w:rPr>
          <w:sz w:val="20"/>
          <w:szCs w:val="20"/>
          <w:color w:val="auto"/>
        </w:rPr>
      </w:pPr>
    </w:p>
    <w:p>
      <w:pPr>
        <w:jc w:val="both"/>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similar historical operating and financial data and discussion of our year ended December 31, 2024 results compared to our year ended December 31, 2023 results, refer to Part II. Item 7. “Management’s Discussion and Analysis of Financial Condition and Results of Operations” of our Annual Report on </w:t>
      </w:r>
      <w:hyperlink r:id="rId59">
        <w:r>
          <w:rPr>
            <w:rFonts w:ascii="Times New Roman" w:cs="Times New Roman" w:eastAsia="Times New Roman" w:hAnsi="Times New Roman"/>
            <w:sz w:val="14"/>
            <w:szCs w:val="14"/>
            <w:u w:val="single" w:color="auto"/>
            <w:color w:val="0000FF"/>
          </w:rPr>
          <w:t>Form 10-K</w:t>
        </w:r>
      </w:hyperlink>
      <w:r>
        <w:rPr>
          <w:rFonts w:ascii="Times New Roman" w:cs="Times New Roman" w:eastAsia="Times New Roman" w:hAnsi="Times New Roman"/>
          <w:sz w:val="14"/>
          <w:szCs w:val="14"/>
          <w:color w:val="auto"/>
        </w:rPr>
        <w:t>, for the year ended December 31, 2024, incorporated herein by reference, which was filed with the SEC on February 25,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Brigit Acquisition. </w:t>
      </w:r>
      <w:r>
        <w:rPr>
          <w:rFonts w:ascii="Times New Roman" w:cs="Times New Roman" w:eastAsia="Times New Roman" w:hAnsi="Times New Roman"/>
          <w:sz w:val="14"/>
          <w:szCs w:val="14"/>
          <w:color w:val="auto"/>
        </w:rPr>
        <w:t>On January 31, 2025, we completed the acquisition of Brigit for total consideration of up to $460 million, consisting of approximately $278.7 million in cash consideration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2.7 million shares of Upbound Group, Inc. common stock at closing, $75 million in deferred consideration, payable in multiple installments, and an earnout of up to $60 million based on the achievement of certain financial performance metrics for the Brigit business in 2026. Brigit is a holistic financial health technology company that has helped millions of Americans improve their financial health and literacy, find ways to earn and save money, access their earned wages before their regularly scheduled payday, build their credit through savings, and protect themselves from identity theft. Its mission is to help everyday Americans build a better financial future.</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Segments. </w:t>
      </w:r>
      <w:r>
        <w:rPr>
          <w:rFonts w:ascii="Times New Roman" w:cs="Times New Roman" w:eastAsia="Times New Roman" w:hAnsi="Times New Roman"/>
          <w:sz w:val="14"/>
          <w:szCs w:val="14"/>
          <w:color w:val="auto"/>
        </w:rPr>
        <w:t>On January 31, 2025 we established a new operating segment following the acquisition of Brigit. Please reference Note B in our consolidated financial statements included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Annual Report on Form 10-K for additional discussion of the acquisition. In addition, effective January 1, 2025, we combined our Franchising segment with our Rent-A-Center segment. Financial information disclosed within this report has been recast for the related prior year period to reflect this change. We report four operating segments: Acima, Rent-A-Center, Brigit and Mexico.</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One Big Beautiful Bill Act (“OBBB”)</w:t>
      </w:r>
      <w:r>
        <w:rPr>
          <w:rFonts w:ascii="Times New Roman" w:cs="Times New Roman" w:eastAsia="Times New Roman" w:hAnsi="Times New Roman"/>
          <w:sz w:val="14"/>
          <w:szCs w:val="14"/>
          <w:color w:val="auto"/>
        </w:rPr>
        <w:t>. The OBBB was signed into law on July 4, 2025 and contains a broad range of tax reform provisions, including the reinstatement of 100% bonus depreciation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immediate expensing of domestic R&amp;D under the new § 174A of the Internal Revenue Code. As a result of the new provisions, we expect that OBBB will have a favorable impact on our cash taxes paid in the near term relative to the prior law.</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Term Loan Facility Amendment</w:t>
      </w:r>
      <w:r>
        <w:rPr>
          <w:rFonts w:ascii="Times New Roman" w:cs="Times New Roman" w:eastAsia="Times New Roman" w:hAnsi="Times New Roman"/>
          <w:sz w:val="14"/>
          <w:szCs w:val="14"/>
          <w:color w:val="auto"/>
        </w:rPr>
        <w:t>. On August 19, 2025 we entered into a Fourth Amendment to the Term Loan Facility, effective as of August 19, 2025. The amendment, in addition to certain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at the closing of the amendment, resulting in total aggregate borrowings under the Credit Agreement on such date of $875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Management Changes.</w:t>
      </w:r>
    </w:p>
    <w:p>
      <w:pPr>
        <w:spacing w:after="0" w:line="53" w:lineRule="exact"/>
        <w:rPr>
          <w:sz w:val="20"/>
          <w:szCs w:val="20"/>
          <w:color w:val="auto"/>
        </w:rPr>
      </w:pPr>
    </w:p>
    <w:p>
      <w:pPr>
        <w:ind w:left="520" w:hanging="260"/>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 2025, Mitchell E. Fadel retired from his position as Chief Executive Officer and as a member of the Board of Directors. Fahmi Karam, our former Chief Financial Officer, succeeded Mr. Fadel as Chief Executive Officer and a member of the Board of Directors.</w:t>
      </w: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18, 2025, Rebecca Wooters joined the Company as Executive Vice President, Chief Growth Officer. Ms. Wooters brings more than 30 years of executive leadership in digital transformation, product innovation, technology, and customer engagement. Under the leadership of Ms. Wooters, we have consolidated Upbound’s marketing, data analytics, customer experience, and product development teams into a single integrated group.</w:t>
      </w:r>
    </w:p>
    <w:p>
      <w:pPr>
        <w:spacing w:after="0" w:line="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10, 2025, Mr. Hal Khouri joined the Company as Executive Vice President, Chief Financial Officer. Mr. Khouri has over 30 years of experience in consumer-based banking, financial services, leasing, retail, consulting and government service.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4" w:name="page45"/>
    <w:bookmarkEnd w:id="44"/>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Dividend</w:t>
      </w:r>
      <w:r>
        <w:rPr>
          <w:rFonts w:ascii="Times New Roman" w:cs="Times New Roman" w:eastAsia="Times New Roman" w:hAnsi="Times New Roman"/>
          <w:sz w:val="14"/>
          <w:szCs w:val="14"/>
          <w:color w:val="auto"/>
        </w:rPr>
        <w:t>. On December 4, 2025, we announced that our Board of Directors approved a quarterly cash dividend of $0.39 per share for the first quarter of 2026. The dividend was paid on January 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2026 to our common stockholders of record as of the close of business on December 17, 2025.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Trends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Macroeconomic Conditions. </w:t>
      </w:r>
      <w:r>
        <w:rPr>
          <w:rFonts w:ascii="Times New Roman" w:cs="Times New Roman" w:eastAsia="Times New Roman" w:hAnsi="Times New Roman"/>
          <w:sz w:val="14"/>
          <w:szCs w:val="14"/>
          <w:color w:val="auto"/>
        </w:rPr>
        <w:t>In recent years, we have experienced significant change in business and operational trends driven by macroeconomic conditions, which have directly impacted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spacing w:after="0" w:line="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our businesses have historically remained resilient through various economic cycles, the full extent to which our risk management strategy and these macroeconomic trends (including consumer spending and payment behavior) may impact the Company in future periods is uncertain. The continuation of volatile macroeconomic trends may have a material adverse impact on our financial statements, including our results of operations, operating cash flows, liquidity and capital resources.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“Risk Factors” in Part I, Item 1A in this Annual Report on Form 10-K, for additional discussion of impacts to our business and additional risks associated with macroeconomic conditions.</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Rent-A-Center e-commerce revenue. </w:t>
      </w:r>
      <w:r>
        <w:rPr>
          <w:rFonts w:ascii="Times New Roman" w:cs="Times New Roman" w:eastAsia="Times New Roman" w:hAnsi="Times New Roman"/>
          <w:sz w:val="14"/>
          <w:szCs w:val="14"/>
          <w:color w:val="auto"/>
        </w:rPr>
        <w:t>In recent years, e-commerce revenues have continued to increase as a percentage of total rentals and fees revenue in our Rent-A-Center segment. For the years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December 31, 2025 and 2024, e-commerce revenues represented approximately 27% and 26%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on our financial statements in future periods or be ultimately favorable or unfavorable to our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discussion focuses on our results of operations and our liquidity and capital resources. You should read this discussion in conjunction with the consolidated financial statements and notes thereto for the year ended December 31, 2025 included in Part II, Item 8 of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Metrics</w:t>
      </w:r>
    </w:p>
    <w:p>
      <w:pPr>
        <w:spacing w:after="0" w:line="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Gross Merchandise Volume (“GMV”): </w:t>
      </w:r>
      <w:r>
        <w:rPr>
          <w:rFonts w:ascii="Times New Roman" w:cs="Times New Roman" w:eastAsia="Times New Roman" w:hAnsi="Times New Roman"/>
          <w:sz w:val="14"/>
          <w:szCs w:val="14"/>
          <w:color w:val="auto"/>
        </w:rPr>
        <w:t>The Company defines Gross Merchandise Volume as the retail value in U.S. dollars of merchandise acquired by the Acima segment that is leased to customers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 transaction that occurs within a defined period, net of estimated cancellations as of the measurement date.</w:t>
      </w:r>
    </w:p>
    <w:p>
      <w:pPr>
        <w:spacing w:after="0" w:line="3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Lease Portfolio Value: </w:t>
      </w:r>
      <w:r>
        <w:rPr>
          <w:rFonts w:ascii="Times New Roman" w:cs="Times New Roman" w:eastAsia="Times New Roman" w:hAnsi="Times New Roman"/>
          <w:sz w:val="14"/>
          <w:szCs w:val="14"/>
          <w:color w:val="auto"/>
        </w:rPr>
        <w:t>Represents the aggregate dollar value of the expected monthly rental income associated with current active lease agreements from our Company-owned Rent-A-Center lease-to-own stores and e-commerce platform at the end of any given period.</w:t>
      </w:r>
    </w:p>
    <w:p>
      <w:pPr>
        <w:spacing w:after="0" w:line="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Same Store Lease Portfolio Value</w:t>
      </w:r>
      <w:r>
        <w:rPr>
          <w:rFonts w:ascii="Times New Roman" w:cs="Times New Roman" w:eastAsia="Times New Roman" w:hAnsi="Times New Roman"/>
          <w:sz w:val="14"/>
          <w:szCs w:val="14"/>
          <w:color w:val="auto"/>
        </w:rPr>
        <w:t>: Represents the aggregate dollar value of the expected monthly rental income associated with current active lease 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Same Store Sales: </w:t>
      </w:r>
      <w:r>
        <w:rPr>
          <w:rFonts w:ascii="Times New Roman" w:cs="Times New Roman" w:eastAsia="Times New Roman" w:hAnsi="Times New Roman"/>
          <w:sz w:val="14"/>
          <w:szCs w:val="14"/>
          <w:color w:val="auto"/>
        </w:rPr>
        <w:t>Same store sales generally represents revenue earned in Company-owned Rent-A-Center stores that were operated by us for 13 months or more and are reported on a constant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Lease Charge-Offs (“LCOs”) (previously referred to as “skip/stolen losses”): </w:t>
      </w:r>
      <w:r>
        <w:rPr>
          <w:rFonts w:ascii="Times New Roman" w:cs="Times New Roman" w:eastAsia="Times New Roman" w:hAnsi="Times New Roman"/>
          <w:sz w:val="14"/>
          <w:szCs w:val="14"/>
          <w:color w:val="auto"/>
        </w:rPr>
        <w:t>Represents charge-offs of the net book value of unrecoverable on-rent merchandise with lease-to-own customers who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past due. This is typically expressed as a percentage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of revenues for the applicable period. For the Rent-A-Center segment, LCOs exclude Get It Now, Home Choice and franchise-owned Rent-A-Center locations.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Brigit Net Advance Losses</w:t>
      </w:r>
      <w:r>
        <w:rPr>
          <w:rFonts w:ascii="Times New Roman" w:cs="Times New Roman" w:eastAsia="Times New Roman" w:hAnsi="Times New Roman"/>
          <w:sz w:val="14"/>
          <w:szCs w:val="14"/>
          <w:color w:val="auto"/>
        </w:rPr>
        <w:t>: Represents charge-offs of Brigit uncollectible customer cash advances that are more than 45 days past due. This is typically expressed as a percentage of total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advances originated in the applicable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briefly summarizes certain of our financial information for the year ended December 31, 2025 as compared to the year ended December 31, 2024.</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2025, consolidated revenues and gross profit increased by approximately $374.5 million and $191.3 million, respectively, primarily due to the addition of Brigit segment revenues and an increase in the Acima segment revenues, partially offset by a decrease in Rent-A-Center segment revenues described below. Operating profit decreased by approximately $68.3 million, primarily due to increases in non-labor operating expenses, other gains and charges and general and administrative expenses of $138.3 million, $107.6 million and $19.5 million, respectively, partially offset by the increase in gross profit noted above and a decrease in operating labor expenses of $6.9 million.</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Acima segment revenues increased approximately $251.0 million for the year ended December 31, 2025, due to increases in rentals and fees revenues and merchandise sales of $192.5 million and $59.0 million, respectively, primarily resulting from higher GMV of 8.6%. Growth in GMV was primarily due to an increase in third-party retailer locations and productivity, which resulted in more leases per retailer, and expanded direct-to-consumer offerings. Operating profit increased approximately $39.4 million for the year ended December 31, 2025, primarily due to an increase in gross profit of $60.3 million and decreases in operating labor costs and other gains and charges of $4.4 million and $1.7 million, respectively, partially offset by an increase in non-labor operating expenses of $26.4 million. See “Segment Performance” below for further discussion of Acima segment operating results for the year ended December 31, 2025.</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Revenues in our Rent-A-Center segment decreased approximately $83.2 million for the year ended December 31, 2025, due to decreases in same store sales of 2.2% and lower corporate-owned store count as a result of prior year store closures, resulting in decreases in rentals and fees revenues and merchandise sales of $79.9 million and $3.5 million, respectively. Operating profit decreased approximately $47.6 million for the year ended December 31, 2025, primarily due to a decrease in gross profit of approximately $51.1 million driven by lower revenues, in addition to higher general and administrative expenses and other gains and charges of approximately $9.1 million and $6.2 million, respectively, partially offset by decreases in non-labor operating expenses and operating labor expense of approximately $13.2 million and $6.4 million, respectively. See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Segment Performance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below for further discussion of Rent-A-Center segment operating results for the year ended December 31, 2025.</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Brigit segment had revenues and operating profit of $206.0 million and $30.7 million, respectively, during the period beginning on the Closing Date and ending on December 31, 2025. See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Segment Performance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below for further discussion of Brigit segment operating results for the year ended December 31, 2025.</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Mexico segment revenues and gross profit increased by 0.8% and 0.2% for the year ended December 31, 2025, respectively, primarily due to increases in rentals and fees revenue, partially offset by negative impacts of exchange rate fluctuations. Operating profit increased 13.4%, primarily due to an increase in gross profit and a decrease in general and administrative expenses, partially offset by negative impacts of exchange rate fluctuations. See “Segment Performance” below for further discussion of Mexico segment operating results for the year ended December 31, 2025.</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flow from operations was $305.6 million for the year ended December 31, 2025. As of December 31, 2025, we held $120.5 million of cash and cash equivalents and had outstanding indebtedness of $1.6 billion.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auto"/>
        </w:rPr>
        <w:t>The following table is a reference for the discussion that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1"/>
                <w:szCs w:val="11"/>
                <w:b w:val="1"/>
                <w:bCs w:val="1"/>
                <w:color w:val="auto"/>
              </w:rPr>
              <w:t>2025-2024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Rentals and fees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3,627,019</w:t>
            </w:r>
          </w:p>
        </w:tc>
        <w:tc>
          <w:tcPr>
            <w:tcW w:w="10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113,361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Merchandise sales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829,268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773,744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55,524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Subscription and fees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32,750</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51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4,695,061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374,497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rentals and fees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1,441,758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1,355,539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merchandise sold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957,621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subscription and fees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3"/>
        </w:trPr>
        <w:tc>
          <w:tcPr>
            <w:tcW w:w="51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cost of revenues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2,423,352</w:t>
            </w: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2,240,213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183,139</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r>
      <w:tr>
        <w:trPr>
          <w:trHeight w:val="158"/>
        </w:trPr>
        <w:tc>
          <w:tcPr>
            <w:tcW w:w="51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Gross profit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2,271,709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2,080,351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191,358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51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labor</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602,301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609,169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Non-labor operating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949,918</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811,635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138,283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17.0 %</w:t>
            </w:r>
          </w:p>
        </w:tc>
      </w:tr>
      <w:tr>
        <w:trPr>
          <w:trHeight w:val="168"/>
        </w:trPr>
        <w:tc>
          <w:tcPr>
            <w:tcW w:w="51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231,963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r>
      <w:tr>
        <w:trPr>
          <w:trHeight w:val="172"/>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68"/>
        </w:trPr>
        <w:tc>
          <w:tcPr>
            <w:tcW w:w="5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Other gains and charges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212,221</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104,580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107,641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102.9 %</w:t>
            </w:r>
          </w:p>
        </w:tc>
      </w:tr>
      <w:tr>
        <w:trPr>
          <w:trHeight w:val="163"/>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2,048,362</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1,788,720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259,642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14.5 %</w:t>
            </w:r>
          </w:p>
        </w:tc>
      </w:tr>
      <w:tr>
        <w:trPr>
          <w:trHeight w:val="158"/>
        </w:trPr>
        <w:tc>
          <w:tcPr>
            <w:tcW w:w="512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Operating profit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223,347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291,631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(68,284)</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refinancing charges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6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net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110,362</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107,486</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3"/>
        </w:trPr>
        <w:tc>
          <w:tcPr>
            <w:tcW w:w="5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(69,450)</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68"/>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34,849</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(19,214)</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188"/>
        </w:trPr>
        <w:tc>
          <w:tcPr>
            <w:tcW w:w="5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Net earnings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(50,236)</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nm - percent change is not meaningful for comparison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2024</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Revenue. </w:t>
      </w:r>
      <w:r>
        <w:rPr>
          <w:rFonts w:ascii="Times New Roman" w:cs="Times New Roman" w:eastAsia="Times New Roman" w:hAnsi="Times New Roman"/>
          <w:sz w:val="14"/>
          <w:szCs w:val="14"/>
          <w:color w:val="auto"/>
        </w:rPr>
        <w:t>Total revenue increased by $374.5 million, or 8.7%, to $4,695.1 million for the year ended December 31, 2025, from $4,320.6 million for 2024, primarily due to an increase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$251.0 million in the Acima segment and the addition of the Brigit segment with $206.0 million in revenue, partially offset by a decrease of approximately $83.2 million in the Rent-A-Center segment, as discussed further in the “Segment Performance” section below.</w:t>
      </w:r>
    </w:p>
    <w:p>
      <w:pPr>
        <w:spacing w:after="0" w:line="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i w:val="1"/>
          <w:iCs w:val="1"/>
          <w:color w:val="auto"/>
        </w:rPr>
        <w:t xml:space="preserve">Cost of Rentals and Fees. </w:t>
      </w:r>
      <w:r>
        <w:rPr>
          <w:rFonts w:ascii="Times New Roman" w:cs="Times New Roman" w:eastAsia="Times New Roman" w:hAnsi="Times New Roman"/>
          <w:sz w:val="14"/>
          <w:szCs w:val="14"/>
          <w:color w:val="auto"/>
        </w:rPr>
        <w:t>Cost of rentals and fees consists primarily of depreciation of rental merchandise. Cost of rentals and fees for the year ended December 31, 2025 increased by $86.3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6.4%, to $1,441.8 million, as compared to $1,355.5 million in 2024. The increase was primarily attributable to an increase of approximately $116.5 million in the Acima segment driven by an increase in rentals and fees revenues, partially offset by a decrease of approximately $30.8 million in the Rent-A-Center segment resulting from a decrease in rentals and fees revenue. Cost of rentals and fees expressed as a percentage of rentals and fees revenue increased to 39.8% for the year ended December 31, 2025, as compared to 38.6% in 2024, primarily due to the continued growth of the Acima segment as a percent of total rentals and fees revenue.</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Cost of Merchandise Sold. </w:t>
      </w:r>
      <w:r>
        <w:rPr>
          <w:rFonts w:ascii="Times New Roman" w:cs="Times New Roman" w:eastAsia="Times New Roman" w:hAnsi="Times New Roman"/>
          <w:sz w:val="14"/>
          <w:szCs w:val="14"/>
          <w:color w:val="auto"/>
        </w:rPr>
        <w:t>Cost of merchandise sold represents the net book value of rental merchandise at time of sale. Cost of merchandise sold increased by $72.9 million, or 8.2%,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$957.6 million for the year ended December 31, 2025, from $884.7 million in 2024, primarily attributable to an increase of $74.3 million in the Acima segment primarily driven by higher merchandise sales. The gross margin percent of merchandise sales decreased to (15.5)% for the year ended December 31, 2025, from (14.3)% in 2024 primarily due to the conversion of Acceptance Now locations to the Acima Holdings Lease Management platform.</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7" w:name="page48"/>
    <w:bookmarkEnd w:id="47"/>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increased by $191.3 million, or 9.2%, to $2,271.7 million for the year ended December 31, 2025, from $2,080.4 million in 2024, primarily due to the addition of the Brigit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with $182.1 million in gross profit and an increase of $60.3 million in the Acima segment, partially offset by a decrease of approximately $51.1 million in the Rent-A-Center segment, as discussed further in the “Segment Performance” section below. Gross profit as a percentage of total revenue increased to 48.4% in 2025, as compared to 48.1% in 2024.</w:t>
      </w:r>
    </w:p>
    <w:p>
      <w:pPr>
        <w:spacing w:after="0" w:line="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Operating Labor. </w:t>
      </w:r>
      <w:r>
        <w:rPr>
          <w:rFonts w:ascii="Times New Roman" w:cs="Times New Roman" w:eastAsia="Times New Roman" w:hAnsi="Times New Roman"/>
          <w:sz w:val="14"/>
          <w:szCs w:val="14"/>
          <w:color w:val="auto"/>
        </w:rPr>
        <w:t>Operating labor includes all salaries and wages paid to operational employees and district managers, together with payroll taxes and benefits. Operating labor decreased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$6.9 million, or 1.1%, to $602.3 million for the year ended December 31, 2025, as compared to $609.2 million in 2024, primarily due to decreases of $6.4 million and $4.4 million in the Rent-A-Center and Acima segments, respectively, partially offset by the addition of the Brigit segment with $4.0 million in operating labor. The decrease in Rent-A-Center operating labor was primarily attributable to a decrease in corporate-owned store count, resulting from prior year store closures and refranchising. Operating labor expressed as a percentage of total revenue was 12.8% for the year ended December 31, 2025, as compared to 14.1% in 2024.</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Non-Labor Operating Expenses. </w:t>
      </w:r>
      <w:r>
        <w:rPr>
          <w:rFonts w:ascii="Times New Roman" w:cs="Times New Roman" w:eastAsia="Times New Roman" w:hAnsi="Times New Roman"/>
          <w:sz w:val="14"/>
          <w:szCs w:val="14"/>
          <w:color w:val="auto"/>
        </w:rPr>
        <w:t>Non-labor operating expenses include LCOs, occupancy, delivery, advertising, selling, insurance, travel and other operating expenses. Non-labor operating expenses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by $138.3 million, or 17.0%, to $949.9 million for the year ended December 31, 2025, as compared to $811.6 million in 2024, primarily due to the addition of the Brigit segment with $124.5 million in non-labor operating expenses and an increase of approximately $26.4 million in the Acima segment primarily related to an increase of $27.2 million in lease charge-off expense, partially offset by a decrease of approximately $13.2 million in the Rent-A-Center segment, primarily attributable to decreases of $11.3 million in lease-to-own store merchandise losses. Non-labor operating expenses expressed as a percentage of total revenue was 20.2% for the year ended December 31, 2025, as compared to 18.8% in 2024.</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include all corporate overhead expenses related to our headquarters such as salaries, payroll taxes and benefits, stock-based compensation, occupancy, administrative and other expenses, as well as salaries and labor costs for our regional directors, divisional vice presidents and executive vice presidents. General and administrative expenses increased by $19.5 million, or 9.2%, to $232.0 million for the year ended December 31, 2025, as compared to $212.5 million in 2024, primarily due to an increase in the allowance for doubtful accounts of $9.5 million related to franchising trade receivables, and the addition of the Brigit segment with $7.3 million in general and administrative expenses. General and administrative expenses expressed as a percentage of total revenue were 4.9% for both the years ended December 31, 2025 and 2024.</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Other gains and charges. </w:t>
      </w:r>
      <w:r>
        <w:rPr>
          <w:rFonts w:ascii="Times New Roman" w:cs="Times New Roman" w:eastAsia="Times New Roman" w:hAnsi="Times New Roman"/>
          <w:sz w:val="14"/>
          <w:szCs w:val="14"/>
          <w:color w:val="auto"/>
        </w:rPr>
        <w:t>Other gains and charges increased by $107.6 million to $212.2 million in 2025, as compared to $104.6 million in 2024. The increase in other gains and charges was driven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by increases of $60.1 million related to the Brigit acquisition, including depreciation and amortization of the fair value of acquired software and intangible assets, stock compensation expense related to the vesting of a portion of the equity consideration, other compensation and transaction costs, $60.7 million in estimated legal accruals and related litigation and defense expenses described further in Note M of our consolidated financial statements and $7.0 million in lease impairment charges and fixed asset disposals, partially offset by decreases of $6.1 million in accelerated software depreciation, $4.9 million in stock compensation expense related to restricted stock issued in connection with the Acima Holdings acquisition, $3.5 million in accelerated stock compensation expense related to our letter agreement with the Company’s former Chief Executive Officer and $1.7 million in depreciation and amortization of acquired software and intangible assets in connection with the Acima Holdings acquisition for the year ended December 31, 2025.</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decreased by $68.3 million, or 23.4%, to $223.3 million for the year ended December 31, 2025, as compared to $291.6 million in 2024, primarily due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increases in non-labor operating expenses, other gains and charges and general and administrative expenses, partially offset by an increase in gross profit and decreases in operating labor, as described above. Operating profit expressed as a percentage of total revenue was 4.8% for the year ended December 31, 2025, compared to 6.7% in 2024.</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Income tax expense decreased by $19.3 million to $34.8 million for the year ended December 31, 2025, as compared to $54.1 million in 2024, primarily due to the decrease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earnings before income taxes for the year ended December 31, 2025 compared to 2024, partially offset by a higher effective tax rate for the year ended December 31, 2025 attributable to the tax impact on non-deductible expenses related to the Brigit acquisition. See Note J of our consolidated financial statements included in this Annual Report on Form 10-K for additional information regarding our effective tax rate.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Segment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Acima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2025-2024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2,512,484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2,261,446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251,038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762,889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702,620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60,269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294,971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255,549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39,422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15.4 %</w:t>
            </w:r>
          </w:p>
        </w:tc>
      </w:tr>
      <w:tr>
        <w:trPr>
          <w:trHeight w:val="219"/>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merchandise volume</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2,010,051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1,851,616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r>
    </w:tbl>
    <w:p>
      <w:pPr>
        <w:spacing w:after="0" w:line="1" w:lineRule="exact"/>
        <w:rPr>
          <w:sz w:val="20"/>
          <w:szCs w:val="20"/>
          <w:color w:val="auto"/>
        </w:rPr>
      </w:pPr>
    </w:p>
    <w:p>
      <w:pPr>
        <w:ind w:left="100" w:hanging="95"/>
        <w:spacing w:after="0"/>
        <w:tabs>
          <w:tab w:leader="none" w:pos="10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The increase in revenues for the year ended December 31, 2025, as compared to 2024, was primarily due to increases in rentals and fees revenues and merchandise sales revenue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$192.5 million and $59.0 million, respectively, resulting from higher GMV. Growth in GMV was primarily due to an increase in new third-party retailer locations and productivity, which resulted in more leases per retailer, in addition to expanded direct-to-consumer offerings.</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increased for the year ended December 31, 2025, as compared to 2024, driven primarily by the increase in revenues described above. Gross profit as a percentage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revenues decreased to 30.4% for the year ended December 31, 2025, compared to 31.1% in 2024, primarily due to the conversion of Acceptance Now locations to the Acima Holdings Lease Management platform.</w:t>
      </w:r>
    </w:p>
    <w:p>
      <w:pPr>
        <w:spacing w:after="0" w:line="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Operating Profit</w:t>
      </w:r>
      <w:r>
        <w:rPr>
          <w:rFonts w:ascii="Times New Roman" w:cs="Times New Roman" w:eastAsia="Times New Roman" w:hAnsi="Times New Roman"/>
          <w:sz w:val="14"/>
          <w:szCs w:val="14"/>
          <w:color w:val="auto"/>
        </w:rPr>
        <w:t>. Operating profit as a percentage of segment revenues increased to 11.7% for the year ended December 31, 2025, compared to 11.3% in 2024. The increase in operating profit margin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primarily due to higher revenues described above, resulting in a decrease of 1.2% in operating expenses as a percentage of total revenue, partially offset by the increase in gross profit margin described above. Merchandise losses in our Acima locations due to LCOs, expressed as a percentage of revenues, were approximately 9.5% in 2025, compared to 9.4% in 2024. Merchandise losses in our Acima locations due to other merchandise losses, expressed as a percentage of revenues, were 0.4% in 2025, as compared to 0.2% in 2024. Other merchandise losses include unrepairable and missing merchandise and loss/damage waiver claims.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Rent-A-Center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2025-2024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1,897,161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1,980,392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(83,231)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1,270,231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1,321,299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(51,068)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249,521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297,160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(47,639)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Lease portfolio value</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137,375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136,751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r>
      <w:tr>
        <w:trPr>
          <w:trHeight w:val="170"/>
        </w:trPr>
        <w:tc>
          <w:tcPr>
            <w:tcW w:w="51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Same store lease portfolio value</w:t>
            </w:r>
            <w:r>
              <w:rPr>
                <w:rFonts w:ascii="Times New Roman" w:cs="Times New Roman" w:eastAsia="Times New Roman" w:hAnsi="Times New Roman"/>
                <w:sz w:val="16"/>
                <w:szCs w:val="16"/>
                <w:color w:val="auto"/>
                <w:vertAlign w:val="superscript"/>
              </w:rPr>
              <w:t>(1)</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121,657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120,776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Change in same store sales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Stores in same store sales calculation</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1,557</w:t>
            </w:r>
          </w:p>
        </w:tc>
      </w:tr>
    </w:tbl>
    <w:p>
      <w:pPr>
        <w:spacing w:after="0" w:line="51" w:lineRule="exact"/>
        <w:rPr>
          <w:sz w:val="20"/>
          <w:szCs w:val="20"/>
          <w:color w:val="auto"/>
        </w:rPr>
      </w:pPr>
    </w:p>
    <w:p>
      <w:pPr>
        <w:ind w:left="100" w:hanging="95"/>
        <w:spacing w:after="0"/>
        <w:tabs>
          <w:tab w:leader="none" w:pos="10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The decrease in revenue for the year ended December 31, 2025, as compared to 2024, was primarily due to decreases in same store sales of 2.2% generally resulting from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underwriting adjustments implemented in prior periods. In addition, the decrease in revenue for the year ended December 31, 2025 was also driven by lower corporate-owned store count due to prior year store closures.</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decreased in 2025, as compared to 2024, driven primarily by the decrease in revenues described above. Gross profit as a percentage of segment revenues increased to 67.0%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2025 from 66.7% in 2024, primarily due to mix-shift changes between lease merchandise product categories.</w:t>
      </w:r>
    </w:p>
    <w:p>
      <w:pPr>
        <w:spacing w:after="0" w:line="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as a percentage of segment revenues was 13.2% for 2025, as compared to 15.0% for 2024. The decrease in operating profit margin for the year ended December 31,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 was primarily due to an increase in other gains and charges of $6.2 million, primarily due to impairment charges and shutdown costs related to closure of refranchised locations. The decrease in operating profit margin for the year ended December 31, 2025 was also attributable to an increase in general and administrative expenses of $9.1 million, primarily driven by increase in the allowance for doubtful accounts related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49" w:name="page50"/>
    <w:bookmarkEnd w:id="49"/>
    <w:p>
      <w:pPr>
        <w:jc w:val="both"/>
        <w:spacing w:after="0" w:line="264" w:lineRule="auto"/>
        <w:rPr>
          <w:sz w:val="20"/>
          <w:szCs w:val="20"/>
          <w:color w:val="auto"/>
        </w:rPr>
      </w:pPr>
      <w:r>
        <w:rPr>
          <w:rFonts w:ascii="Times New Roman" w:cs="Times New Roman" w:eastAsia="Times New Roman" w:hAnsi="Times New Roman"/>
          <w:sz w:val="14"/>
          <w:szCs w:val="14"/>
          <w:color w:val="auto"/>
        </w:rPr>
        <w:t>to franchising trade receivables. Merchandise losses in our Rent-A-Center lease-to-own stores due to LCOs, expressed as a percentage of Rent-A-Center lease-to-own revenues, were approximately 4.7% for both years ended December 31, 2025 and 2024. Merchandise losses in our Rent-A-Center lease-to-own stores due to other merchandise losses, expressed as a percentage of Rent-A-Center lease-to-own revenues, were approximately 1.0% for the year ended December 31, 2025, compared to 1.3% in 2024. Other merchandise losses include unrepairable and missing merchandise and loss/damage waiver claims.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Brigit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2025-2024 Change</w:t>
            </w:r>
          </w:p>
        </w:tc>
        <w:tc>
          <w:tcPr>
            <w:tcW w:w="920" w:type="dxa"/>
            <w:vAlign w:val="bottom"/>
            <w:tcBorders>
              <w:bottom w:val="single" w:sz="8" w:color="auto"/>
            </w:tcBorders>
          </w:tcPr>
          <w:p>
            <w:pPr>
              <w:spacing w:after="0"/>
              <w:rPr>
                <w:sz w:val="13"/>
                <w:szCs w:val="13"/>
                <w:color w:val="auto"/>
              </w:rPr>
            </w:pPr>
          </w:p>
        </w:tc>
      </w:tr>
      <w:tr>
        <w:trPr>
          <w:trHeight w:val="154"/>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right="458"/>
              <w:spacing w:after="0"/>
              <w:rPr>
                <w:sz w:val="20"/>
                <w:szCs w:val="20"/>
                <w:color w:val="auto"/>
              </w:rPr>
            </w:pPr>
            <w:r>
              <w:rPr>
                <w:rFonts w:ascii="Times New Roman" w:cs="Times New Roman" w:eastAsia="Times New Roman" w:hAnsi="Times New Roman"/>
                <w:sz w:val="13"/>
                <w:szCs w:val="13"/>
                <w:color w:val="auto"/>
                <w:w w:val="96"/>
              </w:rPr>
              <w:t>nm</w:t>
            </w: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182,051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182,051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ind w:right="458"/>
              <w:spacing w:after="0"/>
              <w:rPr>
                <w:sz w:val="20"/>
                <w:szCs w:val="20"/>
                <w:color w:val="auto"/>
              </w:rPr>
            </w:pPr>
            <w:r>
              <w:rPr>
                <w:rFonts w:ascii="Times New Roman" w:cs="Times New Roman" w:eastAsia="Times New Roman" w:hAnsi="Times New Roman"/>
                <w:sz w:val="13"/>
                <w:szCs w:val="13"/>
                <w:color w:val="auto"/>
                <w:w w:val="96"/>
              </w:rPr>
              <w:t>nm</w:t>
            </w: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30,656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30,656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right="458"/>
              <w:spacing w:after="0"/>
              <w:rPr>
                <w:sz w:val="20"/>
                <w:szCs w:val="20"/>
                <w:color w:val="auto"/>
              </w:rPr>
            </w:pPr>
            <w:r>
              <w:rPr>
                <w:rFonts w:ascii="Times New Roman" w:cs="Times New Roman" w:eastAsia="Times New Roman" w:hAnsi="Times New Roman"/>
                <w:sz w:val="13"/>
                <w:szCs w:val="13"/>
                <w:color w:val="auto"/>
                <w:w w:val="96"/>
              </w:rPr>
              <w:t>nm</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nm - percent change is not meaningful for comparison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Revenues for the year ended December 31, 2025 included subscription, transfer fee and marketplace revenues of $143.7 million, $42.0 million, and $20.3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as a percentage of segment revenues was 88.4% for the year ended December 31, 2025.</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Operating profit as a percentage of segment revenues was 14.9% for the year ended December 31, 2025. Net advance losses expressed as a percentage of total cash advances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originated was approximately 3.0% for the year ended December 31, 2025.</w:t>
      </w:r>
    </w:p>
    <w:p>
      <w:pPr>
        <w:spacing w:after="0" w:line="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Please refer to Note B of our consolidated financial statements included in this Annual Report on Form 10-K for information about the acquisition of Brigit, which was completed on January 31, 2025.</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2025-2024 Change</w:t>
            </w:r>
          </w:p>
        </w:tc>
        <w:tc>
          <w:tcPr>
            <w:tcW w:w="960" w:type="dxa"/>
            <w:vAlign w:val="bottom"/>
            <w:tcBorders>
              <w:bottom w:val="single" w:sz="8" w:color="auto"/>
            </w:tcBorders>
          </w:tcPr>
          <w:p>
            <w:pPr>
              <w:spacing w:after="0"/>
              <w:rPr>
                <w:sz w:val="13"/>
                <w:szCs w:val="13"/>
                <w:color w:val="auto"/>
              </w:rPr>
            </w:pPr>
          </w:p>
        </w:tc>
      </w:tr>
      <w:tr>
        <w:trPr>
          <w:trHeight w:val="154"/>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6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56,538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56,432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profit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13.4 %</w:t>
            </w:r>
          </w:p>
        </w:tc>
      </w:tr>
      <w:tr>
        <w:trPr>
          <w:trHeight w:val="170"/>
        </w:trPr>
        <w:tc>
          <w:tcPr>
            <w:tcW w:w="51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Change in same store sales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Stores in same store sales calculation</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125</w:t>
            </w:r>
          </w:p>
        </w:tc>
      </w:tr>
    </w:tbl>
    <w:p>
      <w:pPr>
        <w:spacing w:after="0" w:line="51" w:lineRule="exact"/>
        <w:rPr>
          <w:sz w:val="20"/>
          <w:szCs w:val="20"/>
          <w:color w:val="auto"/>
        </w:rPr>
      </w:pPr>
    </w:p>
    <w:p>
      <w:pPr>
        <w:ind w:left="100" w:hanging="95"/>
        <w:spacing w:after="0"/>
        <w:tabs>
          <w:tab w:leader="none" w:pos="100" w:val="left"/>
        </w:tabs>
        <w:numPr>
          <w:ilvl w:val="0"/>
          <w:numId w:val="2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See </w:t>
      </w:r>
      <w:r>
        <w:rPr>
          <w:rFonts w:ascii="Times New Roman" w:cs="Times New Roman" w:eastAsia="Times New Roman" w:hAnsi="Times New Roman"/>
          <w:sz w:val="9"/>
          <w:szCs w:val="9"/>
          <w:i w:val="1"/>
          <w:iCs w:val="1"/>
          <w:color w:val="auto"/>
        </w:rPr>
        <w:t>Key Metrics</w:t>
      </w:r>
      <w:r>
        <w:rPr>
          <w:rFonts w:ascii="Times New Roman" w:cs="Times New Roman" w:eastAsia="Times New Roman" w:hAnsi="Times New Roman"/>
          <w:sz w:val="9"/>
          <w:szCs w:val="9"/>
          <w:color w:val="auto"/>
        </w:rPr>
        <w:t xml:space="preserve"> described above for additional information</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Revenues. </w:t>
      </w:r>
      <w:r>
        <w:rPr>
          <w:rFonts w:ascii="Times New Roman" w:cs="Times New Roman" w:eastAsia="Times New Roman" w:hAnsi="Times New Roman"/>
          <w:sz w:val="14"/>
          <w:szCs w:val="14"/>
          <w:color w:val="auto"/>
        </w:rPr>
        <w:t>Exchange rate fluctuations negatively impacted revenues by approximately $4.2 million for the year ended December 31, 2025, as compared to 2024. On a constant currency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revenues for the year ended December 31, 2025 increased approximately $4.9 million, as compared to 2024.</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Exchange rate fluctuations negatively impacted gross profit by approximately $3.1 million for the year ended December 31, 2025, as compared to 2024. On a constant currency basis,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gross profit for the year ended December 31, 2025 increased by approximately $3.2 million, as compared to 2024. Gross profit as a percentage of segment revenues was 71.2% for the year ended December 31, 2025, as compared to 71.7% for 2024.</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Profit. </w:t>
      </w:r>
      <w:r>
        <w:rPr>
          <w:rFonts w:ascii="Times New Roman" w:cs="Times New Roman" w:eastAsia="Times New Roman" w:hAnsi="Times New Roman"/>
          <w:sz w:val="14"/>
          <w:szCs w:val="14"/>
          <w:color w:val="auto"/>
        </w:rPr>
        <w:t>Exchange rate fluctuations negatively impacted operating profit by approximately $0.4 million for the year ended December 31, 2025, as compared to 2024. On a constant currency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basis, operating profit for the year ended December 31, 2025 increased by approximately $1.0 million, as compared to 2024. Operating profit as a percentage of segment revenues increased to 6.9% for the year ended December 31, 2025, as compared to 6.1% for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Overview. </w:t>
      </w:r>
      <w:r>
        <w:rPr>
          <w:rFonts w:ascii="Times New Roman" w:cs="Times New Roman" w:eastAsia="Times New Roman" w:hAnsi="Times New Roman"/>
          <w:sz w:val="14"/>
          <w:szCs w:val="14"/>
          <w:color w:val="auto"/>
        </w:rPr>
        <w:t>For the year ended December 31, 2025, we generated $305.6 million in operating cash flow, used cash in the amount of $516.6 million for debt repayments, $278.9 million for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$87.9 million for dividends, $66.9 million for capital expenditures, and $58.2 million for customer cash advance originations net of collections, and had cash proceeds from indebtedness of $776.0 million. We ended the year with $120.5 million of cash and cash equivalents and outstanding indebtedness of $1.6 billion.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0" w:name="page51"/>
    <w:bookmarkEnd w:id="50"/>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Analysis of Cash Flow. </w:t>
      </w:r>
      <w:r>
        <w:rPr>
          <w:rFonts w:ascii="Times New Roman" w:cs="Times New Roman" w:eastAsia="Times New Roman" w:hAnsi="Times New Roman"/>
          <w:sz w:val="14"/>
          <w:szCs w:val="14"/>
          <w:color w:val="auto"/>
        </w:rPr>
        <w:t>Cash provided by operating activities increased by $200.9 million to $305.6 million in 2025, from $104.7 million in 2024, primarily due to an increase of approximately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$180.7 million in cash provided by net earnings (net earnings less adjustments to reconcile net earnings to net cash provided by operating activities), which was benefited by $30.7 million in operating income generated by the Brigit operating segment following the acquisition; a year-over-year decrease of approximately $82.3 million in payments of outstanding inventory and trade payables primarily due to higher payments of outstanding inventory payables made in early 2024; and a year-over-year decrease in income taxes paid, net of refunds, of approximately $32.6 million. . These impacts were partially offset by higher inventory purchases of approximately $165.4 million, net of approximately $47.1 million of customer lease buyouts through early purchase options, lease charge-offs, and other merchandise losses, driven by increased consumer demand.</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used in investing activities increased by $362.2 million to $403.7 million in 2025, compared to $41.5 million in 2024, primarily due to payment of cash consideration for the acquisition of Brigit of $275.9 million and $58.2 million for customer cash advance originations net of collections, in addition to higher proceeds from sale of property assets of $18.7 million for the year ended December 31, 2024 resulting from the sale of 55 Rent-A-Center stores in the states of New York and New Jersey to a franchisee.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provided by (used in) financing activities increased by $250.0 million to $156.5 million in 2025, compared to $(93.5) million in 2024, primarily due to an increase in borrowings under the ABL Credit Facility of $456.0 million, partially offset by an increase in debt repayments of $192.8 million for the year ended December 31, 2025.</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Liquidity Requirements</w:t>
      </w:r>
      <w:r>
        <w:rPr>
          <w:rFonts w:ascii="Times New Roman" w:cs="Times New Roman" w:eastAsia="Times New Roman" w:hAnsi="Times New Roman"/>
          <w:sz w:val="14"/>
          <w:szCs w:val="14"/>
          <w:color w:val="auto"/>
        </w:rPr>
        <w:t>. Our primary liquidity requirements are for rental merchandise purchases in our Acima and Rent-A-Center segments, which are impacted by consumer demand for our lease-to-own solutions, and customer advances in our Brigit segment. Other capital requirements include expenditures for technology and property assets, and debt service. Our primary source of liquidity has been cash provided by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generally utilize our ABL Credit Facility for the issuance of letters of credit to manage normal fluctuations in operational cash flow caused by the timing of cash payments relative to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February 13, 2026, we had approximately $102.4 million in cash on hand and $216.6 million available under our ABL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Merchandise Losses</w:t>
      </w:r>
      <w:r>
        <w:rPr>
          <w:rFonts w:ascii="Times New Roman" w:cs="Times New Roman" w:eastAsia="Times New Roman" w:hAnsi="Times New Roman"/>
          <w:sz w:val="14"/>
          <w:szCs w:val="14"/>
          <w:color w:val="auto"/>
        </w:rPr>
        <w:t>. Merchandise losses consist of the following: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5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charge-offs</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316,402</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284,703</w:t>
            </w:r>
          </w:p>
        </w:tc>
      </w:tr>
      <w:tr>
        <w:trPr>
          <w:trHeight w:val="170"/>
        </w:trPr>
        <w:tc>
          <w:tcPr>
            <w:tcW w:w="43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merchandise losses</w:t>
            </w:r>
            <w:r>
              <w:rPr>
                <w:rFonts w:ascii="Times New Roman" w:cs="Times New Roman" w:eastAsia="Times New Roman" w:hAnsi="Times New Roman"/>
                <w:sz w:val="16"/>
                <w:szCs w:val="16"/>
                <w:color w:val="auto"/>
                <w:vertAlign w:val="superscript"/>
              </w:rPr>
              <w:t>(1)</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27,136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30,670</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29,112</w:t>
            </w:r>
          </w:p>
        </w:tc>
      </w:tr>
      <w:tr>
        <w:trPr>
          <w:trHeight w:val="185"/>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merchandise losses</w:t>
            </w: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366,135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347,072</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313,815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80" w:hanging="111"/>
        <w:spacing w:after="0"/>
        <w:tabs>
          <w:tab w:leader="none" w:pos="180" w:val="left"/>
        </w:tabs>
        <w:numPr>
          <w:ilvl w:val="0"/>
          <w:numId w:val="23"/>
        </w:numPr>
        <w:rPr>
          <w:rFonts w:ascii="Arial" w:cs="Arial" w:eastAsia="Arial" w:hAnsi="Arial"/>
          <w:sz w:val="13"/>
          <w:szCs w:val="13"/>
          <w:color w:val="auto"/>
          <w:vertAlign w:val="superscript"/>
        </w:rPr>
      </w:pPr>
      <w:r>
        <w:rPr>
          <w:rFonts w:ascii="Times New Roman" w:cs="Times New Roman" w:eastAsia="Times New Roman" w:hAnsi="Times New Roman"/>
          <w:sz w:val="10"/>
          <w:szCs w:val="10"/>
          <w:color w:val="auto"/>
        </w:rPr>
        <w:t>Other merchandise losses include unrepairable and missing merchandise, and loss/damage waiver claims.</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Capital Expenditures</w:t>
      </w:r>
      <w:r>
        <w:rPr>
          <w:rFonts w:ascii="Times New Roman" w:cs="Times New Roman" w:eastAsia="Times New Roman" w:hAnsi="Times New Roman"/>
          <w:sz w:val="14"/>
          <w:szCs w:val="14"/>
          <w:color w:val="auto"/>
        </w:rPr>
        <w:t>. We make capital expenditures in order to maintain our existing operations, acquire new capital assets in new and acquired stores and invest in information technology. We spent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$66.9 million, $56.3 million and $53.4 million on capital expenditures in the years 2025, 2024 and 2023, respectively. The increase of $10.6 million for the year ended December 31, 2025 is primarily due to higher investment in software development.</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New Location Openings and Acquisitions. </w:t>
      </w:r>
      <w:r>
        <w:rPr>
          <w:rFonts w:ascii="Times New Roman" w:cs="Times New Roman" w:eastAsia="Times New Roman" w:hAnsi="Times New Roman"/>
          <w:sz w:val="14"/>
          <w:szCs w:val="14"/>
          <w:color w:val="auto"/>
        </w:rPr>
        <w:t>During 2025, we acquired four lease-to-own store locations and customer accounts for an aggregate purchase price of approximately $2.2 million. One store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location was closed upon acquisition and consolidated into existing store operations in our Rent-A-Center segment and three remained open as part of our Rent-A-Center segment.</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The tables below summarize the location activity for the years ended December 31, 2025, 2024 and 2023 for our Rent-A-Center and Mexico operating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260" w:type="dxa"/>
            <w:vAlign w:val="bottom"/>
            <w:tcBorders>
              <w:bottom w:val="single" w:sz="8" w:color="auto"/>
            </w:tcBorders>
          </w:tcPr>
          <w:p>
            <w:pPr>
              <w:spacing w:after="0"/>
              <w:rPr>
                <w:sz w:val="13"/>
                <w:szCs w:val="13"/>
                <w:color w:val="auto"/>
              </w:rPr>
            </w:pPr>
          </w:p>
        </w:tc>
      </w:tr>
      <w:tr>
        <w:trPr>
          <w:trHeight w:val="154"/>
        </w:trPr>
        <w:tc>
          <w:tcPr>
            <w:tcW w:w="6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12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w:t>
            </w:r>
          </w:p>
        </w:tc>
      </w:tr>
      <w:tr>
        <w:trPr>
          <w:trHeight w:val="168"/>
        </w:trPr>
        <w:tc>
          <w:tcPr>
            <w:tcW w:w="6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Acquired locations remaining open</w:t>
            </w: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0"/>
        </w:trPr>
        <w:tc>
          <w:tcPr>
            <w:tcW w:w="6120" w:type="dxa"/>
            <w:vAlign w:val="bottom"/>
          </w:tcPr>
          <w:p>
            <w:pPr>
              <w:ind w:left="360"/>
              <w:spacing w:after="0" w:line="170" w:lineRule="exact"/>
              <w:rPr>
                <w:sz w:val="20"/>
                <w:szCs w:val="20"/>
                <w:color w:val="auto"/>
              </w:rPr>
            </w:pPr>
            <w:r>
              <w:rPr>
                <w:rFonts w:ascii="Times New Roman" w:cs="Times New Roman" w:eastAsia="Times New Roman" w:hAnsi="Times New Roman"/>
                <w:sz w:val="13"/>
                <w:szCs w:val="13"/>
                <w:color w:val="auto"/>
              </w:rPr>
              <w:t>Sold or closed with no surviving location</w:t>
            </w:r>
            <w:r>
              <w:rPr>
                <w:rFonts w:ascii="Times New Roman" w:cs="Times New Roman" w:eastAsia="Times New Roman" w:hAnsi="Times New Roman"/>
                <w:sz w:val="16"/>
                <w:szCs w:val="16"/>
                <w:color w:val="auto"/>
                <w:vertAlign w:val="superscript"/>
              </w:rPr>
              <w:t>(1)</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85"/>
        </w:trPr>
        <w:tc>
          <w:tcPr>
            <w:tcW w:w="6120" w:type="dxa"/>
            <w:vAlign w:val="bottom"/>
            <w:tcBorders>
              <w:top w:val="single" w:sz="8" w:color="CCEEFF"/>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Locations at end of period</w:t>
            </w:r>
            <w:r>
              <w:rPr>
                <w:rFonts w:ascii="Times New Roman" w:cs="Times New Roman" w:eastAsia="Times New Roman" w:hAnsi="Times New Roman"/>
                <w:sz w:val="16"/>
                <w:szCs w:val="16"/>
                <w:color w:val="auto"/>
                <w:vertAlign w:val="superscript"/>
              </w:rPr>
              <w:t>(2)</w:t>
            </w:r>
          </w:p>
        </w:tc>
        <w:tc>
          <w:tcPr>
            <w:tcW w:w="126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126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right"/>
              <w:ind w:right="54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r>
      <w:tr>
        <w:trPr>
          <w:trHeight w:val="17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stores </w:t>
            </w:r>
            <w:r>
              <w:rPr>
                <w:rFonts w:ascii="Times New Roman" w:cs="Times New Roman" w:eastAsia="Times New Roman" w:hAnsi="Times New Roman"/>
                <w:sz w:val="13"/>
                <w:szCs w:val="13"/>
                <w:i w:val="1"/>
                <w:iCs w:val="1"/>
                <w:color w:val="auto"/>
              </w:rPr>
              <w:t>(in thousands)</w:t>
            </w:r>
          </w:p>
        </w:tc>
        <w:tc>
          <w:tcPr>
            <w:tcW w:w="1260" w:type="dxa"/>
            <w:vAlign w:val="bottom"/>
            <w:shd w:val="clear" w:color="auto" w:fill="CCEEFF"/>
          </w:tcPr>
          <w:p>
            <w:pPr>
              <w:jc w:val="right"/>
              <w:ind w:right="112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w:t>
            </w:r>
          </w:p>
        </w:tc>
      </w:tr>
    </w:tbl>
    <w:p>
      <w:pPr>
        <w:spacing w:after="0" w:line="57" w:lineRule="exact"/>
        <w:rPr>
          <w:sz w:val="20"/>
          <w:szCs w:val="20"/>
          <w:color w:val="auto"/>
        </w:rPr>
      </w:pPr>
    </w:p>
    <w:p>
      <w:pPr>
        <w:ind w:left="100" w:hanging="95"/>
        <w:spacing w:after="0"/>
        <w:tabs>
          <w:tab w:leader="none" w:pos="100" w:val="left"/>
        </w:tabs>
        <w:numPr>
          <w:ilvl w:val="0"/>
          <w:numId w:val="2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Represents Rent-A-Center franchisee store locations.</w:t>
      </w:r>
    </w:p>
    <w:p>
      <w:pPr>
        <w:spacing w:after="0" w:line="1" w:lineRule="exact"/>
        <w:rPr>
          <w:rFonts w:ascii="Times New Roman" w:cs="Times New Roman" w:eastAsia="Times New Roman" w:hAnsi="Times New Roman"/>
          <w:sz w:val="12"/>
          <w:szCs w:val="12"/>
          <w:color w:val="auto"/>
          <w:vertAlign w:val="superscript"/>
        </w:rPr>
      </w:pPr>
    </w:p>
    <w:p>
      <w:pPr>
        <w:ind w:left="120" w:hanging="115"/>
        <w:spacing w:after="0"/>
        <w:tabs>
          <w:tab w:leader="none" w:pos="120" w:val="left"/>
        </w:tabs>
        <w:numPr>
          <w:ilvl w:val="0"/>
          <w:numId w:val="2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Rent-A-Center includes 1,722 company-owned and 353 franchisee store locations.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1260" w:type="dxa"/>
            <w:vAlign w:val="bottom"/>
            <w:tcBorders>
              <w:bottom w:val="single" w:sz="8" w:color="auto"/>
            </w:tcBorders>
          </w:tcPr>
          <w:p>
            <w:pPr>
              <w:spacing w:after="0"/>
              <w:rPr>
                <w:sz w:val="13"/>
                <w:szCs w:val="13"/>
                <w:color w:val="auto"/>
              </w:rPr>
            </w:pPr>
          </w:p>
        </w:tc>
      </w:tr>
      <w:tr>
        <w:trPr>
          <w:trHeight w:val="154"/>
        </w:trPr>
        <w:tc>
          <w:tcPr>
            <w:tcW w:w="6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260" w:type="dxa"/>
            <w:vAlign w:val="bottom"/>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12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r>
      <w:tr>
        <w:trPr>
          <w:trHeight w:val="168"/>
        </w:trPr>
        <w:tc>
          <w:tcPr>
            <w:tcW w:w="6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6120" w:type="dxa"/>
            <w:vAlign w:val="bottom"/>
            <w:shd w:val="clear" w:color="auto" w:fill="CCEEFF"/>
          </w:tcPr>
          <w:p>
            <w:pPr>
              <w:ind w:left="500"/>
              <w:spacing w:after="0" w:line="172" w:lineRule="exact"/>
              <w:rPr>
                <w:sz w:val="20"/>
                <w:szCs w:val="20"/>
                <w:color w:val="auto"/>
              </w:rPr>
            </w:pPr>
            <w:r>
              <w:rPr>
                <w:rFonts w:ascii="Times New Roman" w:cs="Times New Roman" w:eastAsia="Times New Roman" w:hAnsi="Times New Roman"/>
                <w:sz w:val="13"/>
                <w:szCs w:val="13"/>
                <w:color w:val="auto"/>
              </w:rPr>
              <w:t>Sold or closed with no surviving location</w:t>
            </w:r>
            <w:r>
              <w:rPr>
                <w:rFonts w:ascii="Times New Roman" w:cs="Times New Roman" w:eastAsia="Times New Roman" w:hAnsi="Times New Roman"/>
                <w:sz w:val="16"/>
                <w:szCs w:val="16"/>
                <w:color w:val="auto"/>
                <w:vertAlign w:val="superscript"/>
              </w:rPr>
              <w:t>(1)</w:t>
            </w:r>
          </w:p>
        </w:tc>
        <w:tc>
          <w:tcPr>
            <w:tcW w:w="12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0"/>
        </w:trPr>
        <w:tc>
          <w:tcPr>
            <w:tcW w:w="6120" w:type="dxa"/>
            <w:vAlign w:val="bottom"/>
          </w:tcPr>
          <w:p>
            <w:pPr>
              <w:ind w:left="20"/>
              <w:spacing w:after="0" w:line="161" w:lineRule="exact"/>
              <w:rPr>
                <w:sz w:val="20"/>
                <w:szCs w:val="20"/>
                <w:color w:val="auto"/>
              </w:rPr>
            </w:pPr>
            <w:r>
              <w:rPr>
                <w:rFonts w:ascii="Times New Roman" w:cs="Times New Roman" w:eastAsia="Times New Roman" w:hAnsi="Times New Roman"/>
                <w:sz w:val="13"/>
                <w:szCs w:val="13"/>
                <w:color w:val="auto"/>
              </w:rPr>
              <w:t>Locations at end of period</w:t>
            </w:r>
            <w:r>
              <w:rPr>
                <w:rFonts w:ascii="Times New Roman" w:cs="Times New Roman" w:eastAsia="Times New Roman" w:hAnsi="Times New Roman"/>
                <w:sz w:val="16"/>
                <w:szCs w:val="16"/>
                <w:color w:val="auto"/>
                <w:vertAlign w:val="superscript"/>
              </w:rPr>
              <w:t>(2)</w:t>
            </w:r>
          </w:p>
        </w:tc>
        <w:tc>
          <w:tcPr>
            <w:tcW w:w="1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2,308</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2"/>
        </w:trPr>
        <w:tc>
          <w:tcPr>
            <w:tcW w:w="61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 </w:t>
            </w:r>
            <w:r>
              <w:rPr>
                <w:rFonts w:ascii="Times New Roman" w:cs="Times New Roman" w:eastAsia="Times New Roman" w:hAnsi="Times New Roman"/>
                <w:sz w:val="13"/>
                <w:szCs w:val="13"/>
                <w:i w:val="1"/>
                <w:iCs w:val="1"/>
                <w:color w:val="auto"/>
              </w:rPr>
              <w:t>(in thousands)</w:t>
            </w:r>
          </w:p>
        </w:tc>
        <w:tc>
          <w:tcPr>
            <w:tcW w:w="1260" w:type="dxa"/>
            <w:vAlign w:val="bottom"/>
          </w:tcPr>
          <w:p>
            <w:pPr>
              <w:jc w:val="right"/>
              <w:ind w:right="112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r>
    </w:tbl>
    <w:p>
      <w:pPr>
        <w:spacing w:after="0" w:line="59" w:lineRule="exact"/>
        <w:rPr>
          <w:sz w:val="20"/>
          <w:szCs w:val="20"/>
          <w:color w:val="auto"/>
        </w:rPr>
      </w:pPr>
    </w:p>
    <w:p>
      <w:pPr>
        <w:ind w:left="100" w:hanging="95"/>
        <w:spacing w:after="0"/>
        <w:tabs>
          <w:tab w:leader="none" w:pos="100" w:val="left"/>
        </w:tabs>
        <w:numPr>
          <w:ilvl w:val="0"/>
          <w:numId w:val="25"/>
        </w:numPr>
        <w:rPr>
          <w:rFonts w:ascii="Times New Roman" w:cs="Times New Roman" w:eastAsia="Times New Roman" w:hAnsi="Times New Roman"/>
          <w:sz w:val="6"/>
          <w:szCs w:val="6"/>
          <w:color w:val="auto"/>
        </w:rPr>
      </w:pPr>
      <w:r>
        <w:rPr>
          <w:rFonts w:ascii="Times New Roman" w:cs="Times New Roman" w:eastAsia="Times New Roman" w:hAnsi="Times New Roman"/>
          <w:sz w:val="11"/>
          <w:szCs w:val="11"/>
          <w:color w:val="auto"/>
        </w:rPr>
        <w:t>Includes closure of 43 Rent-A-Center franchisee store locations.</w:t>
      </w:r>
    </w:p>
    <w:p>
      <w:pPr>
        <w:spacing w:after="0" w:line="20" w:lineRule="exact"/>
        <w:rPr>
          <w:rFonts w:ascii="Times New Roman" w:cs="Times New Roman" w:eastAsia="Times New Roman" w:hAnsi="Times New Roman"/>
          <w:sz w:val="6"/>
          <w:szCs w:val="6"/>
          <w:color w:val="auto"/>
        </w:rPr>
      </w:pPr>
    </w:p>
    <w:p>
      <w:pPr>
        <w:ind w:left="120" w:hanging="115"/>
        <w:spacing w:after="0" w:line="205" w:lineRule="auto"/>
        <w:tabs>
          <w:tab w:leader="none" w:pos="12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Rent-A-Center includes 1,728 company-owned and 448 franchisee store locations.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260" w:type="dxa"/>
            <w:vAlign w:val="bottom"/>
            <w:tcBorders>
              <w:bottom w:val="single" w:sz="8" w:color="auto"/>
            </w:tcBorders>
          </w:tcPr>
          <w:p>
            <w:pPr>
              <w:spacing w:after="0"/>
              <w:rPr>
                <w:sz w:val="13"/>
                <w:szCs w:val="13"/>
                <w:color w:val="auto"/>
              </w:rPr>
            </w:pPr>
          </w:p>
        </w:tc>
      </w:tr>
      <w:tr>
        <w:trPr>
          <w:trHeight w:val="147"/>
        </w:trPr>
        <w:tc>
          <w:tcPr>
            <w:tcW w:w="6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gridSpan w:val="3"/>
          </w:tcPr>
          <w:p>
            <w:pPr>
              <w:jc w:val="center"/>
              <w:ind w:right="84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1260" w:type="dxa"/>
            <w:vAlign w:val="bottom"/>
          </w:tcPr>
          <w:p>
            <w:pPr>
              <w:jc w:val="right"/>
              <w:ind w:right="63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6"/>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Locations at beginning of period</w:t>
            </w:r>
          </w:p>
        </w:tc>
        <w:tc>
          <w:tcPr>
            <w:tcW w:w="12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w:t>
            </w:r>
          </w:p>
        </w:tc>
      </w:tr>
      <w:tr>
        <w:trPr>
          <w:trHeight w:val="168"/>
        </w:trPr>
        <w:tc>
          <w:tcPr>
            <w:tcW w:w="61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New location openings</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Closed locations</w:t>
            </w: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68"/>
        </w:trPr>
        <w:tc>
          <w:tcPr>
            <w:tcW w:w="61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Merged with existing locations</w:t>
            </w:r>
          </w:p>
        </w:tc>
        <w:tc>
          <w:tcPr>
            <w:tcW w:w="1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120" w:type="dxa"/>
            <w:vAlign w:val="bottom"/>
            <w:shd w:val="clear" w:color="auto" w:fill="CCEEFF"/>
          </w:tcPr>
          <w:p>
            <w:pPr>
              <w:ind w:left="500"/>
              <w:spacing w:after="0" w:line="172" w:lineRule="exact"/>
              <w:rPr>
                <w:sz w:val="20"/>
                <w:szCs w:val="20"/>
                <w:color w:val="auto"/>
              </w:rPr>
            </w:pPr>
            <w:r>
              <w:rPr>
                <w:rFonts w:ascii="Times New Roman" w:cs="Times New Roman" w:eastAsia="Times New Roman" w:hAnsi="Times New Roman"/>
                <w:sz w:val="13"/>
                <w:szCs w:val="13"/>
                <w:color w:val="auto"/>
              </w:rPr>
              <w:t>Sold or closed with no surviving location</w:t>
            </w:r>
            <w:r>
              <w:rPr>
                <w:rFonts w:ascii="Times New Roman" w:cs="Times New Roman" w:eastAsia="Times New Roman" w:hAnsi="Times New Roman"/>
                <w:sz w:val="16"/>
                <w:szCs w:val="16"/>
                <w:color w:val="auto"/>
                <w:vertAlign w:val="superscript"/>
              </w:rPr>
              <w:t>(1)</w:t>
            </w:r>
          </w:p>
        </w:tc>
        <w:tc>
          <w:tcPr>
            <w:tcW w:w="12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0"/>
        </w:trPr>
        <w:tc>
          <w:tcPr>
            <w:tcW w:w="6120" w:type="dxa"/>
            <w:vAlign w:val="bottom"/>
          </w:tcPr>
          <w:p>
            <w:pPr>
              <w:ind w:left="20"/>
              <w:spacing w:after="0" w:line="161" w:lineRule="exact"/>
              <w:rPr>
                <w:sz w:val="20"/>
                <w:szCs w:val="20"/>
                <w:color w:val="auto"/>
              </w:rPr>
            </w:pPr>
            <w:r>
              <w:rPr>
                <w:rFonts w:ascii="Times New Roman" w:cs="Times New Roman" w:eastAsia="Times New Roman" w:hAnsi="Times New Roman"/>
                <w:sz w:val="13"/>
                <w:szCs w:val="13"/>
                <w:color w:val="auto"/>
              </w:rPr>
              <w:t>Locations at end of period</w:t>
            </w:r>
            <w:r>
              <w:rPr>
                <w:rFonts w:ascii="Times New Roman" w:cs="Times New Roman" w:eastAsia="Times New Roman" w:hAnsi="Times New Roman"/>
                <w:sz w:val="16"/>
                <w:szCs w:val="16"/>
                <w:color w:val="auto"/>
                <w:vertAlign w:val="superscript"/>
              </w:rPr>
              <w:t>(2)</w:t>
            </w:r>
          </w:p>
        </w:tc>
        <w:tc>
          <w:tcPr>
            <w:tcW w:w="12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2,410</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2"/>
        </w:trPr>
        <w:tc>
          <w:tcPr>
            <w:tcW w:w="61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Acquired locations closed and accounts merged with existing locations</w:t>
            </w:r>
          </w:p>
        </w:tc>
        <w:tc>
          <w:tcPr>
            <w:tcW w:w="12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7"/>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Total approximate purchase price of acquired stores </w:t>
            </w:r>
            <w:r>
              <w:rPr>
                <w:rFonts w:ascii="Times New Roman" w:cs="Times New Roman" w:eastAsia="Times New Roman" w:hAnsi="Times New Roman"/>
                <w:sz w:val="13"/>
                <w:szCs w:val="13"/>
                <w:i w:val="1"/>
                <w:iCs w:val="1"/>
                <w:color w:val="auto"/>
              </w:rPr>
              <w:t>(in thousands)</w:t>
            </w:r>
          </w:p>
        </w:tc>
        <w:tc>
          <w:tcPr>
            <w:tcW w:w="1260" w:type="dxa"/>
            <w:vAlign w:val="bottom"/>
          </w:tcPr>
          <w:p>
            <w:pPr>
              <w:jc w:val="right"/>
              <w:ind w:right="1120"/>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bl>
    <w:p>
      <w:pPr>
        <w:spacing w:after="0" w:line="49" w:lineRule="exact"/>
        <w:rPr>
          <w:sz w:val="20"/>
          <w:szCs w:val="20"/>
          <w:color w:val="auto"/>
        </w:rPr>
      </w:pPr>
    </w:p>
    <w:p>
      <w:pPr>
        <w:ind w:left="100" w:hanging="95"/>
        <w:spacing w:after="0"/>
        <w:tabs>
          <w:tab w:leader="none" w:pos="100" w:val="left"/>
        </w:tabs>
        <w:numPr>
          <w:ilvl w:val="0"/>
          <w:numId w:val="26"/>
        </w:numPr>
        <w:rPr>
          <w:rFonts w:ascii="Times New Roman" w:cs="Times New Roman" w:eastAsia="Times New Roman" w:hAnsi="Times New Roman"/>
          <w:sz w:val="6"/>
          <w:szCs w:val="6"/>
          <w:color w:val="auto"/>
        </w:rPr>
      </w:pPr>
      <w:r>
        <w:rPr>
          <w:rFonts w:ascii="Times New Roman" w:cs="Times New Roman" w:eastAsia="Times New Roman" w:hAnsi="Times New Roman"/>
          <w:sz w:val="11"/>
          <w:szCs w:val="11"/>
          <w:color w:val="auto"/>
        </w:rPr>
        <w:t>Represents Rent-A-Center franchisee stor</w:t>
      </w:r>
      <w:r>
        <w:rPr>
          <w:rFonts w:ascii="Times New Roman" w:cs="Times New Roman" w:eastAsia="Times New Roman" w:hAnsi="Times New Roman"/>
          <w:sz w:val="9"/>
          <w:szCs w:val="9"/>
          <w:color w:val="auto"/>
        </w:rPr>
        <w:t>e locations.</w:t>
      </w:r>
    </w:p>
    <w:p>
      <w:pPr>
        <w:spacing w:after="0" w:line="20" w:lineRule="exact"/>
        <w:rPr>
          <w:rFonts w:ascii="Times New Roman" w:cs="Times New Roman" w:eastAsia="Times New Roman" w:hAnsi="Times New Roman"/>
          <w:sz w:val="6"/>
          <w:szCs w:val="6"/>
          <w:color w:val="auto"/>
        </w:rPr>
      </w:pPr>
    </w:p>
    <w:p>
      <w:pPr>
        <w:ind w:left="120" w:hanging="115"/>
        <w:spacing w:after="0" w:line="205" w:lineRule="auto"/>
        <w:tabs>
          <w:tab w:leader="none" w:pos="120" w:val="left"/>
        </w:tabs>
        <w:numPr>
          <w:ilvl w:val="0"/>
          <w:numId w:val="2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Rent-A-Center includes 1,839 company-owned and 440 franchisee store locations.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Senior Debt. </w:t>
      </w:r>
      <w:r>
        <w:rPr>
          <w:rFonts w:ascii="Times New Roman" w:cs="Times New Roman" w:eastAsia="Times New Roman" w:hAnsi="Times New Roman"/>
          <w:sz w:val="14"/>
          <w:szCs w:val="14"/>
          <w:color w:val="auto"/>
        </w:rPr>
        <w:t>On February 17, 2021, we entered into a credit agreement with JPMorgan Chase Bank, N.A., as administrative agent, and lenders party thereto, that provides for a five-year asset-based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revolving credit facility with commitments of $550 million and a letter of credit sublimit of $150 million, which commitments may be increased, at our option and under certain conditions, by up to an additional $125 million in the aggregate (as most recently amended on August 29, 2025,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February 13, 2026, was 5.77%. A commitment fee equal to 0.250% to 0.375% of the unused portion of the ABL Credit Facility fluctuates dependent upon average utilization for the prior month as defined by 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2" w:name="page53"/>
    <w:bookmarkEnd w:id="52"/>
    <w:p>
      <w:pPr>
        <w:jc w:val="both"/>
        <w:spacing w:after="0" w:line="287" w:lineRule="auto"/>
        <w:rPr>
          <w:sz w:val="20"/>
          <w:szCs w:val="20"/>
          <w:color w:val="auto"/>
        </w:rPr>
      </w:pPr>
      <w:r>
        <w:rPr>
          <w:rFonts w:ascii="Times New Roman" w:cs="Times New Roman" w:eastAsia="Times New Roman" w:hAnsi="Times New Roman"/>
          <w:sz w:val="14"/>
          <w:szCs w:val="14"/>
          <w:color w:val="auto"/>
        </w:rPr>
        <w:t>pricing grid included in the documentation governing the ABL Credit Facility. Loans under the ABL Credit Facility may be borrowed, repaid and re-borrowed until June 7, 2029 (subject to certain springing maturity provisions), at which time all amounts borrowed must be repaid.</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17, 2021, we also entered into a term loan credit agreement with JPMorgan Chase Bank, N.A., as administrative agent, and lenders party thereto, that provides for a seven-year $875 million senior secured term loan facility (as most recently amended on August 19, 2025, the “Term Loan Facility”). Subject in each case to certain restrictions and conditions, we may add up to $625 million (plus additional amounts subject to the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February 13, 2026, was 6.42%.</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Borrowings under the Term Loan Facility amortize in equal quarterly installments in an amount equal to 1.000% per annum of the original aggregate principal amount thereof, with the remaining balance due at final maturity on August 19, 2032 (subject to certain springing maturity provisions).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February 13, 2026, we had outstanding borrowings of $872.8 million under the Term Loan Facility and available commitments of $216.6 million under our ABL Credit Facility, net of letters of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K of our consolidated financial statements included in this Annual Report on Form 10-K for additional information regarding our senior debt.</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Senior Notes</w:t>
      </w:r>
      <w:r>
        <w:rPr>
          <w:rFonts w:ascii="Times New Roman" w:cs="Times New Roman" w:eastAsia="Times New Roman" w:hAnsi="Times New Roman"/>
          <w:sz w:val="14"/>
          <w:szCs w:val="14"/>
          <w:color w:val="auto"/>
        </w:rPr>
        <w:t>. On February 17, 2021, we issued $450 million in senior unsecured notes due February 15, 2029, at par value, bearing interest at 6.375% (the “Notes”). Interest on the Notes is payable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L of our consolidated financial statements included in this Annual Report on Form 10-K for additional information regarding our senior notes.</w:t>
      </w:r>
    </w:p>
    <w:p>
      <w:pPr>
        <w:spacing w:after="0" w:line="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Operating Leases</w:t>
      </w:r>
      <w:r>
        <w:rPr>
          <w:rFonts w:ascii="Times New Roman" w:cs="Times New Roman" w:eastAsia="Times New Roman" w:hAnsi="Times New Roman"/>
          <w:sz w:val="14"/>
          <w:szCs w:val="14"/>
          <w:color w:val="auto"/>
        </w:rPr>
        <w:t>. We lease space for all of our Rent-A-Center and Mexico stores under operating leases expiring at various times through 2036. In addition we lease space for certain support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under operating leases expiring at various times through 2032. Most of our store leases are five-year leases and contain renewal options for additional periods ranging from three to five years at rental rates adjusted according to agreed-upon formulas. As of December 31, 2025, our total remaining obligation for existing store lease contracts was approximately $335.5 million.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As of December 31, 2025, our total remaining minimum obligation for existing Rent-A-Center vehicle lease contracts was approximately $3.2 million.</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lease vehicles for all of our Mexico stores which have terms expiring at various times through 2030 with rental rates adjusted periodically for inflation. As of December 31, 2025, our total remaining obligation for existing Mexico vehicle lease contracts was approximately $3.0 million.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Reference Note G of our consolidated financial statements included in this Annual Report on Form 10-K for additional discussion of our store operating leases.</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Uncertain Tax Position. </w:t>
      </w:r>
      <w:r>
        <w:rPr>
          <w:rFonts w:ascii="Times New Roman" w:cs="Times New Roman" w:eastAsia="Times New Roman" w:hAnsi="Times New Roman"/>
          <w:sz w:val="14"/>
          <w:szCs w:val="14"/>
          <w:color w:val="auto"/>
        </w:rPr>
        <w:t>As of December 31, 2025, we have recorded $1.0 million in uncertain tax positions. Although these positions represent a potential future cash liability to us, the amounts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timing of such payments are uncertain.</w:t>
      </w:r>
    </w:p>
    <w:p>
      <w:pPr>
        <w:spacing w:after="0" w:line="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Seasonality. </w:t>
      </w:r>
      <w:r>
        <w:rPr>
          <w:rFonts w:ascii="Times New Roman" w:cs="Times New Roman" w:eastAsia="Times New Roman" w:hAnsi="Times New Roman"/>
          <w:sz w:val="14"/>
          <w:szCs w:val="14"/>
          <w:color w:val="auto"/>
        </w:rPr>
        <w:t>Our revenue mix in our lease-to-own businesses is moderately seasonal, with the first quarter of each fiscal year generally providing higher sales than any other quarter during a fiscal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Uncertainties or Assessments in Our Financial Statements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 We believe the following are areas where the degree of judgment and complexity in determining amounts recorded in our consolidated financial statements make the accounting policies critical.</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$0.9 million in our estimates would result in a corresponding $0.01 change in our diluted earnings per common share as of December 31, 2025.</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Self-Insurance Liabilities. </w:t>
      </w:r>
      <w:r>
        <w:rPr>
          <w:rFonts w:ascii="Times New Roman" w:cs="Times New Roman" w:eastAsia="Times New Roman" w:hAnsi="Times New Roman"/>
          <w:sz w:val="14"/>
          <w:szCs w:val="14"/>
          <w:color w:val="auto"/>
        </w:rPr>
        <w:t>We have self-insured retentions with respect to losses under our workers' compensation, general liability and vehicle liability. We establish reserves for our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associated with these losses by obtaining forecasts for the ultimate expected losses and estimating amounts needed to pay losses within our self-insured retentions.</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the amount reserved for losses within our self-insured retentions with respect to workers’ compensation, general liability and vehicle liability insurance was $65.9 million, as compared to $61.1 million at December 31, 2024. However, if any of the factors that contribute to the overall cost of insurance claims were to change, the actual amount incurred for our self-insurance liabilities could be more or less than the amounts currently reserved.</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Rental Merchandise. </w:t>
      </w:r>
      <w:r>
        <w:rPr>
          <w:rFonts w:ascii="Times New Roman" w:cs="Times New Roman" w:eastAsia="Times New Roman" w:hAnsi="Times New Roman"/>
          <w:sz w:val="14"/>
          <w:szCs w:val="14"/>
          <w:color w:val="auto"/>
        </w:rPr>
        <w:t>Rental merchandise is carried at cost, net of accumulated depreciation. Depreciation for merchandise in Rent-A-Center, certain Acima locations formerly operating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Depreciation of merchandise for Acima Holdings is recognized using a straight-line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4" w:name="page55"/>
    <w:bookmarkEnd w:id="54"/>
    <w:p>
      <w:pPr>
        <w:jc w:val="both"/>
        <w:spacing w:after="0" w:line="270" w:lineRule="auto"/>
        <w:rPr>
          <w:sz w:val="20"/>
          <w:szCs w:val="20"/>
          <w:color w:val="auto"/>
        </w:rPr>
      </w:pPr>
      <w:r>
        <w:rPr>
          <w:rFonts w:ascii="Times New Roman" w:cs="Times New Roman" w:eastAsia="Times New Roman" w:hAnsi="Times New Roman"/>
          <w:sz w:val="14"/>
          <w:szCs w:val="14"/>
          <w:color w:val="auto"/>
        </w:rPr>
        <w:t>method over the term of the lease contract. Depreciation under the straight-line method is recognized each period over the term of the lease-to-own contract irrespective of receipt of revenue payments from the customer. In addition, merchandise that is held for rent for at least 180 consecutive days is depreciated using the straight-line method over a period generally not to exceed 18 months, and smartphones are also depreciated on a straight-line basis over an 18-month period beginning with the earlier of on rent or 90 consecutive days held for rent.</w:t>
      </w:r>
    </w:p>
    <w:p>
      <w:pPr>
        <w:spacing w:after="0" w:line="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 and during the month following the 150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expected but not yet incurred as of the end of the accounting period based on a combination of historical write-offs and expected future losses. As of December 31, 2025 and 2024, the reserve for merchandise losses was $97.6 million and $83.6 million, respectively.</w:t>
      </w:r>
    </w:p>
    <w:p>
      <w:pPr>
        <w:spacing w:after="0" w:line="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Valuation of Goodwill. </w:t>
      </w:r>
      <w:r>
        <w:rPr>
          <w:rFonts w:ascii="Times New Roman" w:cs="Times New Roman" w:eastAsia="Times New Roman" w:hAnsi="Times New Roman"/>
          <w:sz w:val="14"/>
          <w:szCs w:val="14"/>
          <w:color w:val="auto"/>
        </w:rPr>
        <w:t>We perform an assessment of goodwill for impairment at the reporting unit level annually as of October 1 or when events or circumstances indicate that impairment may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occurred.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we may perform a qualitative assessment for impairment if we believe it is not more likely than not that the carrying value of the net assets of the reporting unit exceeds its fair value.</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Our reporting units are our reportable operating segments identified in Note T to our consolidated financial statements included in this Annual Report on Form 10-K.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 limited to, the general strength of the economy and other economic conditions that affect consumer preferences and spending and factors that affect the disposable income of our current and potential customers and other factors discussed in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contained in Item 1A of this Annual Report on Form 10-K. Factors that could affect our weighted average cost of capital include changes in interest rates and changes in our effective tax rate.</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period from our 2024 goodwill impairment assessment through the third quarter 2025,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completed a qualitative assessment for impairment of goodwill as of October 1, 2025, concluding it was not more likely than not that the carrying value of the net assets of our reporting units exceeded their respective fair values.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2025 and 2024, the amount of goodwill allocated to the Acima segment was $288.3 million and $288.3 million. At December 31, 2025 and 2024, the amount of goodwill allocated to the Rent-A-Center segment was $3.0 million and $1.9 million, respectively. At December 31, 2025, the amount of goodwill allocated to the Brigit segment was $196.9 million.</w:t>
      </w:r>
    </w:p>
    <w:p>
      <w:pPr>
        <w:spacing w:after="0" w:line="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We, along with our subsidiaries, are party to various legal proceedings and governmental inquiries and investigations given the nature of our business. We regularly monitor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developments related to these matters to determine whether a potential loss is probable and can be reasonably estimated for purposes of recording a reserve in our financial statements. We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As of December 31, 2025 and 2024, we had estimated legal accruals of $72.0 million and $20.7 million, respectively. Legal reserves are recorded under Accrued Liabilities in our Consolidated Balance Sheet. Please reference Notes I, M and N in the Notes to our consolidated financial statements for additional disclosure related to our outstanding legal matters and related legal reserves.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On January 31, 2025, we completed the acquisition of Brigit. In accordance with the Agreement and Plan of Merger (the “Merger Agreement”) with Fortuna Merger Sub, Inc.,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Delaware corporation and wholly owned subsidiary of the Company (“Merger Sub”), Brigit, and Shareholder Representative Services LLC, solely in its capacity as the representative, agent and attorney-in-fact of Brigit’s securityholders, we issued to the security holders of Brigit approximately 2.7 million shares of our common stock and paid to them closing cash consideration of approximately $278.5 million. The total purchase consideration of approximately $395.4 million consisted of stock, cash and other consideration is described further in Note B to our consolidated financial statements included in this Annual Report on Form 10-K.</w:t>
      </w:r>
    </w:p>
    <w:p>
      <w:pPr>
        <w:spacing w:after="0" w:line="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accordance with ASC 805, assets acquired and liabilities assumed in connection with the acquisition of Brigit were recorded at their fair values. Carrying value for assets and liabilities assumed as part of the acquisition, including receivables, prepaid expenses and other assets, accounts payable and accrued liabilities were recorded as fair value, as of the date of acquisition, due to the short-term nature of these balances. Operating lease right-of-use assets and liabilities were recorded as the discounted value of future obligations in accordance with ASC Topic 842, “Leases”. The fair value measurements for certain acquired assets, including $152.3 million of identifiable intangible assets and $65.1 million related to developed technology, were determined based on an independent valuation using common industry valuation methods, including the relief-from-royalty, excess earnings and replacement cost methods, using significant unobservable inputs (Level 3) based on the Company's historical financial results, cost estimates and projected future cash flows discounted by an estimated weighted average cost of capital. Changes to these unobservable inputs could impact the estimated fair value measurements of these assets.</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Finally, we recorded goodwill of $196.9 million in our Brigit operating segment, which consists of the excess of the net purchase price over the estimated fair value of the acquired net assets described above.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new tabular disclosures disaggregating prescribed expense categories within relevant income statement captions. In January 2025, the FASB issued ASU 2025-01,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 but expect it will result in increased disclosure.</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w:t>
      </w:r>
      <w:r>
        <w:rPr>
          <w:rFonts w:ascii="Times New Roman" w:cs="Times New Roman" w:eastAsia="Times New Roman" w:hAnsi="Times New Roman"/>
          <w:sz w:val="14"/>
          <w:szCs w:val="14"/>
          <w:color w:val="auto"/>
        </w:rPr>
        <w:t>, which amends the existing standard that refers to estimating expected credit losses on current accounts receivables and current contract assets arising from transactions under Topic 606. Under the new standard, public business entities may elect a practical expedient that assumes the current conditions as of the balance sheet date do not change for the remaining life of the asset when estimating expected credit losses. The adoption of ASU 2025-05 will be required for us for annual reporting periods beginning after December 15, 2025 and interim reporting periods within those annual reporting periods. We are completing our assessment of this ASU but do not believe it will have a material impact on our financial statements.</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 - Goodwill and Other - Internal-Use Software (Subtopic 350-40)</w:t>
      </w:r>
      <w:r>
        <w:rPr>
          <w:rFonts w:ascii="Times New Roman" w:cs="Times New Roman" w:eastAsia="Times New Roman" w:hAnsi="Times New Roman"/>
          <w:sz w:val="14"/>
          <w:szCs w:val="14"/>
          <w:color w:val="auto"/>
        </w:rPr>
        <w:t>, which amends the existing standard that refers to various stages of a software development. Under the new standard, entities will start capitalizing eligible costs when management has authorized and committed to funding the software project, and it is probable that the project will be completed and the software will be used to perform the function intended. The adoption of ASU 2025-06 will be required for us for annual reporting periods beginning after December 15, 2027 and interim reporting periods within those annual reporting periods. We are in the preliminary stages of assessing this ASU and the impact it will have on our financial statements following adoption.</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Narrow-Scope Improvements</w:t>
      </w:r>
      <w:r>
        <w:rPr>
          <w:rFonts w:ascii="Times New Roman" w:cs="Times New Roman" w:eastAsia="Times New Roman" w:hAnsi="Times New Roman"/>
          <w:sz w:val="14"/>
          <w:szCs w:val="14"/>
          <w:color w:val="auto"/>
        </w:rPr>
        <w:t>, which clarifies interim disclosure requirements and the applicability of Topic 270. The new standard specifies the types of interim reporting and the form and content of interim financial statements, adds a comprehensive list of required interim disclosures and includes a disclosure principle that requires entities to disclose events since the end of the last annual reporting period that have a material impact on the entity. The adoption of ASU 2025-11 will be required for us for annual reporting periods beginning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6" w:name="page57"/>
    <w:bookmarkEnd w:id="56"/>
    <w:p>
      <w:pPr>
        <w:jc w:val="both"/>
        <w:spacing w:after="0" w:line="287" w:lineRule="auto"/>
        <w:rPr>
          <w:sz w:val="20"/>
          <w:szCs w:val="20"/>
          <w:color w:val="auto"/>
        </w:rPr>
      </w:pPr>
      <w:r>
        <w:rPr>
          <w:rFonts w:ascii="Times New Roman" w:cs="Times New Roman" w:eastAsia="Times New Roman" w:hAnsi="Times New Roman"/>
          <w:sz w:val="14"/>
          <w:szCs w:val="14"/>
          <w:color w:val="auto"/>
        </w:rPr>
        <w:t>after December 15, 2027 and interim reporting periods within those annual reporting periods. We are in the preliminary stages of assessing this ASU and the impact, if any, it will have on our disclosures within our interim financial statements filed on our Quarterly Reports on Form 10-Q.</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 setting bodies that we adopt as of the specified effective date. As of December 31, 2025,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7A. </w:t>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Sensitivity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we had $450 million in Notes outstanding at a fixed interest rate of 6.375%. We also had $872.8 million outstanding under the Term Loan Facility and $264.0 million outstanding under our ABL Credit Facility, each at interest rates indexed to the Term SOFR rate or the prime rate. Carrying value of the Term Loan Facility and ABL Credit Facility approximates fair value for such indebtedness.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outstanding debt with variable interest rates indexed to prime rate or Term SOFR rate that exposes us to the risk of increased interest costs if interest rates rise. As of December 31, 2025, we have not entered into any interest rate swap agreements. Based on our overall interest rate exposure at December 31, 2025, a hypothetical 1.0% increase or decrease in market interest rates would have the effect of causing an additional $11.4 million annualized pre-tax charge or credit to our Consolidated Statements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 xml:space="preserve">Item 8. </w:t>
      </w:r>
      <w:r>
        <w:rPr>
          <w:rFonts w:ascii="Times New Roman" w:cs="Times New Roman" w:eastAsia="Times New Roman" w:hAnsi="Times New Roman"/>
          <w:sz w:val="14"/>
          <w:szCs w:val="14"/>
          <w:b w:val="1"/>
          <w:bCs w:val="1"/>
          <w:i w:val="1"/>
          <w:iCs w:val="1"/>
          <w:color w:val="auto"/>
        </w:rPr>
        <w:t>Financial Statements and Supplementary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6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r>
      <w:tr>
        <w:trPr>
          <w:trHeight w:val="171"/>
        </w:trPr>
        <w:tc>
          <w:tcPr>
            <w:tcW w:w="43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54"/>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tc>
        <w:tc>
          <w:tcPr>
            <w:tcW w:w="59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8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Reports of Independent Registered Public Accounting Firms</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57</w:t>
            </w: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Management's Annual Report on Internal Control over Financial Reporting</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61</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5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Operations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62</w:t>
            </w: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63</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64</w:t>
            </w:r>
          </w:p>
        </w:tc>
      </w:tr>
      <w:tr>
        <w:trPr>
          <w:trHeight w:val="180"/>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65</w:t>
            </w:r>
          </w:p>
        </w:tc>
      </w:tr>
      <w:tr>
        <w:trPr>
          <w:trHeight w:val="180"/>
        </w:trPr>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6960" w:type="dxa"/>
            <w:vAlign w:val="bottom"/>
            <w:gridSpan w:val="2"/>
          </w:tcPr>
          <w:p>
            <w:pPr>
              <w:jc w:val="center"/>
              <w:ind w:left="5869"/>
              <w:spacing w:after="0"/>
              <w:rPr>
                <w:sz w:val="20"/>
                <w:szCs w:val="20"/>
                <w:color w:val="auto"/>
              </w:rPr>
            </w:pPr>
            <w:r>
              <w:rPr>
                <w:rFonts w:ascii="Times New Roman" w:cs="Times New Roman" w:eastAsia="Times New Roman" w:hAnsi="Times New Roman"/>
                <w:sz w:val="14"/>
                <w:szCs w:val="14"/>
                <w:color w:val="auto"/>
                <w:w w:val="99"/>
              </w:rPr>
              <w:t>66</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6960" w:type="dxa"/>
            <w:vAlign w:val="bottom"/>
            <w:gridSpan w:val="2"/>
            <w:shd w:val="clear" w:color="auto" w:fill="CCEEFF"/>
          </w:tcPr>
          <w:p>
            <w:pPr>
              <w:jc w:val="center"/>
              <w:ind w:left="5869"/>
              <w:spacing w:after="0"/>
              <w:rPr>
                <w:sz w:val="20"/>
                <w:szCs w:val="20"/>
                <w:color w:val="auto"/>
              </w:rPr>
            </w:pPr>
            <w:r>
              <w:rPr>
                <w:rFonts w:ascii="Times New Roman" w:cs="Times New Roman" w:eastAsia="Times New Roman" w:hAnsi="Times New Roman"/>
                <w:sz w:val="14"/>
                <w:szCs w:val="14"/>
                <w:color w:val="auto"/>
                <w:w w:val="99"/>
              </w:rPr>
              <w:t>67</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Upbound Group, Inc.</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audited the accompanying consolidated balance sheet of Upbound Group, Inc. and subsidiaries (the "Company") as of December 31, 2025, the related consolidated statements of operations, comprehensive income, stockholders' equity and cash flows, for the period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ended December 31, 2025, in conformity with accounting principles generally accepted in the United States of America.</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23, 2026, expressed an unqualified opinion on the Company's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1" w:lineRule="exact"/>
        <w:rPr>
          <w:sz w:val="20"/>
          <w:szCs w:val="20"/>
          <w:color w:val="auto"/>
        </w:rPr>
      </w:pPr>
    </w:p>
    <w:p>
      <w:pPr>
        <w:ind w:right="1220"/>
        <w:spacing w:after="0" w:line="380" w:lineRule="auto"/>
        <w:rPr>
          <w:sz w:val="20"/>
          <w:szCs w:val="20"/>
          <w:color w:val="auto"/>
        </w:rPr>
      </w:pPr>
      <w:r>
        <w:rPr>
          <w:rFonts w:ascii="Arial" w:cs="Arial" w:eastAsia="Arial" w:hAnsi="Arial"/>
          <w:sz w:val="14"/>
          <w:szCs w:val="14"/>
          <w:b w:val="1"/>
          <w:bCs w:val="1"/>
          <w:color w:val="auto"/>
        </w:rPr>
        <w:t xml:space="preserve">Rental Merchandise, Net – Reserve for Merchandise Losses for Rent-A-Center and Acima Reporting Units – Refer to </w:t>
      </w:r>
      <w:r>
        <w:rPr>
          <w:rFonts w:ascii="Times New Roman" w:cs="Times New Roman" w:eastAsia="Times New Roman" w:hAnsi="Times New Roman"/>
          <w:sz w:val="14"/>
          <w:szCs w:val="14"/>
          <w:b w:val="1"/>
          <w:bCs w:val="1"/>
          <w:color w:val="auto"/>
        </w:rPr>
        <w:t>Note A</w:t>
      </w:r>
      <w:r>
        <w:rPr>
          <w:rFonts w:ascii="Arial" w:cs="Arial" w:eastAsia="Arial" w:hAnsi="Arial"/>
          <w:sz w:val="14"/>
          <w:szCs w:val="14"/>
          <w:b w:val="1"/>
          <w:bCs w:val="1"/>
          <w:color w:val="auto"/>
        </w:rPr>
        <w:t xml:space="preserve"> to the financial statements </w:t>
      </w:r>
      <w:r>
        <w:rPr>
          <w:rFonts w:ascii="Arial" w:cs="Arial" w:eastAsia="Arial" w:hAnsi="Arial"/>
          <w:sz w:val="14"/>
          <w:szCs w:val="14"/>
          <w:i w:val="1"/>
          <w:iCs w:val="1"/>
          <w:color w:val="auto"/>
        </w:rPr>
        <w:t>Critical Audit Matter Description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maintains a reserve for expected merchandise losses from unreturned merchandise, which estimates the merchandise losses expected but not yet incurred as of the end of the accounting period based on a combination of historical write-offs and expected future losses.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identified the reserve for merchandise losses for the Rent-a-Center and Acima segments as a critical audit matter because of the significant amount of judgment required by management when estimating the amount of merchandise not expected to be returned due to delinquent accounts. This required a high degree of auditor judgment and an increased extent of effort in evaluating whether the audit evidence supports management’s estimate.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Reserve for merchandise losses included the following, among others:</w:t>
      </w:r>
    </w:p>
    <w:p>
      <w:pPr>
        <w:spacing w:after="0" w:line="94" w:lineRule="exact"/>
        <w:rPr>
          <w:sz w:val="20"/>
          <w:szCs w:val="20"/>
          <w:color w:val="auto"/>
        </w:rPr>
      </w:pPr>
    </w:p>
    <w:p>
      <w:pPr>
        <w:ind w:left="520" w:hanging="260"/>
        <w:spacing w:after="0" w:line="290"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tested the design and effectiveness of the controls related to the reserve for merchandise losses, including management's review of the significant inputs underlying the reserve estimate, which include those mentioned above.</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tested management's estimate by:</w:t>
      </w:r>
    </w:p>
    <w:p>
      <w:pPr>
        <w:spacing w:after="0" w:line="93" w:lineRule="exact"/>
        <w:rPr>
          <w:rFonts w:ascii="Arial" w:cs="Arial" w:eastAsia="Arial" w:hAnsi="Arial"/>
          <w:sz w:val="14"/>
          <w:szCs w:val="14"/>
          <w:color w:val="auto"/>
        </w:rPr>
      </w:pPr>
    </w:p>
    <w:p>
      <w:pPr>
        <w:ind w:left="1020" w:hanging="251"/>
        <w:spacing w:after="0" w:line="265" w:lineRule="auto"/>
        <w:tabs>
          <w:tab w:leader="none" w:pos="1028" w:val="left"/>
        </w:tabs>
        <w:numPr>
          <w:ilvl w:val="1"/>
          <w:numId w:val="27"/>
        </w:numPr>
        <w:rPr>
          <w:rFonts w:ascii="Arial" w:cs="Arial" w:eastAsia="Arial" w:hAnsi="Arial"/>
          <w:sz w:val="14"/>
          <w:szCs w:val="14"/>
          <w:color w:val="auto"/>
        </w:rPr>
      </w:pPr>
      <w:r>
        <w:rPr>
          <w:rFonts w:ascii="Arial" w:cs="Arial" w:eastAsia="Arial" w:hAnsi="Arial"/>
          <w:sz w:val="14"/>
          <w:szCs w:val="14"/>
          <w:color w:val="auto"/>
        </w:rPr>
        <w:t>Tested the accuracy and completeness of the underlying data used in the reserve calculation and evaluated the Company's methodology for estimating future losses.</w:t>
      </w:r>
    </w:p>
    <w:p>
      <w:pPr>
        <w:spacing w:after="0" w:line="246" w:lineRule="exact"/>
        <w:rPr>
          <w:rFonts w:ascii="Arial" w:cs="Arial" w:eastAsia="Arial" w:hAnsi="Arial"/>
          <w:sz w:val="14"/>
          <w:szCs w:val="14"/>
          <w:color w:val="auto"/>
        </w:rPr>
      </w:pPr>
    </w:p>
    <w:p>
      <w:pPr>
        <w:ind w:left="1020" w:hanging="251"/>
        <w:spacing w:after="0"/>
        <w:tabs>
          <w:tab w:leader="none" w:pos="1020" w:val="left"/>
        </w:tabs>
        <w:numPr>
          <w:ilvl w:val="1"/>
          <w:numId w:val="27"/>
        </w:numPr>
        <w:rPr>
          <w:rFonts w:ascii="Arial" w:cs="Arial" w:eastAsia="Arial" w:hAnsi="Arial"/>
          <w:sz w:val="14"/>
          <w:szCs w:val="14"/>
          <w:color w:val="auto"/>
        </w:rPr>
      </w:pPr>
      <w:r>
        <w:rPr>
          <w:rFonts w:ascii="Arial" w:cs="Arial" w:eastAsia="Arial" w:hAnsi="Arial"/>
          <w:sz w:val="14"/>
          <w:szCs w:val="14"/>
          <w:color w:val="auto"/>
        </w:rPr>
        <w:t>Performed a look back analysis for the reserve each quarter by comparing the reserve balance to the actual charge offs recorded the following quarter.</w:t>
      </w:r>
    </w:p>
    <w:p>
      <w:pPr>
        <w:spacing w:after="0" w:line="93" w:lineRule="exact"/>
        <w:rPr>
          <w:rFonts w:ascii="Arial" w:cs="Arial" w:eastAsia="Arial" w:hAnsi="Arial"/>
          <w:sz w:val="14"/>
          <w:szCs w:val="14"/>
          <w:color w:val="auto"/>
        </w:rPr>
      </w:pPr>
    </w:p>
    <w:p>
      <w:pPr>
        <w:ind w:left="1020" w:hanging="251"/>
        <w:spacing w:after="0" w:line="290" w:lineRule="auto"/>
        <w:tabs>
          <w:tab w:leader="none" w:pos="1017" w:val="left"/>
        </w:tabs>
        <w:numPr>
          <w:ilvl w:val="1"/>
          <w:numId w:val="27"/>
        </w:numPr>
        <w:rPr>
          <w:rFonts w:ascii="Arial" w:cs="Arial" w:eastAsia="Arial" w:hAnsi="Arial"/>
          <w:sz w:val="14"/>
          <w:szCs w:val="14"/>
          <w:color w:val="auto"/>
        </w:rPr>
      </w:pPr>
      <w:r>
        <w:rPr>
          <w:rFonts w:ascii="Arial" w:cs="Arial" w:eastAsia="Arial" w:hAnsi="Arial"/>
          <w:sz w:val="14"/>
          <w:szCs w:val="14"/>
          <w:color w:val="auto"/>
        </w:rPr>
        <w:t>Performed sensitivity analyses over significant assumptions to evaluate the changes in the estimated reserve for merchandise losses resulting from changes in the Company's significant inputs and assumptions.</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2026</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0" w:right="319" w:bottom="1440" w:gutter="0" w:footer="0" w:header="0"/>
        </w:sectPr>
      </w:pPr>
    </w:p>
    <w:bookmarkStart w:id="60" w:name="page61"/>
    <w:bookmarkEnd w:id="60"/>
    <w:p>
      <w:pPr>
        <w:ind w:right="3680" w:firstLine="3687"/>
        <w:spacing w:after="0" w:line="522"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Stockholders and the Board of Directors of Upbound Group, Inc. </w:t>
      </w:r>
      <w:r>
        <w:rPr>
          <w:rFonts w:ascii="Arial" w:cs="Arial" w:eastAsia="Arial" w:hAnsi="Arial"/>
          <w:sz w:val="14"/>
          <w:szCs w:val="14"/>
          <w:b w:val="1"/>
          <w:bCs w:val="1"/>
          <w:color w:val="auto"/>
        </w:rPr>
        <w:t>Opinion on the Financial Statements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Upbound Group, Inc. and subsidiaries (the Company) as of December 31, 2024, the related consolidated statements of operations, comprehensive income,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each of the two years in the period ended December 31, 2024, in conformity with U.S. generally accepted accounting principles.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We served as the Company’s auditor from 2019 to 2025.</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Upbound Group, Inc.</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We have audited the internal control over financial reporting of Upbound Group, Inc. and subsidiaries (the "Company") as of December 31, 2025, based on criteria established in </w:t>
      </w:r>
      <w:r>
        <w:rPr>
          <w:rFonts w:ascii="Arial" w:cs="Arial" w:eastAsia="Arial" w:hAnsi="Arial"/>
          <w:sz w:val="14"/>
          <w:szCs w:val="14"/>
          <w:i w:val="1"/>
          <w:iCs w:val="1"/>
          <w:color w:val="auto"/>
        </w:rPr>
        <w:t xml:space="preserve">Internal Control — Integrated Framework (2013) </w:t>
      </w:r>
      <w:r>
        <w:rPr>
          <w:rFonts w:ascii="Arial" w:cs="Arial" w:eastAsia="Arial" w:hAnsi="Arial"/>
          <w:sz w:val="14"/>
          <w:szCs w:val="14"/>
          <w:color w:val="auto"/>
        </w:rPr>
        <w:t>issued by the Committee of Sponsoring Organizations of the Treadway Commission (COSO). In our opinion,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maintained, in all material respects, effective internal control over financial reporting as of December 31, 2025,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(2013) </w:t>
      </w:r>
      <w:r>
        <w:rPr>
          <w:rFonts w:ascii="Arial" w:cs="Arial" w:eastAsia="Arial" w:hAnsi="Arial"/>
          <w:sz w:val="14"/>
          <w:szCs w:val="14"/>
          <w:color w:val="auto"/>
        </w:rPr>
        <w:t>issued by COSO.</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described in the Management's Annual Report on Internal Control over Financial Reporting of the Company Form 10-K, management excluded from its assessment the internal control over financial reporting at Brigit, which was acquired on January 31, 2025, and whose financial statements constitute 4% of revenues of the consolidated financial statement amounts as of and for the year ended December 31, 2025. Accordingly, our audit did not include the internal control over financial reporting at Brigit.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8" w:lineRule="auto"/>
        <w:tabs>
          <w:tab w:leader="none" w:pos="2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8"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 FINANCIAL REPORTING</w:t>
      </w:r>
    </w:p>
    <w:p>
      <w:pPr>
        <w:spacing w:after="0" w:line="3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Management assessed the effectiveness of the Company’s internal control over financial reporting as of December 31, 2025, using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w:t>
      </w:r>
    </w:p>
    <w:p>
      <w:pPr>
        <w:spacing w:after="0" w:line="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January 2025, we acquired Brigit. Management's assessment and conclusions on the effectiveness of internal control over financial reporting as of December 31, 2025 excludes an assessment of the internal control over financial reporting of Brigit. Brigit represents approximately 4% of the Company's total revenues for the 12 months ended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Excluding the above, Management's assessment concluded that, as of December 31, 2025, the Company’s internal control over financial reporting was effective.</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Deloitte and Touche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Rentals and fees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3,627,019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3,261,678</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Merchandise sales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829,268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773,744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700,450</w:t>
            </w: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Subscriptions and fees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30,285</w:t>
            </w:r>
          </w:p>
        </w:tc>
      </w:tr>
      <w:tr>
        <w:trPr>
          <w:trHeight w:val="158"/>
        </w:trPr>
        <w:tc>
          <w:tcPr>
            <w:tcW w:w="6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4,695,061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3,992,413</w:t>
            </w: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rentals and fees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1,441,758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1,355,539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1,199,161</w:t>
            </w:r>
          </w:p>
        </w:tc>
      </w:tr>
      <w:tr>
        <w:trPr>
          <w:trHeight w:val="172"/>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Cost of merchandise sold</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957,621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884,674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770,994</w:t>
            </w:r>
          </w:p>
        </w:tc>
      </w:tr>
      <w:tr>
        <w:trPr>
          <w:trHeight w:val="168"/>
        </w:trPr>
        <w:tc>
          <w:tcPr>
            <w:tcW w:w="67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Cost of subscriptions and fees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7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cost of revenues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2,423,352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2,240,213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1,970,155</w:t>
            </w:r>
          </w:p>
        </w:tc>
      </w:tr>
      <w:tr>
        <w:trPr>
          <w:trHeight w:val="158"/>
        </w:trPr>
        <w:tc>
          <w:tcPr>
            <w:tcW w:w="6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Gross profit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2,080,351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2,022,258</w:t>
            </w: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labor</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602,301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609,169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613,538</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Non-labor operating expenses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949,918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811,635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775,919</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201,706</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51,321</w:t>
            </w:r>
          </w:p>
        </w:tc>
      </w:tr>
      <w:tr>
        <w:trPr>
          <w:trHeight w:val="168"/>
        </w:trPr>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gains and charges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212,221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104,580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216,909</w:t>
            </w:r>
          </w:p>
        </w:tc>
      </w:tr>
      <w:tr>
        <w:trPr>
          <w:trHeight w:val="163"/>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2,048,362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1,788,720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1,859,393</w:t>
            </w:r>
          </w:p>
        </w:tc>
      </w:tr>
      <w:tr>
        <w:trPr>
          <w:trHeight w:val="158"/>
        </w:trPr>
        <w:tc>
          <w:tcPr>
            <w:tcW w:w="67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Operating profit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223,347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162,865</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refinancing charges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110,585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113,418</w:t>
            </w:r>
          </w:p>
        </w:tc>
      </w:tr>
      <w:tr>
        <w:trPr>
          <w:trHeight w:val="172"/>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(3,420)</w:t>
            </w:r>
          </w:p>
        </w:tc>
      </w:tr>
      <w:tr>
        <w:trPr>
          <w:trHeight w:val="158"/>
        </w:trPr>
        <w:tc>
          <w:tcPr>
            <w:tcW w:w="67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52,867</w:t>
            </w:r>
          </w:p>
        </w:tc>
      </w:tr>
      <w:tr>
        <w:trPr>
          <w:trHeight w:val="17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58,046</w:t>
            </w:r>
          </w:p>
        </w:tc>
      </w:tr>
      <w:tr>
        <w:trPr>
          <w:trHeight w:val="163"/>
        </w:trPr>
        <w:tc>
          <w:tcPr>
            <w:tcW w:w="6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7"/>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(loss) per common share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67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Diluted earnings (loss) per common share</w:t>
            </w: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(0.09)</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2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center"/>
              <w:ind w:left="638"/>
              <w:spacing w:after="0"/>
              <w:rPr>
                <w:sz w:val="20"/>
                <w:szCs w:val="20"/>
                <w:color w:val="auto"/>
              </w:rPr>
            </w:pPr>
            <w:r>
              <w:rPr>
                <w:rFonts w:ascii="Times New Roman" w:cs="Times New Roman" w:eastAsia="Times New Roman" w:hAnsi="Times New Roman"/>
                <w:sz w:val="13"/>
                <w:szCs w:val="13"/>
                <w:color w:val="auto"/>
              </w:rPr>
              <w:t>(5,179)</w:t>
            </w:r>
          </w:p>
        </w:tc>
      </w:tr>
      <w:tr>
        <w:trPr>
          <w:trHeight w:val="16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adjustments, net of tax of $1,127, $(1,821), and $1,665 for 2025, 2024, and 2023, respectively</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3"/>
                <w:szCs w:val="13"/>
                <w:color w:val="auto"/>
                <w:w w:val="95"/>
              </w:rPr>
              <w:t>6,263</w:t>
            </w:r>
          </w:p>
        </w:tc>
      </w:tr>
      <w:tr>
        <w:trPr>
          <w:trHeight w:val="158"/>
        </w:trPr>
        <w:tc>
          <w:tcPr>
            <w:tcW w:w="67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3"/>
                <w:szCs w:val="13"/>
                <w:color w:val="auto"/>
                <w:w w:val="95"/>
              </w:rPr>
              <w:t>6,263</w:t>
            </w:r>
          </w:p>
        </w:tc>
      </w:tr>
      <w:tr>
        <w:trPr>
          <w:trHeight w:val="188"/>
        </w:trPr>
        <w:tc>
          <w:tcPr>
            <w:tcW w:w="67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Comprehensive income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77,480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3"/>
                <w:szCs w:val="13"/>
                <w:color w:val="auto"/>
                <w:w w:val="95"/>
              </w:rPr>
              <w:t>1,084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8240" w:type="dxa"/>
            <w:vAlign w:val="bottom"/>
          </w:tcPr>
          <w:p>
            <w:pPr>
              <w:ind w:left="4140"/>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3"/>
        </w:trPr>
        <w:tc>
          <w:tcPr>
            <w:tcW w:w="82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24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share and par value data)</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8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120,528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60,860</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Receivables, net of allowance for doubtful accounts of $29,661 and $13,290 in 2025 and 2024, respectively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203,194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156,438</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153,010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54,205</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Rental merchandise, net</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On rent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1,202,282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1,134,860</w:t>
            </w:r>
          </w:p>
        </w:tc>
        <w:tc>
          <w:tcPr>
            <w:tcW w:w="0" w:type="dxa"/>
            <w:vAlign w:val="bottom"/>
          </w:tcPr>
          <w:p>
            <w:pPr>
              <w:spacing w:after="0"/>
              <w:rPr>
                <w:sz w:val="1"/>
                <w:szCs w:val="1"/>
                <w:color w:val="auto"/>
              </w:rPr>
            </w:pPr>
          </w:p>
        </w:tc>
      </w:tr>
      <w:tr>
        <w:trPr>
          <w:trHeight w:val="168"/>
        </w:trPr>
        <w:tc>
          <w:tcPr>
            <w:tcW w:w="8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Held for rent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113,922</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Merchandise held for installment sale</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assets, net of accumulated depreciation of $556,812 and $548,708 in 2025 and 2024, respectively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310,126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254,151</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272,692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265,537</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56,767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58,732</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488,158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290,189</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349,594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255,246</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3,276,081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2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 trade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115,479</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liabilities</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461,026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304,212</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286,798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272,983</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108,591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18,388</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debt, net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1,126,030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867,726</w:t>
            </w:r>
          </w:p>
        </w:tc>
        <w:tc>
          <w:tcPr>
            <w:tcW w:w="0" w:type="dxa"/>
            <w:vAlign w:val="bottom"/>
          </w:tcPr>
          <w:p>
            <w:pPr>
              <w:spacing w:after="0"/>
              <w:rPr>
                <w:sz w:val="1"/>
                <w:szCs w:val="1"/>
                <w:color w:val="auto"/>
              </w:rPr>
            </w:pPr>
          </w:p>
        </w:tc>
      </w:tr>
      <w:tr>
        <w:trPr>
          <w:trHeight w:val="16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Senior notes, net</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443,854</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441,890</w:t>
            </w:r>
          </w:p>
        </w:tc>
        <w:tc>
          <w:tcPr>
            <w:tcW w:w="0" w:type="dxa"/>
            <w:vAlign w:val="bottom"/>
          </w:tcPr>
          <w:p>
            <w:pPr>
              <w:spacing w:after="0"/>
              <w:rPr>
                <w:sz w:val="1"/>
                <w:szCs w:val="1"/>
                <w:color w:val="auto"/>
              </w:rPr>
            </w:pPr>
          </w:p>
        </w:tc>
      </w:tr>
      <w:tr>
        <w:trPr>
          <w:trHeight w:val="163"/>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2,580,341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2,020,678</w:t>
            </w:r>
          </w:p>
        </w:tc>
        <w:tc>
          <w:tcPr>
            <w:tcW w:w="0" w:type="dxa"/>
            <w:vAlign w:val="bottom"/>
          </w:tcPr>
          <w:p>
            <w:pPr>
              <w:spacing w:after="0"/>
              <w:rPr>
                <w:sz w:val="1"/>
                <w:szCs w:val="1"/>
                <w:color w:val="auto"/>
              </w:rPr>
            </w:pPr>
          </w:p>
        </w:tc>
      </w:tr>
      <w:tr>
        <w:trPr>
          <w:trHeight w:val="169"/>
        </w:trPr>
        <w:tc>
          <w:tcPr>
            <w:tcW w:w="8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$0.01 par value; 250,000,000 shares authorized; 128,996,814 and 125,796,878 shares issued in 2025 and 2024, respectively</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1,573,895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1,493,885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1,018,658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1,036,169</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stock at cost, 71,060,928 shares in 2025 and 2024</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(11,212)</w:t>
            </w:r>
          </w:p>
        </w:tc>
        <w:tc>
          <w:tcPr>
            <w:tcW w:w="0" w:type="dxa"/>
            <w:vAlign w:val="bottom"/>
          </w:tcPr>
          <w:p>
            <w:pPr>
              <w:spacing w:after="0"/>
              <w:rPr>
                <w:sz w:val="1"/>
                <w:szCs w:val="1"/>
                <w:color w:val="auto"/>
              </w:rPr>
            </w:pPr>
          </w:p>
        </w:tc>
      </w:tr>
      <w:tr>
        <w:trPr>
          <w:trHeight w:val="158"/>
        </w:trPr>
        <w:tc>
          <w:tcPr>
            <w:tcW w:w="8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695,740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628,984</w:t>
            </w:r>
          </w:p>
        </w:tc>
        <w:tc>
          <w:tcPr>
            <w:tcW w:w="0" w:type="dxa"/>
            <w:vAlign w:val="bottom"/>
          </w:tcPr>
          <w:p>
            <w:pPr>
              <w:spacing w:after="0"/>
              <w:rPr>
                <w:sz w:val="1"/>
                <w:szCs w:val="1"/>
                <w:color w:val="auto"/>
              </w:rPr>
            </w:pPr>
          </w:p>
        </w:tc>
      </w:tr>
      <w:tr>
        <w:trPr>
          <w:trHeight w:val="188"/>
        </w:trPr>
        <w:tc>
          <w:tcPr>
            <w:tcW w:w="82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3,276,081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2,649,662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66" w:name="page67"/>
    <w:bookmarkEnd w:id="66"/>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33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22" w:lineRule="exact"/>
        <w:rPr>
          <w:sz w:val="20"/>
          <w:szCs w:val="20"/>
          <w:color w:val="auto"/>
        </w:rPr>
      </w:pPr>
    </w:p>
    <w:tbl>
      <w:tblPr>
        <w:tblLayout w:type="fixed"/>
        <w:tblInd w:w="35"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2060" w:type="dxa"/>
            <w:vAlign w:val="bottom"/>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Paid-In</w:t>
            </w:r>
          </w:p>
        </w:tc>
        <w:tc>
          <w:tcPr>
            <w:tcW w:w="180" w:type="dxa"/>
            <w:vAlign w:val="bottom"/>
          </w:tcPr>
          <w:p>
            <w:pPr>
              <w:spacing w:after="0"/>
              <w:rPr>
                <w:sz w:val="4"/>
                <w:szCs w:val="4"/>
                <w:color w:val="auto"/>
              </w:rPr>
            </w:pPr>
          </w:p>
        </w:tc>
        <w:tc>
          <w:tcPr>
            <w:tcW w:w="960" w:type="dxa"/>
            <w:vAlign w:val="bottom"/>
            <w:gridSpan w:val="2"/>
            <w:vMerge w:val="restart"/>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20" w:type="dxa"/>
            <w:vAlign w:val="bottom"/>
          </w:tcPr>
          <w:p>
            <w:pPr>
              <w:spacing w:after="0"/>
              <w:rPr>
                <w:sz w:val="4"/>
                <w:szCs w:val="4"/>
                <w:color w:val="auto"/>
              </w:rPr>
            </w:pPr>
          </w:p>
        </w:tc>
        <w:tc>
          <w:tcPr>
            <w:tcW w:w="1020" w:type="dxa"/>
            <w:vAlign w:val="bottom"/>
            <w:gridSpan w:val="2"/>
            <w:vMerge w:val="restart"/>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4"/>
                <w:szCs w:val="4"/>
                <w:color w:val="auto"/>
              </w:rPr>
            </w:pPr>
          </w:p>
        </w:tc>
        <w:tc>
          <w:tcPr>
            <w:tcW w:w="1300" w:type="dxa"/>
            <w:vAlign w:val="bottom"/>
            <w:gridSpan w:val="2"/>
            <w:vMerge w:val="restart"/>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Comprehensive (Loss)</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08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2"/>
                <w:szCs w:val="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3"/>
                <w:szCs w:val="13"/>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125,028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1,298,094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1,077,189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(1,840,591)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525,146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(50,392)</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r>
              <w:rPr>
                <w:rFonts w:ascii="Times New Roman" w:cs="Times New Roman" w:eastAsia="Times New Roman" w:hAnsi="Times New Roman"/>
                <w:sz w:val="6"/>
                <w:szCs w:val="6"/>
                <w:color w:val="auto"/>
              </w:rPr>
              <w:t>(1)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(77,118)</w:t>
            </w:r>
          </w:p>
        </w:tc>
        <w:tc>
          <w:tcPr>
            <w:tcW w:w="0" w:type="dxa"/>
            <w:vAlign w:val="bottom"/>
          </w:tcPr>
          <w:p>
            <w:pPr>
              <w:spacing w:after="0"/>
              <w:rPr>
                <w:sz w:val="1"/>
                <w:szCs w:val="1"/>
                <w:color w:val="auto"/>
              </w:rPr>
            </w:pPr>
          </w:p>
        </w:tc>
      </w:tr>
      <w:tr>
        <w:trPr>
          <w:trHeight w:val="158"/>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125,415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1,459,709</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994,892</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(4,363)</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560,372</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(6,849)</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r>
              <w:rPr>
                <w:rFonts w:ascii="Times New Roman" w:cs="Times New Roman" w:eastAsia="Times New Roman" w:hAnsi="Times New Roman"/>
                <w:sz w:val="6"/>
                <w:szCs w:val="6"/>
                <w:color w:val="auto"/>
              </w:rPr>
              <w:t>(1)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(82,201)</w:t>
            </w:r>
          </w:p>
        </w:tc>
        <w:tc>
          <w:tcPr>
            <w:tcW w:w="0" w:type="dxa"/>
            <w:vAlign w:val="bottom"/>
          </w:tcPr>
          <w:p>
            <w:pPr>
              <w:spacing w:after="0"/>
              <w:rPr>
                <w:sz w:val="1"/>
                <w:szCs w:val="1"/>
                <w:color w:val="auto"/>
              </w:rPr>
            </w:pPr>
          </w:p>
        </w:tc>
      </w:tr>
      <w:tr>
        <w:trPr>
          <w:trHeight w:val="158"/>
        </w:trPr>
        <w:tc>
          <w:tcPr>
            <w:tcW w:w="3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125,797</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1,493,885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1,036,169</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(11,212)</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628,984</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earnings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4,238</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Vesting of restricted share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effect of stock awards vested and options exercised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45,368</w:t>
            </w:r>
          </w:p>
        </w:tc>
        <w:tc>
          <w:tcPr>
            <w:tcW w:w="0" w:type="dxa"/>
            <w:vAlign w:val="bottom"/>
          </w:tcPr>
          <w:p>
            <w:pPr>
              <w:spacing w:after="0"/>
              <w:rPr>
                <w:sz w:val="1"/>
                <w:szCs w:val="1"/>
                <w:color w:val="auto"/>
              </w:rPr>
            </w:pPr>
          </w:p>
        </w:tc>
      </w:tr>
      <w:tr>
        <w:trPr>
          <w:trHeight w:val="172"/>
        </w:trPr>
        <w:tc>
          <w:tcPr>
            <w:tcW w:w="3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r>
              <w:rPr>
                <w:rFonts w:ascii="Times New Roman" w:cs="Times New Roman" w:eastAsia="Times New Roman" w:hAnsi="Times New Roman"/>
                <w:sz w:val="6"/>
                <w:szCs w:val="6"/>
                <w:color w:val="auto"/>
              </w:rPr>
              <w:t>(1)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(90,500)</w:t>
            </w:r>
          </w:p>
        </w:tc>
        <w:tc>
          <w:tcPr>
            <w:tcW w:w="0" w:type="dxa"/>
            <w:vAlign w:val="bottom"/>
          </w:tcPr>
          <w:p>
            <w:pPr>
              <w:spacing w:after="0"/>
              <w:rPr>
                <w:sz w:val="1"/>
                <w:szCs w:val="1"/>
                <w:color w:val="auto"/>
              </w:rPr>
            </w:pPr>
          </w:p>
        </w:tc>
      </w:tr>
      <w:tr>
        <w:trPr>
          <w:trHeight w:val="168"/>
        </w:trPr>
        <w:tc>
          <w:tcPr>
            <w:tcW w:w="3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Brigit acquisition equity consideration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41,020</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128,997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1,573,895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1,018,658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(1,890,966)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695,740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5" w:hanging="95"/>
        <w:spacing w:after="0"/>
        <w:tabs>
          <w:tab w:leader="none" w:pos="95" w:val="left"/>
        </w:tabs>
        <w:numPr>
          <w:ilvl w:val="0"/>
          <w:numId w:val="2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Cash dividends declared for the years ended December 31, 2025, 2024 and 2023 were $1.56, $1.50 and $1.39 per common share, respectively. Cash dividends are paid in the quarter subsequent to declaration.</w:t>
      </w:r>
    </w:p>
    <w:p>
      <w:pPr>
        <w:spacing w:after="0" w:line="114"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35"/>
          </w:cols>
          <w:pgMar w:left="305" w:top="314"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8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7"/>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earnings (loss)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(5,179)</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Adjustments to reconcile net earnings (loss) to net cash provided by operating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Depreciation of rental merchandise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1,380,425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1,302,571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1,160,579</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Bad debt expense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25,869</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Depreciation of property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75,450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Loss (gain) on sale or disposal of property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46,382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58,022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Amortization of financing fees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Write-off of debt financing fees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(17,944)</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effects of acquisitions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line="172" w:lineRule="exact"/>
              <w:rPr>
                <w:sz w:val="20"/>
                <w:szCs w:val="20"/>
                <w:color w:val="auto"/>
              </w:rPr>
            </w:pPr>
            <w:r>
              <w:rPr>
                <w:rFonts w:ascii="Times New Roman" w:cs="Times New Roman" w:eastAsia="Times New Roman" w:hAnsi="Times New Roman"/>
                <w:sz w:val="13"/>
                <w:szCs w:val="13"/>
                <w:color w:val="auto"/>
              </w:rPr>
              <w:t>Rental merchandise</w:t>
            </w:r>
            <w:r>
              <w:rPr>
                <w:rFonts w:ascii="Times New Roman" w:cs="Times New Roman" w:eastAsia="Times New Roman" w:hAnsi="Times New Roman"/>
                <w:sz w:val="16"/>
                <w:szCs w:val="16"/>
                <w:color w:val="auto"/>
                <w:vertAlign w:val="superscript"/>
              </w:rPr>
              <w:t>(1)</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(1,447,207)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(1,328,899)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(1,272,043)</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Receivables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(25,009)</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(4,188)</w:t>
            </w:r>
          </w:p>
        </w:tc>
        <w:tc>
          <w:tcPr>
            <w:tcW w:w="0" w:type="dxa"/>
            <w:vAlign w:val="bottom"/>
          </w:tcPr>
          <w:p>
            <w:pPr>
              <w:spacing w:after="0"/>
              <w:rPr>
                <w:sz w:val="1"/>
                <w:szCs w:val="1"/>
                <w:color w:val="auto"/>
              </w:rPr>
            </w:pPr>
          </w:p>
        </w:tc>
      </w:tr>
      <w:tr>
        <w:trPr>
          <w:trHeight w:val="168"/>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Operating lease right-of-use assets and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Accounts payable — trade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21,800</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Accrued liabilities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79,689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(22,778)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13,388</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200,290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originations and collections of customer cash advances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Purchase of property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(66,863)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Promissory loan issuance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Promissory loan collection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(278,942)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(50,957)</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Share repurchases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70"/>
        </w:trPr>
        <w:tc>
          <w:tcPr>
            <w:tcW w:w="7480" w:type="dxa"/>
            <w:vAlign w:val="bottom"/>
          </w:tcPr>
          <w:p>
            <w:pPr>
              <w:ind w:left="280"/>
              <w:spacing w:after="0" w:line="170" w:lineRule="exact"/>
              <w:rPr>
                <w:sz w:val="20"/>
                <w:szCs w:val="20"/>
                <w:color w:val="auto"/>
              </w:rPr>
            </w:pPr>
            <w:r>
              <w:rPr>
                <w:rFonts w:ascii="Times New Roman" w:cs="Times New Roman" w:eastAsia="Times New Roman" w:hAnsi="Times New Roman"/>
                <w:sz w:val="13"/>
                <w:szCs w:val="13"/>
                <w:color w:val="auto"/>
              </w:rPr>
              <w:t>Excise tax related to share repurchases</w:t>
            </w:r>
            <w:r>
              <w:rPr>
                <w:rFonts w:ascii="Times New Roman" w:cs="Times New Roman" w:eastAsia="Times New Roman" w:hAnsi="Times New Roman"/>
                <w:sz w:val="16"/>
                <w:szCs w:val="16"/>
                <w:color w:val="auto"/>
                <w:vertAlign w:val="superscript"/>
              </w:rPr>
              <w:t>(2)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Shares withheld for payment of employee tax withholdings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Debt issuance costs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debt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776,042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Repayments of debt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(516,563)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(138,604)</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Dividends paid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(87,865)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(82,299)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(83,056)</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(202,124)</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(50,436)</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93,705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144,141</w:t>
            </w:r>
          </w:p>
        </w:tc>
        <w:tc>
          <w:tcPr>
            <w:tcW w:w="0" w:type="dxa"/>
            <w:vAlign w:val="bottom"/>
          </w:tcPr>
          <w:p>
            <w:pPr>
              <w:spacing w:after="0"/>
              <w:rPr>
                <w:sz w:val="1"/>
                <w:szCs w:val="1"/>
                <w:color w:val="auto"/>
              </w:rPr>
            </w:pPr>
          </w:p>
        </w:tc>
      </w:tr>
      <w:tr>
        <w:trPr>
          <w:trHeight w:val="185"/>
        </w:trPr>
        <w:tc>
          <w:tcPr>
            <w:tcW w:w="748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and cash equivalents at end of year</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120,528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93,705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during the year for:</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Interest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105,290</w:t>
            </w:r>
          </w:p>
        </w:tc>
        <w:tc>
          <w:tcPr>
            <w:tcW w:w="36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106,161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taxes (excludes $49, $751, and $20,714 of income taxes refunded in 2025, 2024, and 2023, respectively)</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69,826</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89,241</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5"/>
        <w:spacing w:after="0"/>
        <w:tabs>
          <w:tab w:leader="none" w:pos="100" w:val="left"/>
        </w:tabs>
        <w:numPr>
          <w:ilvl w:val="0"/>
          <w:numId w:val="3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change in Rental merchandise includes lease charge-offs and other merchandise losses.</w:t>
      </w:r>
    </w:p>
    <w:p>
      <w:pPr>
        <w:spacing w:after="0" w:line="1" w:lineRule="exact"/>
        <w:rPr>
          <w:rFonts w:ascii="Times New Roman" w:cs="Times New Roman" w:eastAsia="Times New Roman" w:hAnsi="Times New Roman"/>
          <w:sz w:val="12"/>
          <w:szCs w:val="12"/>
          <w:color w:val="auto"/>
          <w:vertAlign w:val="superscript"/>
        </w:rPr>
      </w:pPr>
    </w:p>
    <w:p>
      <w:pPr>
        <w:ind w:left="100" w:hanging="95"/>
        <w:spacing w:after="0"/>
        <w:tabs>
          <w:tab w:leader="none" w:pos="100" w:val="left"/>
        </w:tabs>
        <w:numPr>
          <w:ilvl w:val="0"/>
          <w:numId w:val="30"/>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Excise tax cash payment of $0.4 million during the year ended December 31, 2024 is related to share repurchases of $50.0 million during the year ended December 31, 2023.</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A — Nature of Operations and Summary of Accounting Policies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significant accounting policies consistently applied in the preparation of the accompanying consolidated financial statements follows: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Nature of Operations</w:t>
      </w:r>
    </w:p>
    <w:p>
      <w:pPr>
        <w:spacing w:after="0" w:line="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currently report four operating segments: Acima, Rent-A-Center, Brigit and Mexico.</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31 2025, we established a new operating segment following the acquisition of Bridge IT, Inc. (“Brigit”). Please reference Note B for additional discussion of the acquisition. In addition, effective January 1, 2025, we combined our Franchising segment with our Rent-A-Center segment. Financial information disclosed within this report has been recast for the related prior year period to reflect this change. Brigit’s results of operations are reflected in our Consolidated Statements of Operations from January 31, 2025.</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based on a percent of the franchisees' monthly gross revenues. Our Rent-A-Center segment operates through our company-owned and franchise stores, and e-commerce platforms through rentacenter.com, getitnowstores.com and homechoicestores.com. At December 31, 2025, we operated 2,075 company-owned and franchise stores nationwide and in Puerto Rico, including 50 retail installment sales stores.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Brigit segment, which operates in the United States, includes the operations of Bridge IT Inc., which was acquired on January 31, 2025. The Brigit segment, through mobile and web applications, offers various financial health products and tools to help users improve their financial health, such as Finance Helper, Deals &amp; Offers, Instant Cash, Credit Builder, Identity Theft Protection and more. These products and tools help customers improve their financial health and literacy, find ways to earn and save money, access their earned wages before their regularly scheduled payday, build their credit through savings and protect themselves from identity theft.</w:t>
      </w:r>
    </w:p>
    <w:p>
      <w:pPr>
        <w:spacing w:after="0" w:line="56" w:lineRule="exact"/>
        <w:rPr>
          <w:sz w:val="20"/>
          <w:szCs w:val="20"/>
          <w:color w:val="auto"/>
        </w:rPr>
      </w:pPr>
    </w:p>
    <w:p>
      <w:pPr>
        <w:ind w:right="380"/>
        <w:spacing w:after="0" w:line="411" w:lineRule="auto"/>
        <w:rPr>
          <w:sz w:val="20"/>
          <w:szCs w:val="20"/>
          <w:color w:val="auto"/>
        </w:rPr>
      </w:pPr>
      <w:r>
        <w:rPr>
          <w:rFonts w:ascii="Times New Roman" w:cs="Times New Roman" w:eastAsia="Times New Roman" w:hAnsi="Times New Roman"/>
          <w:sz w:val="14"/>
          <w:szCs w:val="14"/>
          <w:color w:val="auto"/>
        </w:rPr>
        <w:t xml:space="preserve">Our Mexico segment consists of our company-owned stores in Mexico that lease durable goods to customers on a lease-to-own basis. At December 31, 2025, we operated 136 stores in Mexico. </w:t>
      </w:r>
      <w:r>
        <w:rPr>
          <w:rFonts w:ascii="Times New Roman" w:cs="Times New Roman" w:eastAsia="Times New Roman" w:hAnsi="Times New Roman"/>
          <w:sz w:val="14"/>
          <w:szCs w:val="14"/>
          <w:b w:val="1"/>
          <w:bCs w:val="1"/>
          <w:i w:val="1"/>
          <w:iCs w:val="1"/>
          <w:color w:val="auto"/>
        </w:rPr>
        <w:t>Rental Merchandise</w:t>
      </w:r>
    </w:p>
    <w:p>
      <w:pPr>
        <w:jc w:val="both"/>
        <w:spacing w:after="0" w:line="257" w:lineRule="auto"/>
        <w:rPr>
          <w:sz w:val="20"/>
          <w:szCs w:val="20"/>
          <w:color w:val="auto"/>
        </w:rPr>
      </w:pPr>
      <w:r>
        <w:rPr>
          <w:rFonts w:ascii="Times New Roman" w:cs="Times New Roman" w:eastAsia="Times New Roman" w:hAnsi="Times New Roman"/>
          <w:sz w:val="14"/>
          <w:szCs w:val="14"/>
          <w:color w:val="auto"/>
        </w:rPr>
        <w:t>Rental merchandise is carried at cost, net of accumulated depreciation. Depreciation for merchandise in Rent-A-Center, certain Acima locations formerly operating under our Acceptance Now brand, and Mexico stores is depreciated using the 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lease contract, which is an activity-based method similar to the units of production method. Lease merchandise under Acima Holdings is depreciated over the lease term using a straight-line depreciation method. Depreciation under the straight-line method is recognized each period over the term of the lease-to-own contract irrespective of receipt of revenue payments from the customer. In addition, we depreciate merchandise that is held for rent for at least 180 consecutive days using the straight-line method over a period generally not to exceed 18 months. Smartphones are depreciated over an 18-month straight-line basis beginning with the earlier of on rent or 90 consecutive days held for rent.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time the account became past due in the Rent-A-Center and Mexico segments, on or before the 120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our Acima segment and during the month following the 150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in certain Acima locations formerly operating under the Acceptance Now brand. Minor repairs made to rental merchandise are expensed at the time of the repair. In addition, we maintain a reserve for these expected losses, which estimates the merchandise losses incurred but not yet identified by management as of the end of the accounting period based on a combination of historical write-offs and expected future losses. As of December 31, 2025 and 2024, the reserve for merchandise losses was $97.6 million and $83.6 million, respectively. Expenses related to merchandise losses, damaged merchandise, or merchandise repairs are recorded to non-labor operating expenses in our Consolidated Statements of Operations and were $366.1 million, $347.1 million, and $313.8 million for the years ended December 31, 2025, 2024, and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Equivalents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equivalents include all highly liquid investments with an original maturity of three months or less, in addition to in-transit customer payments.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Rental merchandise is leased to customers pursuant to lease-to-own agreements which provide for weekly, bi-weekly, semi-monthly or 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Rental revenue and fees are recognized over the lease term and merchandise sales revenue is recognized when the customer exercises the purchase option and pays the cash price due. Cash received prior to the period in which it should be recognized is deferred and recognized according to the lease term. Revenue is accrued for uncollected amounts due based on historical collection experience. However, the total potential amount of the lease-to-own agreement is not accrued because the customer can elect not to renew the lease-to-own agreement at any time and, in that case would not owe future lease payments.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Revenues from the sale of merchandise in our retail installment stores are recognized when the installment note is signed, the customer has taken possession of the merchandise and collectability is reasonably assured. Revenue from the sale of rental merchandise to franchise stores is recognized upon shipment of the merchandise to the franchisee.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Subscription payments are received on a monthly basis from customers and we continually fulfill obligations to each customer over the subscription term. We recognize revenue ratably as the customer receives and consumes the benefits of the platform throughout the monthly contract period. Expedited transfer fee payments from customers are recognized as revenue over the expected term of the associated customer cash advance.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Revenues from our marketplace partners, who are featured in our Deals &amp; Offers section in our mobile application, are based on contractual terms, generally on the basis of customer traffic or conversions brought to such products or services. Marketplace revenues are recognized as customer traffic is added and conversions to the marketplace partners’ products and services occur.</w:t>
      </w:r>
    </w:p>
    <w:p>
      <w:pPr>
        <w:spacing w:after="0" w:line="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Other revenue primarily consists of franchise royalty income and fee revenue, which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Receivables and Allowance for Doubtful Accounts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installment sales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recorded to non-labor operating expenses in our Consolidated Statements of Operations.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corporate related receivables. The majority of our franchising trade and notes receivables relate to amounts due from franchisees for inventory purchases, earned royalties and other obligations. Credit is extended to franchisees based on an evaluation of each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recognized as contra-bad debt expense recorded to non-labor operating expenses in our Consolidated Statements of Operations.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Customer cash advances consist of EWA advances provided to Brigit customers when requested and are treated as financial receivables in accordance with ASC Topic 310, “Receivables”. Generally customers repay cash advances on or shortly after they receive their next paycheck. Customer cash advances are not interest bearing. We recognize these financial receivables at the origination amount and we do not use discounting techniques to determine present value of the originations due to their short-term nature. 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charged-off 45 days past their due date as a reduction to the allowance for doubtful accounts and any recoveries of previously charged off balances are recognized as contra-bad debt expense in our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Builder loans are originated and held by Brigit’s third-party bank partner, and are not included on our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Assets and Related Depreciation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Furniture, equipment and vehicles are stated at cost less accumulated depreciation. Depreciation is provided over the estimated useful lives of the respective assets (generally 5 years) on the straight-line method. Leasehold improvements are amortized over the useful life of the asset or the initial term of the applicable leases on the straight-line method, whichever is shorter.</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for each reporting unit.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historical or projected future operating results.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The analysis is based upon available information regarding expected future cash flows and discount rates. Discount rates are generally based upon our weighted average cost of capital.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2025, the amount of goodwill attributable to the Acima, Brigit and Rent-A-Center segments was approximately $288.3 million, $196.9 million and $3.0 million, respectively. We currently do not have goodwill balances attributable to our Mexico segment.</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Acquired intangible assets are recorded at their estimated fair value as of the date of acquisition and generally include customer relationships, merchant relationships, non-compete agreements and trade names. Customer relationships are generally amortized over a 21-month period, excluding relationships with existing subscribers acquired from Brigit which are being amortized over 10 years. Non-compete agreements are amortized over the contractual life of the agreements, merchant relationships are amortized over a 7 to 15 year period, and trade names and other intangible assets are amortized over the estimated life of the asset. Intangible assets are amortized using methods that we believe reflect the pattern in which the economic benefits of the related asset are consumed unless such pattern cannot be reliably determined, in which case we amortize using a straight-line method.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Impairment of Long-Lived Assets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Liabilities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an average rate of exchange during the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Comprehensive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income (loss) is comprised exclusively of our foreign currency translation adjustment and the related tax impact of that adjustment.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Taxes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 revenue net of related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(Loss) Per Common Share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Basic earnings (loss) per common share are based upon the weighted average number of common shares outstanding during each period presented. Diluted earnings (loss)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incurred for producing and communicating advertising are expensed when incurred. Advertising expense was $132.4 million, $65.0 million, and $63.1 million, for the years ended December 31, 2025, 2024, and 2023, respectively. Advertising expense is net of vendor allowances of $25.6 million, $23.2 million, and $21.7 million for the years ended December 31, 2025,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maintain long-term incentive plans for the benefit of certain employees and directors, which are described more fully in Note O. We recognize expense for our share-based payment awards issued to our employees and directors based on the estimated fair value on the grant date.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our stock awards. Time-vesting restricted stock units are valued using the closing price on the Nasdaq Stock Market on the day prior to the grant date. Performance-based restricted stock units will vest in accordance with a total shareholder return formula relative to a market index, and are valued by a third-party valuation firm using Monte Carlo simulations.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reclassifications have been made to the reported amounts for prior periods to conform to the current period presentation. These reclassifications have no impact on net earnings or earnings per share in any period. See Note C and Note T for further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Newly Adopted Accounting Pronouncements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is intended to improve the transparency of the annual income tax disclosures by requiring specific categories in the income tax rate reconciliation and disaggregation of income taxes paid by jurisdiction. It also includes certain other amendments to improve the effectiveness of income tax disclosures. Adoption of ASU 2023-09 was required for us beginning January 1, 2025 for our fiscal year end December 31, 2025. We have included required disclosure updates in our Annual Report on Form 10-K for the year ended December 31, 2025, using a prospective approach.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Acquisitions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Brigit Acquisition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12, 2024, we entered into the Merger Agreement,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on January 31, 2025 for total purchase consideration of approximately $395.4 million comprised of stock, cash and other consideration described further below.</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shares over the exercise price of the original award. The maximum amount payable pursuant to the Replacement Awards, approximately $7.8 million, which is included in the Closing Cash Consideration described above, was escrowed on the Closing Date and recorded to Prepaid and other assets in our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Consolidated Statements of Operations.</w:t>
      </w:r>
    </w:p>
    <w:p>
      <w:pPr>
        <w:spacing w:after="0" w:line="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Pursuant to the terms of the Merger Agreement, we will also pay the Brigit Securityholders $75 million, payable in multiple installments (the “Deferred Consideration”),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2026. The estimated fair value of the earnout payments at the Closing Date was approximately $10.6 million. The fair value of the earnout payments was estimated using a Monte Carlo simulation model based on our estimated long range cash flow projections for the Brigit business.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portion of Closing Stock Consideration issued to Brigit’s co-founders and certain of their respective affiliates (collectively, the “Co-Founders”) included approximately 1.3 million shares, valued at $39.1 million, which are subject to certain vesting restrictions over a two-year period from the Closing Date and other limitations set forth in a restricted stock agreement entered into with each such Co-Founder. These shares are being recognized as stock-based compensation expense subject to ASC Topic 718, “Stock-based Compensation”, over the required vesting period, and recorded to other gains and charges in our Consolidated Statements of Operations.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65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January 31, 2025</w:t>
            </w:r>
          </w:p>
        </w:tc>
      </w:tr>
      <w:tr>
        <w:trPr>
          <w:trHeight w:val="180"/>
        </w:trPr>
        <w:tc>
          <w:tcPr>
            <w:tcW w:w="2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Aggregate cash consideration</w:t>
            </w:r>
            <w:r>
              <w:rPr>
                <w:rFonts w:ascii="Times New Roman" w:cs="Times New Roman" w:eastAsia="Times New Roman" w:hAnsi="Times New Roman"/>
                <w:sz w:val="18"/>
                <w:szCs w:val="18"/>
                <w:color w:val="auto"/>
                <w:vertAlign w:val="superscript"/>
              </w:rPr>
              <w:t>(1)</w:t>
            </w:r>
          </w:p>
        </w:tc>
        <w:tc>
          <w:tcPr>
            <w:tcW w:w="65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277,668</w:t>
            </w:r>
          </w:p>
        </w:tc>
      </w:tr>
      <w:tr>
        <w:trPr>
          <w:trHeight w:val="180"/>
        </w:trPr>
        <w:tc>
          <w:tcPr>
            <w:tcW w:w="29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Aggregate stock consideration</w:t>
            </w:r>
            <w:r>
              <w:rPr>
                <w:rFonts w:ascii="Times New Roman" w:cs="Times New Roman" w:eastAsia="Times New Roman" w:hAnsi="Times New Roman"/>
                <w:sz w:val="18"/>
                <w:szCs w:val="18"/>
                <w:color w:val="auto"/>
                <w:vertAlign w:val="superscript"/>
              </w:rPr>
              <w:t>(2)</w:t>
            </w:r>
          </w:p>
        </w:tc>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41,019</w:t>
            </w:r>
          </w:p>
        </w:tc>
      </w:tr>
      <w:tr>
        <w:trPr>
          <w:trHeight w:val="180"/>
        </w:trPr>
        <w:tc>
          <w:tcPr>
            <w:tcW w:w="2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consideration</w:t>
            </w:r>
            <w:r>
              <w:rPr>
                <w:rFonts w:ascii="Times New Roman" w:cs="Times New Roman" w:eastAsia="Times New Roman" w:hAnsi="Times New Roman"/>
                <w:sz w:val="18"/>
                <w:szCs w:val="18"/>
                <w:color w:val="auto"/>
                <w:vertAlign w:val="superscript"/>
              </w:rPr>
              <w:t>(3)</w:t>
            </w:r>
          </w:p>
        </w:tc>
        <w:tc>
          <w:tcPr>
            <w:tcW w:w="65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76,691</w:t>
            </w:r>
          </w:p>
        </w:tc>
      </w:tr>
      <w:tr>
        <w:trPr>
          <w:trHeight w:val="171"/>
        </w:trPr>
        <w:tc>
          <w:tcPr>
            <w:tcW w:w="2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purchase consideration</w:t>
            </w:r>
          </w:p>
        </w:tc>
        <w:tc>
          <w:tcPr>
            <w:tcW w:w="6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395,378</w:t>
            </w:r>
          </w:p>
        </w:tc>
      </w:tr>
      <w:tr>
        <w:trPr>
          <w:trHeight w:val="160"/>
        </w:trPr>
        <w:tc>
          <w:tcPr>
            <w:tcW w:w="2980" w:type="dxa"/>
            <w:vAlign w:val="bottom"/>
            <w:shd w:val="clear" w:color="auto" w:fill="CCEEFF"/>
          </w:tcPr>
          <w:p>
            <w:pPr>
              <w:spacing w:after="0"/>
              <w:rPr>
                <w:sz w:val="13"/>
                <w:szCs w:val="13"/>
                <w:color w:val="auto"/>
              </w:rPr>
            </w:pPr>
          </w:p>
        </w:tc>
        <w:tc>
          <w:tcPr>
            <w:tcW w:w="6540" w:type="dxa"/>
            <w:vAlign w:val="bottom"/>
            <w:shd w:val="clear" w:color="auto" w:fill="CCEEFF"/>
          </w:tcPr>
          <w:p>
            <w:pPr>
              <w:jc w:val="center"/>
              <w:ind w:right="2909"/>
              <w:spacing w:after="0"/>
              <w:rPr>
                <w:sz w:val="20"/>
                <w:szCs w:val="20"/>
                <w:color w:val="auto"/>
              </w:rPr>
            </w:pPr>
            <w:r>
              <w:rPr>
                <w:rFonts w:ascii="Times New Roman" w:cs="Times New Roman" w:eastAsia="Times New Roman" w:hAnsi="Times New Roman"/>
                <w:sz w:val="14"/>
                <w:szCs w:val="14"/>
                <w:color w:val="auto"/>
              </w:rPr>
              <w:t>ASSETS ACQUIRED</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29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Receivables, net</w:t>
            </w:r>
            <w:r>
              <w:rPr>
                <w:rFonts w:ascii="Times New Roman" w:cs="Times New Roman" w:eastAsia="Times New Roman" w:hAnsi="Times New Roman"/>
                <w:sz w:val="18"/>
                <w:szCs w:val="18"/>
                <w:color w:val="auto"/>
                <w:vertAlign w:val="superscript"/>
              </w:rPr>
              <w:t>(4)</w:t>
            </w:r>
          </w:p>
        </w:tc>
        <w:tc>
          <w:tcPr>
            <w:tcW w:w="68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44,470</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6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assets</w:t>
            </w:r>
          </w:p>
        </w:tc>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65,311</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196,866</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65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152,300</w:t>
            </w:r>
          </w:p>
        </w:tc>
      </w:tr>
      <w:tr>
        <w:trPr>
          <w:trHeight w:val="171"/>
        </w:trPr>
        <w:tc>
          <w:tcPr>
            <w:tcW w:w="2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assets acquired</w:t>
            </w:r>
          </w:p>
        </w:tc>
        <w:tc>
          <w:tcPr>
            <w:tcW w:w="6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462,469</w:t>
            </w:r>
          </w:p>
        </w:tc>
      </w:tr>
      <w:tr>
        <w:trPr>
          <w:trHeight w:val="160"/>
        </w:trPr>
        <w:tc>
          <w:tcPr>
            <w:tcW w:w="2980" w:type="dxa"/>
            <w:vAlign w:val="bottom"/>
            <w:shd w:val="clear" w:color="auto" w:fill="CCEEFF"/>
          </w:tcPr>
          <w:p>
            <w:pPr>
              <w:spacing w:after="0"/>
              <w:rPr>
                <w:sz w:val="13"/>
                <w:szCs w:val="13"/>
                <w:color w:val="auto"/>
              </w:rPr>
            </w:pPr>
          </w:p>
        </w:tc>
        <w:tc>
          <w:tcPr>
            <w:tcW w:w="6540" w:type="dxa"/>
            <w:vAlign w:val="bottom"/>
            <w:shd w:val="clear" w:color="auto" w:fill="CCEEFF"/>
          </w:tcPr>
          <w:p>
            <w:pPr>
              <w:jc w:val="center"/>
              <w:ind w:right="2909"/>
              <w:spacing w:after="0"/>
              <w:rPr>
                <w:sz w:val="20"/>
                <w:szCs w:val="20"/>
                <w:color w:val="auto"/>
              </w:rPr>
            </w:pPr>
            <w:r>
              <w:rPr>
                <w:rFonts w:ascii="Times New Roman" w:cs="Times New Roman" w:eastAsia="Times New Roman" w:hAnsi="Times New Roman"/>
                <w:sz w:val="14"/>
                <w:szCs w:val="14"/>
                <w:color w:val="auto"/>
              </w:rPr>
              <w:t>LIABILITIES ASSUMED</w:t>
            </w:r>
          </w:p>
        </w:tc>
        <w:tc>
          <w:tcPr>
            <w:tcW w:w="2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 trade</w:t>
            </w:r>
          </w:p>
        </w:tc>
        <w:tc>
          <w:tcPr>
            <w:tcW w:w="68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17,989</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6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r>
      <w:tr>
        <w:trPr>
          <w:trHeight w:val="18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65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44,375</w:t>
            </w:r>
          </w:p>
        </w:tc>
      </w:tr>
      <w:tr>
        <w:trPr>
          <w:trHeight w:val="171"/>
        </w:trPr>
        <w:tc>
          <w:tcPr>
            <w:tcW w:w="2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67,091</w:t>
            </w:r>
          </w:p>
        </w:tc>
      </w:tr>
      <w:tr>
        <w:trPr>
          <w:trHeight w:val="17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65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395,378</w:t>
            </w:r>
          </w:p>
        </w:tc>
      </w:tr>
    </w:tbl>
    <w:p>
      <w:pPr>
        <w:spacing w:after="0" w:line="61" w:lineRule="exact"/>
        <w:rPr>
          <w:sz w:val="20"/>
          <w:szCs w:val="20"/>
          <w:color w:val="auto"/>
        </w:rPr>
      </w:pPr>
    </w:p>
    <w:p>
      <w:pPr>
        <w:ind w:left="140" w:hanging="135"/>
        <w:spacing w:after="0" w:line="220" w:lineRule="auto"/>
        <w:tabs>
          <w:tab w:leader="none" w:pos="113" w:val="left"/>
        </w:tabs>
        <w:numPr>
          <w:ilvl w:val="0"/>
          <w:numId w:val="3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Aggregate cash consideration excludes $7.8 million in Replacement Awards described above and $58.6 million in cash acquired and includes cash paid to settle Brigit's outstanding debt and loan balances and other transaction expenses of $63.7 million, and post-closing net working capital adjustments of $1.7 million.</w:t>
      </w:r>
    </w:p>
    <w:p>
      <w:pPr>
        <w:ind w:left="100" w:hanging="95"/>
        <w:spacing w:after="0" w:line="202" w:lineRule="auto"/>
        <w:tabs>
          <w:tab w:leader="none" w:pos="100"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Aggregate stock consideration excludes approximately 1.3 million shares valued at approximately $39.1 million subject to certain vesting restrictions, as described further above.</w:t>
      </w:r>
    </w:p>
    <w:p>
      <w:pPr>
        <w:ind w:left="100" w:hanging="95"/>
        <w:spacing w:after="0" w:line="202" w:lineRule="auto"/>
        <w:tabs>
          <w:tab w:leader="none" w:pos="100"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the fair value of Deferred Consideration and earnout payments described above, which were not included in Closing Cash Consideration paid at the time of closing but will be paid out in future periods pursuant to the terms of the Merger Agreement.</w:t>
      </w:r>
    </w:p>
    <w:p>
      <w:pPr>
        <w:ind w:left="100" w:hanging="95"/>
        <w:spacing w:after="0" w:line="205" w:lineRule="auto"/>
        <w:tabs>
          <w:tab w:leader="none" w:pos="100"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gross contractual receivables of $43.8 million related to customer cash advances, of which $4.5 million were estimated to be uncollectible as of the Closing Date.</w:t>
      </w:r>
    </w:p>
    <w:p>
      <w:pPr>
        <w:spacing w:after="0" w:line="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360" w:type="dxa"/>
            <w:vAlign w:val="bottom"/>
          </w:tcPr>
          <w:p>
            <w:pPr>
              <w:spacing w:after="0"/>
              <w:rPr>
                <w:sz w:val="13"/>
                <w:szCs w:val="13"/>
                <w:color w:val="auto"/>
              </w:rPr>
            </w:pPr>
          </w:p>
        </w:tc>
        <w:tc>
          <w:tcPr>
            <w:tcW w:w="1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Remaining Useful Life (in</w:t>
            </w:r>
          </w:p>
        </w:tc>
        <w:tc>
          <w:tcPr>
            <w:tcW w:w="0" w:type="dxa"/>
            <w:vAlign w:val="bottom"/>
          </w:tcPr>
          <w:p>
            <w:pPr>
              <w:spacing w:after="0"/>
              <w:rPr>
                <w:sz w:val="1"/>
                <w:szCs w:val="1"/>
                <w:color w:val="auto"/>
              </w:rPr>
            </w:pPr>
          </w:p>
        </w:tc>
      </w:tr>
      <w:tr>
        <w:trPr>
          <w:trHeight w:val="191"/>
        </w:trPr>
        <w:tc>
          <w:tcPr>
            <w:tcW w:w="4640" w:type="dxa"/>
            <w:vAlign w:val="bottom"/>
            <w:tcBorders>
              <w:bottom w:val="single" w:sz="8" w:color="auto"/>
            </w:tcBorders>
            <w:vMerge w:val="continue"/>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contracts</w:t>
            </w:r>
          </w:p>
        </w:tc>
        <w:tc>
          <w:tcPr>
            <w:tcW w:w="236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144,500</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23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60"/>
        </w:trPr>
        <w:tc>
          <w:tcPr>
            <w:tcW w:w="4640" w:type="dxa"/>
            <w:vAlign w:val="bottom"/>
          </w:tcPr>
          <w:p>
            <w:pPr>
              <w:spacing w:after="0"/>
              <w:rPr>
                <w:sz w:val="24"/>
                <w:szCs w:val="24"/>
                <w:color w:val="auto"/>
              </w:rPr>
            </w:pPr>
          </w:p>
        </w:tc>
        <w:tc>
          <w:tcPr>
            <w:tcW w:w="2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rPr>
              <w:t>73</w:t>
            </w:r>
          </w:p>
        </w:tc>
        <w:tc>
          <w:tcPr>
            <w:tcW w:w="1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Developed technology, included in Property assets, net, in line with our accounting policies, was also acquired with a value of $65.1 million and an estimated remaining useful life of seven years. The fair value for these intangibles and developed technology were estimated using common industry valuation methods for similar asset types, including the relief-from-royalty, excess earnings and replacement cost methods using significant unobservable inputs (Level 3) based on the Company's historical financial results, cost estimates and projected future cash flows discounted by an estimated weighted average cost of capital.</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Brigit’s results of operations are reflected in our Consolidated Statements of Operations from the Closing Date.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The purchase price allocation for the Brigit acquisition was complete as of December 31, 2025.</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this acquisition, we have incurred approximately $10.3 million in acquisition-related expenses including expenses related to legal, professional, and banking transaction fees, of which $6.7 million was recognized during the year ended December 31, 2025. These costs were included in other gains and charges in our Consolidated Statements of Operations.</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and $22.7 million for the fair value of the assets acquired, compensation expense of $(4.3) million and $25.3 million as a result of Closing Stock Consideration and Replacement Awards subject to vesting provisions, interest expense of $1.4 million and $16.7 million due to the elimination of historical debt, accreted interest of $0.3 million and $3.7 million related to the Deferred Consideration, and adjustments to income tax expense (benefit) of $4.4 million and $(18.7) million, for the years ended December 31, 2025 and 2024, respectively. In addition, pro forma net income for the years ended December 31, 2025 and 2024 has been adjusted to reflect transaction expenses incurred of $22.0 million as of January 1, 2024. The unaudited pro forma financial information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(unaudited)</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(unaudited)</w:t>
            </w:r>
          </w:p>
        </w:tc>
      </w:tr>
      <w:tr>
        <w:trPr>
          <w:trHeight w:val="18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 Forma total revenues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4,711,115</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4,479,295</w:t>
            </w:r>
          </w:p>
        </w:tc>
      </w:tr>
      <w:tr>
        <w:trPr>
          <w:trHeight w:val="180"/>
        </w:trPr>
        <w:tc>
          <w:tcPr>
            <w:tcW w:w="8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Pro Forma net earnings</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74,355</w:t>
            </w:r>
          </w:p>
        </w:tc>
      </w:tr>
    </w:tbl>
    <w:p>
      <w:pPr>
        <w:spacing w:after="0" w:line="51" w:lineRule="exact"/>
        <w:rPr>
          <w:sz w:val="20"/>
          <w:szCs w:val="20"/>
          <w:color w:val="auto"/>
        </w:rPr>
      </w:pPr>
    </w:p>
    <w:p>
      <w:pPr>
        <w:ind w:left="100" w:hanging="95"/>
        <w:spacing w:after="0"/>
        <w:tabs>
          <w:tab w:leader="none" w:pos="100"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Total pro forma adjustments to net earnings represented an increase of $6.2 million, and decrease of $49.1 million for the years ended December 31, 2025 and 2024,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amounts of revenue and earnings of Brigit included in our Consolidated Statements of Operations from the acquisition date of January 31, 2025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96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January 31, 2025 -</w:t>
            </w:r>
          </w:p>
        </w:tc>
        <w:tc>
          <w:tcPr>
            <w:tcW w:w="0" w:type="dxa"/>
            <w:vAlign w:val="bottom"/>
          </w:tcPr>
          <w:p>
            <w:pPr>
              <w:spacing w:after="0"/>
              <w:rPr>
                <w:sz w:val="1"/>
                <w:szCs w:val="1"/>
                <w:color w:val="auto"/>
              </w:rPr>
            </w:pPr>
          </w:p>
        </w:tc>
      </w:tr>
      <w:tr>
        <w:trPr>
          <w:trHeight w:val="191"/>
        </w:trPr>
        <w:tc>
          <w:tcPr>
            <w:tcW w:w="9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1"/>
        </w:trPr>
        <w:tc>
          <w:tcPr>
            <w:tcW w:w="9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60" w:type="dxa"/>
            <w:vAlign w:val="bottom"/>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8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206,024</w:t>
            </w:r>
          </w:p>
        </w:tc>
        <w:tc>
          <w:tcPr>
            <w:tcW w:w="0" w:type="dxa"/>
            <w:vAlign w:val="bottom"/>
          </w:tcPr>
          <w:p>
            <w:pPr>
              <w:spacing w:after="0"/>
              <w:rPr>
                <w:sz w:val="1"/>
                <w:szCs w:val="1"/>
                <w:color w:val="auto"/>
              </w:rPr>
            </w:pPr>
          </w:p>
        </w:tc>
      </w:tr>
      <w:tr>
        <w:trPr>
          <w:trHeight w:val="180"/>
        </w:trPr>
        <w:tc>
          <w:tcPr>
            <w:tcW w:w="90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Net earnings</w:t>
            </w:r>
            <w:r>
              <w:rPr>
                <w:rFonts w:ascii="Times New Roman" w:cs="Times New Roman" w:eastAsia="Times New Roman" w:hAnsi="Times New Roman"/>
                <w:sz w:val="18"/>
                <w:szCs w:val="18"/>
                <w:color w:val="auto"/>
                <w:vertAlign w:val="superscript"/>
              </w:rPr>
              <w:t>(1)</w:t>
            </w:r>
          </w:p>
        </w:tc>
        <w:tc>
          <w:tcPr>
            <w:tcW w:w="32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12,976</w:t>
            </w:r>
          </w:p>
        </w:tc>
        <w:tc>
          <w:tcPr>
            <w:tcW w:w="0" w:type="dxa"/>
            <w:vAlign w:val="bottom"/>
          </w:tcPr>
          <w:p>
            <w:pPr>
              <w:spacing w:after="0"/>
              <w:rPr>
                <w:sz w:val="1"/>
                <w:szCs w:val="1"/>
                <w:color w:val="auto"/>
              </w:rPr>
            </w:pPr>
          </w:p>
        </w:tc>
      </w:tr>
      <w:tr>
        <w:trPr>
          <w:trHeight w:val="221"/>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Net earnings for the period includes amortization and depreciation of intangible assets and developed technology acquired upon closing of the Brigit acquisition.</w:t>
            </w: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0"/>
        </w:trPr>
        <w:tc>
          <w:tcPr>
            <w:tcW w:w="90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Acquisitions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concerning other store acquisitions completed during the years ended December 31, 2025,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stores acquired remaining open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stores acquired that were merged with existing stores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transactions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purchase price</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allocated to:</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Customer relationships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5"/>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Rental merchandise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results of the acquired stores and accounts have been included in the consolidated financial statements since their date of acquisition.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Refranchise Sale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9, 2024, we sold 55 Rent-A-Center stores in the states of New York and New Jersey to a franchisee. We received cash consideration of approximately $19.1 million, including approximately $0.6 million related to franchise fees. The sale included on rent and held for rent inventory of approximately $13.0 million, property assets of approximately $2.0 million, and prorated rent and other miscellaneous expenses of $0.4 million, resulting in a net gain on sale of approximately $3.1 million. The gain on sale was recorded to non-labor operating expenses in our Consolidated Statements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Revenues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disaggregate our revenue: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Brigit</w:t>
            </w:r>
          </w:p>
        </w:tc>
        <w:tc>
          <w:tcPr>
            <w:tcW w:w="60" w:type="dxa"/>
            <w:vAlign w:val="bottom"/>
          </w:tcPr>
          <w:p>
            <w:pPr>
              <w:spacing w:after="0"/>
              <w:rPr>
                <w:sz w:val="13"/>
                <w:szCs w:val="13"/>
                <w:color w:val="auto"/>
              </w:rPr>
            </w:pP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40" w:type="dxa"/>
            <w:vAlign w:val="bottom"/>
          </w:tcPr>
          <w:p>
            <w:pPr>
              <w:spacing w:after="0"/>
              <w:rPr>
                <w:sz w:val="13"/>
                <w:szCs w:val="13"/>
                <w:color w:val="auto"/>
              </w:rPr>
            </w:pPr>
          </w:p>
        </w:tc>
      </w:tr>
      <w:tr>
        <w:trPr>
          <w:trHeight w:val="16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Rentals and fees</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1,952,558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1,599,459</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gridSpan w:val="2"/>
            <w:shd w:val="clear" w:color="auto" w:fill="CCEEFF"/>
          </w:tcPr>
          <w:p>
            <w:pPr>
              <w:jc w:val="right"/>
              <w:ind w:right="80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75,002</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3,627,019</w:t>
            </w:r>
          </w:p>
        </w:tc>
        <w:tc>
          <w:tcPr>
            <w:tcW w:w="40" w:type="dxa"/>
            <w:vAlign w:val="bottom"/>
          </w:tcPr>
          <w:p>
            <w:pPr>
              <w:spacing w:after="0"/>
              <w:rPr>
                <w:sz w:val="14"/>
                <w:szCs w:val="14"/>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Merchandise sales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558,373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267,381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829,268</w:t>
            </w:r>
          </w:p>
        </w:tc>
        <w:tc>
          <w:tcPr>
            <w:tcW w:w="40" w:type="dxa"/>
            <w:vAlign w:val="bottom"/>
          </w:tcPr>
          <w:p>
            <w:pPr>
              <w:spacing w:after="0"/>
              <w:rPr>
                <w:sz w:val="14"/>
                <w:szCs w:val="14"/>
                <w:color w:val="auto"/>
              </w:rPr>
            </w:pP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 and fees</w:t>
            </w:r>
          </w:p>
        </w:tc>
        <w:tc>
          <w:tcPr>
            <w:tcW w:w="3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40" w:type="dxa"/>
            <w:vAlign w:val="bottom"/>
          </w:tcPr>
          <w:p>
            <w:pPr>
              <w:spacing w:after="0"/>
              <w:rPr>
                <w:sz w:val="14"/>
                <w:szCs w:val="14"/>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32,750</w:t>
            </w:r>
          </w:p>
        </w:tc>
        <w:tc>
          <w:tcPr>
            <w:tcW w:w="40" w:type="dxa"/>
            <w:vAlign w:val="bottom"/>
          </w:tcPr>
          <w:p>
            <w:pPr>
              <w:spacing w:after="0"/>
              <w:rPr>
                <w:sz w:val="14"/>
                <w:szCs w:val="14"/>
                <w:color w:val="auto"/>
              </w:rPr>
            </w:pPr>
          </w:p>
        </w:tc>
      </w:tr>
      <w:tr>
        <w:trPr>
          <w:trHeight w:val="188"/>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2,512,484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1,897,161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206,024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2"/>
            <w:shd w:val="clear" w:color="auto" w:fill="CCEEFF"/>
          </w:tcPr>
          <w:p>
            <w:pPr>
              <w:jc w:val="right"/>
              <w:ind w:right="805"/>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4,695,061</w:t>
            </w:r>
          </w:p>
        </w:tc>
        <w:tc>
          <w:tcPr>
            <w:tcW w:w="40" w:type="dxa"/>
            <w:vAlign w:val="bottom"/>
          </w:tcPr>
          <w:p>
            <w:pPr>
              <w:spacing w:after="0"/>
              <w:rPr>
                <w:sz w:val="15"/>
                <w:szCs w:val="15"/>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4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54"/>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Acima</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40" w:type="dxa"/>
            <w:vAlign w:val="bottom"/>
          </w:tcPr>
          <w:p>
            <w:pPr>
              <w:spacing w:after="0"/>
              <w:rPr>
                <w:sz w:val="13"/>
                <w:szCs w:val="13"/>
                <w:color w:val="auto"/>
              </w:rPr>
            </w:pPr>
          </w:p>
        </w:tc>
      </w:tr>
      <w:tr>
        <w:trPr>
          <w:trHeight w:val="16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Rentals and fees</w:t>
            </w:r>
          </w:p>
        </w:tc>
        <w:tc>
          <w:tcPr>
            <w:tcW w:w="3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1,760,086</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1,679,385</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74,187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40" w:type="dxa"/>
            <w:vAlign w:val="bottom"/>
            <w:tcBorders>
              <w:top w:val="single" w:sz="8" w:color="auto"/>
            </w:tcBorders>
            <w:shd w:val="clear" w:color="auto" w:fill="CCEEFF"/>
          </w:tcPr>
          <w:p>
            <w:pPr>
              <w:spacing w:after="0"/>
              <w:rPr>
                <w:sz w:val="14"/>
                <w:szCs w:val="14"/>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Merchandise sales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499,407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270,908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3,429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773,744</w:t>
            </w:r>
          </w:p>
        </w:tc>
        <w:tc>
          <w:tcPr>
            <w:tcW w:w="40" w:type="dxa"/>
            <w:vAlign w:val="bottom"/>
          </w:tcPr>
          <w:p>
            <w:pPr>
              <w:spacing w:after="0"/>
              <w:rPr>
                <w:sz w:val="14"/>
                <w:szCs w:val="14"/>
                <w:color w:val="auto"/>
              </w:rPr>
            </w:pP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30,099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1,110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33,162</w:t>
            </w:r>
          </w:p>
        </w:tc>
        <w:tc>
          <w:tcPr>
            <w:tcW w:w="40" w:type="dxa"/>
            <w:vAlign w:val="bottom"/>
            <w:tcBorders>
              <w:bottom w:val="single" w:sz="8" w:color="auto"/>
            </w:tcBorders>
            <w:shd w:val="clear" w:color="auto" w:fill="CCEEFF"/>
          </w:tcPr>
          <w:p>
            <w:pPr>
              <w:spacing w:after="0"/>
              <w:rPr>
                <w:sz w:val="14"/>
                <w:szCs w:val="14"/>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2,261,446</w:t>
            </w: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1,980,392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78,726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40" w:type="dxa"/>
            <w:vAlign w:val="bottom"/>
            <w:tcBorders>
              <w:bottom w:val="single" w:sz="8" w:color="auto"/>
            </w:tcBorders>
          </w:tcPr>
          <w:p>
            <w:pPr>
              <w:spacing w:after="0"/>
              <w:rPr>
                <w:sz w:val="13"/>
                <w:szCs w:val="13"/>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28"/>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154"/>
        </w:trPr>
        <w:tc>
          <w:tcPr>
            <w:tcW w:w="40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Acima</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40" w:type="dxa"/>
            <w:vAlign w:val="bottom"/>
          </w:tcPr>
          <w:p>
            <w:pPr>
              <w:spacing w:after="0"/>
              <w:rPr>
                <w:sz w:val="13"/>
                <w:szCs w:val="13"/>
                <w:color w:val="auto"/>
              </w:rPr>
            </w:pPr>
          </w:p>
        </w:tc>
      </w:tr>
      <w:tr>
        <w:trPr>
          <w:trHeight w:val="16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Rentals and fees</w:t>
            </w:r>
          </w:p>
        </w:tc>
        <w:tc>
          <w:tcPr>
            <w:tcW w:w="3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1,515,189</w:t>
            </w: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1,676,238</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70,251</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3,261,678</w:t>
            </w:r>
          </w:p>
        </w:tc>
        <w:tc>
          <w:tcPr>
            <w:tcW w:w="40" w:type="dxa"/>
            <w:vAlign w:val="bottom"/>
            <w:tcBorders>
              <w:top w:val="single" w:sz="8" w:color="auto"/>
            </w:tcBorders>
            <w:shd w:val="clear" w:color="auto" w:fill="CCEEFF"/>
          </w:tcPr>
          <w:p>
            <w:pPr>
              <w:spacing w:after="0"/>
              <w:rPr>
                <w:sz w:val="14"/>
                <w:szCs w:val="14"/>
                <w:color w:val="auto"/>
              </w:rPr>
            </w:pPr>
          </w:p>
        </w:tc>
      </w:tr>
      <w:tr>
        <w:trPr>
          <w:trHeight w:val="16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Merchandise sales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415,306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281,599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3,545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700,450</w:t>
            </w:r>
          </w:p>
        </w:tc>
        <w:tc>
          <w:tcPr>
            <w:tcW w:w="40" w:type="dxa"/>
            <w:vAlign w:val="bottom"/>
          </w:tcPr>
          <w:p>
            <w:pPr>
              <w:spacing w:after="0"/>
              <w:rPr>
                <w:sz w:val="14"/>
                <w:szCs w:val="14"/>
                <w:color w:val="auto"/>
              </w:rPr>
            </w:pP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28,626</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829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30,285</w:t>
            </w:r>
          </w:p>
        </w:tc>
        <w:tc>
          <w:tcPr>
            <w:tcW w:w="40" w:type="dxa"/>
            <w:vAlign w:val="bottom"/>
            <w:tcBorders>
              <w:bottom w:val="single" w:sz="8" w:color="auto"/>
            </w:tcBorders>
            <w:shd w:val="clear" w:color="auto" w:fill="CCEEFF"/>
          </w:tcPr>
          <w:p>
            <w:pPr>
              <w:spacing w:after="0"/>
              <w:rPr>
                <w:sz w:val="14"/>
                <w:szCs w:val="14"/>
                <w:color w:val="auto"/>
              </w:rPr>
            </w:pPr>
          </w:p>
        </w:tc>
      </w:tr>
      <w:tr>
        <w:trPr>
          <w:trHeight w:val="160"/>
        </w:trPr>
        <w:tc>
          <w:tcPr>
            <w:tcW w:w="4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1,931,325</w:t>
            </w: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1,986,463</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74,625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3,992,413</w:t>
            </w:r>
          </w:p>
        </w:tc>
        <w:tc>
          <w:tcPr>
            <w:tcW w:w="40" w:type="dxa"/>
            <w:vAlign w:val="bottom"/>
            <w:tcBorders>
              <w:bottom w:val="single" w:sz="8" w:color="auto"/>
            </w:tcBorders>
          </w:tcPr>
          <w:p>
            <w:pPr>
              <w:spacing w:after="0"/>
              <w:rPr>
                <w:sz w:val="13"/>
                <w:szCs w:val="13"/>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Purchase Agreements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Rentals and Fees. </w:t>
      </w:r>
      <w:r>
        <w:rPr>
          <w:rFonts w:ascii="Times New Roman" w:cs="Times New Roman" w:eastAsia="Times New Roman" w:hAnsi="Times New Roman"/>
          <w:sz w:val="14"/>
          <w:szCs w:val="14"/>
          <w:color w:val="auto"/>
        </w:rPr>
        <w:t>Rental merchandise is leased to customers pursuant to lease-to-own agreements, which provide for weekly, bi-weekly, semi-monthly or monthly terms with non-refundable 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spacing w:after="0" w:line="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D for additional information regarding accrued lease revenue.</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Cash received for rental payments, including fees, prior to the period in which it should be recognized, is deferred and recognized according to the lease term. At December 31, 2025 and 2024, we had $62.1 million and $61.6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We do not separate the lease and non-lease components for lease purchase agreements so revenue for product plans is recognized over the term of the current term of the lease. Costs incurred related to product plans are primarily recognized in cost of revenues.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contracts with customers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Merchandise Sales. </w:t>
      </w:r>
      <w:r>
        <w:rPr>
          <w:rFonts w:ascii="Times New Roman" w:cs="Times New Roman" w:eastAsia="Times New Roman" w:hAnsi="Times New Roman"/>
          <w:sz w:val="14"/>
          <w:szCs w:val="14"/>
          <w:color w:val="auto"/>
        </w:rPr>
        <w:t>Revenue for merchandise sales is recognized when payment is received and ownership of the merchandise passes to the customer. Merchandise sales include payments received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 (previously reported in franchise merchandise sales in prior periods).</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Revenue from the sale of merchandise in our retail installment stores is recognized when the installment note is signed and control of the merchandise has passed to the customer (previously reported in installment sales revenue in prior periods).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2025 and December 31, 2024, the amount of deferred revenue included in accrued liabilities related to extended service plans was inconsequential to our financial statements.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Subscriptions and fees. </w:t>
      </w:r>
      <w:r>
        <w:rPr>
          <w:rFonts w:ascii="Times New Roman" w:cs="Times New Roman" w:eastAsia="Times New Roman" w:hAnsi="Times New Roman"/>
          <w:sz w:val="14"/>
          <w:szCs w:val="14"/>
          <w:color w:val="auto"/>
        </w:rPr>
        <w:t>Subscription payments in our Brigit segment are received on a monthly basis from customers who upgrade to a Plus or Premium subscription tier via the Brigit mobile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application and/or web browser. Depending on the optional subscription tier, the customer gains access to some or all of the following services: Credit Monitoring, Credit Builder, Identity Theft Protection, and more. This payment can range based on a variety of factors and higher cost tiers generally offer additional services. Brigit continually fulfills obligations to each customer over the subscription term. The series of distinct services represent a single performance obligation that is satisfied over time. Revenue for the Plus and Premium subscription tiers 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recognized over the subscription term. Customers pay subscriptions at the end of the term. Price concessions are granted to customers who have insufficient funds and are unable to make subscription payments when they are due.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receive payments from customers who request their cash advance be delivered faster for an optional expedited transfer fee. Such expedited transfer fee payments from customers are recognized as revenue over the expected term of the associated customer cash advance. We also serve offers from our marketplace partners’ products and services in our Deals &amp; Offers section of our mobile application. We receive a payment from our partners based on contractual terms, generally on the basis of customer traffic or conversions brought to such products or services. Marketplace revenues are recognized as customer traffic is added and conversions to the marketplace partners’ products and services occur.</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Other revenue primarily consists of franchise royalties, including franchisee contributions to corporate advertising funds, which represent sales-based royalties calculated as a percentage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gross rental payments and sales (previously reported in royalty income and fees in prior periods).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December 31, 2025 and 2024, we had $1.4 million and $2.7 million, respectively, in deferred revenue included in accrued liabilities related to franchise fees.</w:t>
      </w:r>
    </w:p>
    <w:p>
      <w:pPr>
        <w:spacing w:after="0" w:line="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revenue also includes revenues generated by other miscellaneous product plans offered to our lease-to-own and installment customers. Revenue for other product plans is recognized in accordance with the terms of the applicable plan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Receivables and Allowance for Doubtful Accounts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miscellaneous and corporate related receivables. Credit is extended to franchisees based on an evaluation of each franchisee’s financial condition and collateral is generally not required. Trade receivables are generally due within 30 days.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 customer makes a payment, generally on a monthly basis. Interest payments received on installment agreements for the years ended December 31, 2025, 2024 and 2023 was $9.7 million, $10.3 million, and $11.4 million, respectively, included in our merchandise sales revenues in our Consolidated Statements of Operations.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Customer cash advances consist of EWA advances provided to Brigit customers when requested. By leveraging cash flow information from the customer’s bank account as well as customer verified income information, Brigit’s algorithm assesses their earned income and ability to repay, with no FICO or credit check needed and no impact on credit scores. Generally, customers repay cash advances on or shortly after they receive their next paycheck.</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8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Trade and notes receivables</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112,490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109,486</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Installment sales receivable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60,242</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cash advances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receivables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232,855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169,728</w:t>
            </w:r>
          </w:p>
        </w:tc>
      </w:tr>
      <w:tr>
        <w:trPr>
          <w:trHeight w:val="172"/>
        </w:trPr>
        <w:tc>
          <w:tcPr>
            <w:tcW w:w="82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Less allowance for doubtful accounts</w:t>
            </w:r>
            <w:r>
              <w:rPr>
                <w:rFonts w:ascii="Times New Roman" w:cs="Times New Roman" w:eastAsia="Times New Roman" w:hAnsi="Times New Roman"/>
                <w:sz w:val="16"/>
                <w:szCs w:val="16"/>
                <w:color w:val="auto"/>
                <w:vertAlign w:val="superscript"/>
              </w:rPr>
              <w:t>(2)</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(29,661)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(13,290)</w:t>
            </w:r>
          </w:p>
        </w:tc>
      </w:tr>
      <w:tr>
        <w:trPr>
          <w:trHeight w:val="160"/>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receivables, net of allowance for doubtful accounts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203,194</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156,438</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20" w:lineRule="auto"/>
        <w:tabs>
          <w:tab w:leader="none" w:pos="116" w:val="left"/>
        </w:tabs>
        <w:numPr>
          <w:ilvl w:val="0"/>
          <w:numId w:val="3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Trade and notes receivables includes accrued revenue, adjusted for the probability of collection, related to our lease-to-own agreements of $55.9 million and $51.1 million at December 31, 2025 and 2024, respectively, including $51.9 million and $46.6 million related to lease-to-own agreements for Acima Holdings at December 31, 2025 and 2024, respectively, and $3.6 million related to lease-to-own agreements for Rent-A-Center at both December 31, 2025 and 2024.</w:t>
      </w:r>
    </w:p>
    <w:p>
      <w:pPr>
        <w:ind w:left="100" w:hanging="95"/>
        <w:spacing w:after="0" w:line="205" w:lineRule="auto"/>
        <w:tabs>
          <w:tab w:leader="none" w:pos="100" w:val="left"/>
        </w:tabs>
        <w:numPr>
          <w:ilvl w:val="0"/>
          <w:numId w:val="3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Consolidated Statements of Operations.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Consolidated Statements of Operations.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charged-off 45 days past their due date as a reduction to the allowance for doubtful accounts and any recoveries of previously charged off balances are recognized as contra-bad debt expense in our Consolidated Statements of Operations.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allowance for doubtful accounts related to franchising trade and notes receivables was $12.7 million and $2.2 million at December 31, 2025 and 2024, respectively, the allowance for doubtful accounts related to installment sales receivables was $11.1 million at both December 31, 2025 and 2024, and the allowance for doubtful accounts related to Brigit customer cash advances was $5.9 million at December 31,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our allowance for doubtful accounts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allowance for doubtful accounts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rPr>
              <w:t>13,290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3"/>
                <w:szCs w:val="13"/>
                <w:color w:val="auto"/>
              </w:rPr>
              <w:t>14,254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center"/>
              <w:ind w:left="578"/>
              <w:spacing w:after="0"/>
              <w:rPr>
                <w:sz w:val="20"/>
                <w:szCs w:val="20"/>
                <w:color w:val="auto"/>
              </w:rPr>
            </w:pPr>
            <w:r>
              <w:rPr>
                <w:rFonts w:ascii="Times New Roman" w:cs="Times New Roman" w:eastAsia="Times New Roman" w:hAnsi="Times New Roman"/>
                <w:sz w:val="13"/>
                <w:szCs w:val="13"/>
                <w:color w:val="auto"/>
                <w:w w:val="94"/>
              </w:rPr>
              <w:t>13,214</w:t>
            </w:r>
          </w:p>
        </w:tc>
      </w:tr>
      <w:tr>
        <w:trPr>
          <w:trHeight w:val="170"/>
        </w:trPr>
        <w:tc>
          <w:tcPr>
            <w:tcW w:w="672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Estimated uncollectible payments and returns</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4"/>
                <w:szCs w:val="14"/>
                <w:color w:val="auto"/>
              </w:rPr>
            </w:pPr>
          </w:p>
        </w:tc>
        <w:tc>
          <w:tcPr>
            <w:tcW w:w="1100" w:type="dxa"/>
            <w:vAlign w:val="bottom"/>
          </w:tcPr>
          <w:p>
            <w:pPr>
              <w:jc w:val="center"/>
              <w:ind w:left="598"/>
              <w:spacing w:after="0"/>
              <w:rPr>
                <w:sz w:val="20"/>
                <w:szCs w:val="20"/>
                <w:color w:val="auto"/>
              </w:rPr>
            </w:pPr>
            <w:r>
              <w:rPr>
                <w:rFonts w:ascii="Times New Roman" w:cs="Times New Roman" w:eastAsia="Times New Roman" w:hAnsi="Times New Roman"/>
                <w:sz w:val="13"/>
                <w:szCs w:val="13"/>
                <w:color w:val="auto"/>
              </w:rPr>
              <w:t>75,136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center"/>
              <w:ind w:left="839"/>
              <w:spacing w:after="0"/>
              <w:rPr>
                <w:sz w:val="20"/>
                <w:szCs w:val="20"/>
                <w:color w:val="auto"/>
              </w:rPr>
            </w:pPr>
            <w:r>
              <w:rPr>
                <w:rFonts w:ascii="Times New Roman" w:cs="Times New Roman" w:eastAsia="Times New Roman" w:hAnsi="Times New Roman"/>
                <w:sz w:val="13"/>
                <w:szCs w:val="13"/>
                <w:color w:val="auto"/>
              </w:rPr>
              <w:t>19,350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center"/>
              <w:ind w:left="578"/>
              <w:spacing w:after="0"/>
              <w:rPr>
                <w:sz w:val="20"/>
                <w:szCs w:val="20"/>
                <w:color w:val="auto"/>
              </w:rPr>
            </w:pPr>
            <w:r>
              <w:rPr>
                <w:rFonts w:ascii="Times New Roman" w:cs="Times New Roman" w:eastAsia="Times New Roman" w:hAnsi="Times New Roman"/>
                <w:sz w:val="13"/>
                <w:szCs w:val="13"/>
                <w:color w:val="auto"/>
                <w:w w:val="94"/>
              </w:rPr>
              <w:t>25,869</w:t>
            </w:r>
          </w:p>
        </w:tc>
      </w:tr>
      <w:tr>
        <w:trPr>
          <w:trHeight w:val="168"/>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written off, net of recoveries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558"/>
              <w:spacing w:after="0"/>
              <w:rPr>
                <w:sz w:val="20"/>
                <w:szCs w:val="20"/>
                <w:color w:val="auto"/>
              </w:rPr>
            </w:pPr>
            <w:r>
              <w:rPr>
                <w:rFonts w:ascii="Times New Roman" w:cs="Times New Roman" w:eastAsia="Times New Roman" w:hAnsi="Times New Roman"/>
                <w:sz w:val="13"/>
                <w:szCs w:val="13"/>
                <w:color w:val="auto"/>
                <w:w w:val="98"/>
              </w:rPr>
              <w:t>(58,765)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center"/>
              <w:ind w:left="839"/>
              <w:spacing w:after="0"/>
              <w:rPr>
                <w:sz w:val="20"/>
                <w:szCs w:val="20"/>
                <w:color w:val="auto"/>
              </w:rPr>
            </w:pPr>
            <w:r>
              <w:rPr>
                <w:rFonts w:ascii="Times New Roman" w:cs="Times New Roman" w:eastAsia="Times New Roman" w:hAnsi="Times New Roman"/>
                <w:sz w:val="13"/>
                <w:szCs w:val="13"/>
                <w:color w:val="auto"/>
                <w:w w:val="98"/>
              </w:rPr>
              <w:t>(20,314)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558"/>
              <w:spacing w:after="0"/>
              <w:rPr>
                <w:sz w:val="20"/>
                <w:szCs w:val="20"/>
                <w:color w:val="auto"/>
              </w:rPr>
            </w:pPr>
            <w:r>
              <w:rPr>
                <w:rFonts w:ascii="Times New Roman" w:cs="Times New Roman" w:eastAsia="Times New Roman" w:hAnsi="Times New Roman"/>
                <w:sz w:val="13"/>
                <w:szCs w:val="13"/>
                <w:color w:val="auto"/>
                <w:w w:val="98"/>
              </w:rPr>
              <w:t>(24,829)</w:t>
            </w:r>
          </w:p>
        </w:tc>
      </w:tr>
      <w:tr>
        <w:trPr>
          <w:trHeight w:val="163"/>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allowance for doubtful accounts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center"/>
              <w:ind w:left="598"/>
              <w:spacing w:after="0"/>
              <w:rPr>
                <w:sz w:val="20"/>
                <w:szCs w:val="20"/>
                <w:color w:val="auto"/>
              </w:rPr>
            </w:pPr>
            <w:r>
              <w:rPr>
                <w:rFonts w:ascii="Times New Roman" w:cs="Times New Roman" w:eastAsia="Times New Roman" w:hAnsi="Times New Roman"/>
                <w:sz w:val="13"/>
                <w:szCs w:val="13"/>
                <w:color w:val="auto"/>
              </w:rPr>
              <w:t>29,661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center"/>
              <w:ind w:left="839"/>
              <w:spacing w:after="0"/>
              <w:rPr>
                <w:sz w:val="20"/>
                <w:szCs w:val="20"/>
                <w:color w:val="auto"/>
              </w:rPr>
            </w:pPr>
            <w:r>
              <w:rPr>
                <w:rFonts w:ascii="Times New Roman" w:cs="Times New Roman" w:eastAsia="Times New Roman" w:hAnsi="Times New Roman"/>
                <w:sz w:val="13"/>
                <w:szCs w:val="13"/>
                <w:color w:val="auto"/>
              </w:rPr>
              <w:t>13,290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center"/>
              <w:ind w:left="578"/>
              <w:spacing w:after="0"/>
              <w:rPr>
                <w:sz w:val="20"/>
                <w:szCs w:val="20"/>
                <w:color w:val="auto"/>
              </w:rPr>
            </w:pPr>
            <w:r>
              <w:rPr>
                <w:rFonts w:ascii="Times New Roman" w:cs="Times New Roman" w:eastAsia="Times New Roman" w:hAnsi="Times New Roman"/>
                <w:sz w:val="13"/>
                <w:szCs w:val="13"/>
                <w:color w:val="auto"/>
                <w:w w:val="94"/>
              </w:rPr>
              <w:t>14,254</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00" w:hanging="95"/>
        <w:spacing w:after="0"/>
        <w:tabs>
          <w:tab w:leader="none" w:pos="100" w:val="left"/>
        </w:tabs>
        <w:numPr>
          <w:ilvl w:val="0"/>
          <w:numId w:val="3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Uncollectible installment payments, franchisee obligations, customer cash advances and other corporate receivables are recognized in non-labor operating expenses in our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details of Brigit customer cash advances aging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580" w:type="dxa"/>
            <w:vAlign w:val="bottom"/>
            <w:tcBorders>
              <w:bottom w:val="single" w:sz="8" w:color="auto"/>
            </w:tcBorders>
          </w:tcPr>
          <w:p>
            <w:pPr>
              <w:spacing w:after="0"/>
              <w:rPr>
                <w:sz w:val="13"/>
                <w:szCs w:val="13"/>
                <w:color w:val="auto"/>
              </w:rPr>
            </w:pPr>
          </w:p>
        </w:tc>
      </w:tr>
      <w:tr>
        <w:trPr>
          <w:trHeight w:val="15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500" w:type="dxa"/>
            <w:vAlign w:val="bottom"/>
            <w:tcBorders>
              <w:bottom w:val="single" w:sz="8" w:color="auto"/>
            </w:tcBorders>
            <w:shd w:val="clear" w:color="auto" w:fill="CCEEFF"/>
          </w:tcPr>
          <w:p>
            <w:pPr>
              <w:spacing w:after="0"/>
              <w:rPr>
                <w:sz w:val="13"/>
                <w:szCs w:val="13"/>
                <w:color w:val="auto"/>
              </w:rPr>
            </w:pPr>
          </w:p>
        </w:tc>
        <w:tc>
          <w:tcPr>
            <w:tcW w:w="2480" w:type="dxa"/>
            <w:vAlign w:val="bottom"/>
            <w:tcBorders>
              <w:bottom w:val="single" w:sz="8" w:color="auto"/>
            </w:tcBorders>
            <w:shd w:val="clear" w:color="auto" w:fill="CCEEFF"/>
          </w:tcPr>
          <w:p>
            <w:pPr>
              <w:jc w:val="right"/>
              <w:ind w:right="159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580" w:type="dxa"/>
            <w:vAlign w:val="bottom"/>
            <w:tcBorders>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0-15 days</w:t>
            </w: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2480" w:type="dxa"/>
            <w:vAlign w:val="bottom"/>
          </w:tcPr>
          <w:p>
            <w:pPr>
              <w:jc w:val="right"/>
              <w:ind w:right="738"/>
              <w:spacing w:after="0"/>
              <w:rPr>
                <w:sz w:val="20"/>
                <w:szCs w:val="20"/>
                <w:color w:val="auto"/>
              </w:rPr>
            </w:pPr>
            <w:r>
              <w:rPr>
                <w:rFonts w:ascii="Times New Roman" w:cs="Times New Roman" w:eastAsia="Times New Roman" w:hAnsi="Times New Roman"/>
                <w:sz w:val="13"/>
                <w:szCs w:val="13"/>
                <w:color w:val="auto"/>
              </w:rPr>
              <w:t>44,077</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16-30 days</w:t>
            </w:r>
          </w:p>
        </w:tc>
        <w:tc>
          <w:tcPr>
            <w:tcW w:w="500" w:type="dxa"/>
            <w:vAlign w:val="bottom"/>
            <w:shd w:val="clear" w:color="auto" w:fill="CCEEFF"/>
          </w:tcPr>
          <w:p>
            <w:pPr>
              <w:spacing w:after="0"/>
              <w:rPr>
                <w:sz w:val="14"/>
                <w:szCs w:val="14"/>
                <w:color w:val="auto"/>
              </w:rPr>
            </w:pPr>
          </w:p>
        </w:tc>
        <w:tc>
          <w:tcPr>
            <w:tcW w:w="248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3"/>
                <w:szCs w:val="13"/>
                <w:color w:val="auto"/>
              </w:rPr>
              <w:t>9,844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31-45 days</w:t>
            </w:r>
          </w:p>
        </w:tc>
        <w:tc>
          <w:tcPr>
            <w:tcW w:w="500" w:type="dxa"/>
            <w:vAlign w:val="bottom"/>
          </w:tcPr>
          <w:p>
            <w:pPr>
              <w:spacing w:after="0"/>
              <w:rPr>
                <w:sz w:val="14"/>
                <w:szCs w:val="14"/>
                <w:color w:val="auto"/>
              </w:rPr>
            </w:pPr>
          </w:p>
        </w:tc>
        <w:tc>
          <w:tcPr>
            <w:tcW w:w="2480" w:type="dxa"/>
            <w:vAlign w:val="bottom"/>
          </w:tcPr>
          <w:p>
            <w:pPr>
              <w:jc w:val="right"/>
              <w:ind w:right="738"/>
              <w:spacing w:after="0"/>
              <w:rPr>
                <w:sz w:val="20"/>
                <w:szCs w:val="20"/>
                <w:color w:val="auto"/>
              </w:rPr>
            </w:pPr>
            <w:r>
              <w:rPr>
                <w:rFonts w:ascii="Times New Roman" w:cs="Times New Roman" w:eastAsia="Times New Roman" w:hAnsi="Times New Roman"/>
                <w:sz w:val="13"/>
                <w:szCs w:val="13"/>
                <w:color w:val="auto"/>
              </w:rPr>
              <w:t>3,731</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7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45+ days</w:t>
            </w:r>
          </w:p>
        </w:tc>
        <w:tc>
          <w:tcPr>
            <w:tcW w:w="500" w:type="dxa"/>
            <w:vAlign w:val="bottom"/>
            <w:tcBorders>
              <w:bottom w:val="single" w:sz="8" w:color="auto"/>
            </w:tcBorders>
            <w:shd w:val="clear" w:color="auto" w:fill="CCEEFF"/>
          </w:tcPr>
          <w:p>
            <w:pPr>
              <w:spacing w:after="0"/>
              <w:rPr>
                <w:sz w:val="14"/>
                <w:szCs w:val="14"/>
                <w:color w:val="auto"/>
              </w:rPr>
            </w:pPr>
          </w:p>
        </w:tc>
        <w:tc>
          <w:tcPr>
            <w:tcW w:w="248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3"/>
                <w:szCs w:val="13"/>
                <w:color w:val="auto"/>
              </w:rPr>
              <w:t>1,324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3"/>
        </w:trPr>
        <w:tc>
          <w:tcPr>
            <w:tcW w:w="6720" w:type="dxa"/>
            <w:vAlign w:val="bottom"/>
          </w:tcPr>
          <w:p>
            <w:pPr>
              <w:ind w:left="20"/>
              <w:spacing w:after="0" w:line="163" w:lineRule="exact"/>
              <w:rPr>
                <w:sz w:val="20"/>
                <w:szCs w:val="20"/>
                <w:color w:val="auto"/>
              </w:rPr>
            </w:pPr>
            <w:r>
              <w:rPr>
                <w:rFonts w:ascii="Times New Roman" w:cs="Times New Roman" w:eastAsia="Times New Roman" w:hAnsi="Times New Roman"/>
                <w:sz w:val="13"/>
                <w:szCs w:val="13"/>
                <w:color w:val="auto"/>
              </w:rPr>
              <w:t>Customer cash advances before allowance for doubtful accounts</w:t>
            </w:r>
            <w:r>
              <w:rPr>
                <w:rFonts w:ascii="Times New Roman" w:cs="Times New Roman" w:eastAsia="Times New Roman" w:hAnsi="Times New Roman"/>
                <w:sz w:val="16"/>
                <w:szCs w:val="16"/>
                <w:color w:val="auto"/>
                <w:vertAlign w:val="superscript"/>
              </w:rPr>
              <w:t>(1)</w:t>
            </w:r>
          </w:p>
        </w:tc>
        <w:tc>
          <w:tcPr>
            <w:tcW w:w="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24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3"/>
                <w:szCs w:val="13"/>
                <w:color w:val="auto"/>
              </w:rPr>
              <w:t>58,976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6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00" w:hanging="95"/>
        <w:spacing w:after="0"/>
        <w:tabs>
          <w:tab w:leader="none" w:pos="100" w:val="left"/>
        </w:tabs>
        <w:numPr>
          <w:ilvl w:val="0"/>
          <w:numId w:val="3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Brigit was acquired in January 2025.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Rental Merchandise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 rent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1,915,861</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1,842,222</w:t>
            </w:r>
          </w:p>
        </w:tc>
      </w:tr>
      <w:tr>
        <w:trPr>
          <w:trHeight w:val="17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(713,579)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(707,362)</w:t>
            </w:r>
          </w:p>
        </w:tc>
      </w:tr>
      <w:tr>
        <w:trPr>
          <w:trHeight w:val="163"/>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book value, on rent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1,202,282</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1,134,860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82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Held for rent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133,269</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134,875</w:t>
            </w:r>
          </w:p>
        </w:tc>
      </w:tr>
      <w:tr>
        <w:trPr>
          <w:trHeight w:val="170"/>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(20,953)</w:t>
            </w:r>
          </w:p>
        </w:tc>
      </w:tr>
      <w:tr>
        <w:trPr>
          <w:trHeight w:val="163"/>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book value, held for rent</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114,525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113,922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Property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544,062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438,607</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and leasehold improvements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160,632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205,162</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equipment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145,640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140,621</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Transportation equipment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16,704</w:t>
            </w:r>
          </w:p>
        </w:tc>
      </w:tr>
      <w:tr>
        <w:trPr>
          <w:trHeight w:val="15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property assets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866,938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802,859</w:t>
            </w:r>
          </w:p>
        </w:tc>
      </w:tr>
      <w:tr>
        <w:trPr>
          <w:trHeight w:val="17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(556,812)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(548,708)</w:t>
            </w:r>
          </w:p>
        </w:tc>
      </w:tr>
      <w:tr>
        <w:trPr>
          <w:trHeight w:val="163"/>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property assets, net of accumulated depreciation</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310,126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254,151</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had $11.9 million and $12.8 million of capitalized software costs included in construction in progress at December 31, 2025 and 2024, respectively. For the years ended December 31, 2025, 2024, and 2023, we placed in service internally developed software of approximately $47.4 million, $44.0 million, and $15.9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G — Leases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space for all of our Rent-A-Center and Mexico stores under operating leases expiring at various times through 2036. In addition, we lease space for certain support facilities under operating leases expiring at various times through 2032. Most of our store leases are five-year leases and contain renewal options for additional periods ranging from three years to five years at rental rates adjusted according to agreed upon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certain situations involving the sale of a Rent-A-Center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Consolidated Balance Sheets.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Consolidated Balance Sheets. We also lease vehicles for all of our Mexico stores which have terms expiring at various times through 2030 with rental rates adjusted periodically for inflation, which are included in our operating lease right-of-use assets and operating lease liabilities in our Consolidated Balance Sheets. Finally, we have a minimal number of equipment leases, primarily related to temporary storage containers and certain back office technology hardware assets, which are included in our operating lease right-of-use assets and operating lease liabilities in our Consolidated Balance Sheets, or classified as short-term leases and excluded under the short term lease exemption.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our calculation of operating lease right-of-use assets and operating lease liabilities we do not separate the lease and non-lease components. Furthermore, operating lease right-of-use assets and operating lease liabilities are discounted using our incremental borrowing rate, since the implicit rate is not readily determinable. We do not currently have any financing leases.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lease costs are recorded on a straight-line basis within non-labor operating expenses in our Consolidated Statements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operating lease costs by expense type: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3"/>
                <w:szCs w:val="13"/>
                <w:color w:val="auto"/>
              </w:rPr>
            </w:pP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Pr>
          <w:p>
            <w:pPr>
              <w:spacing w:after="0"/>
              <w:rPr>
                <w:sz w:val="13"/>
                <w:szCs w:val="13"/>
                <w:color w:val="auto"/>
              </w:rPr>
            </w:pP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6320" w:type="dxa"/>
            <w:vAlign w:val="bottom"/>
            <w:tcBorders>
              <w:top w:val="single" w:sz="8" w:color="CCEEFF"/>
            </w:tcBorders>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Operating lease cost included in non-labor operating expenses</w:t>
            </w:r>
            <w:r>
              <w:rPr>
                <w:rFonts w:ascii="Times New Roman" w:cs="Times New Roman" w:eastAsia="Times New Roman" w:hAnsi="Times New Roman"/>
                <w:sz w:val="16"/>
                <w:szCs w:val="16"/>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133,150</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129,667</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124,593</w:t>
            </w:r>
          </w:p>
        </w:tc>
        <w:tc>
          <w:tcPr>
            <w:tcW w:w="0" w:type="dxa"/>
            <w:vAlign w:val="bottom"/>
          </w:tcPr>
          <w:p>
            <w:pPr>
              <w:spacing w:after="0"/>
              <w:rPr>
                <w:sz w:val="1"/>
                <w:szCs w:val="1"/>
                <w:color w:val="auto"/>
              </w:rPr>
            </w:pPr>
          </w:p>
        </w:tc>
      </w:tr>
      <w:tr>
        <w:trPr>
          <w:trHeight w:val="168"/>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Operating lease cost included in general and administrative expenses</w:t>
            </w:r>
          </w:p>
        </w:tc>
        <w:tc>
          <w:tcPr>
            <w:tcW w:w="10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5,567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5,725</w:t>
            </w:r>
          </w:p>
        </w:tc>
        <w:tc>
          <w:tcPr>
            <w:tcW w:w="0" w:type="dxa"/>
            <w:vAlign w:val="bottom"/>
          </w:tcPr>
          <w:p>
            <w:pPr>
              <w:spacing w:after="0"/>
              <w:rPr>
                <w:sz w:val="1"/>
                <w:szCs w:val="1"/>
                <w:color w:val="auto"/>
              </w:rPr>
            </w:pPr>
          </w:p>
        </w:tc>
      </w:tr>
      <w:tr>
        <w:trPr>
          <w:trHeight w:val="17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 included in other gains and charges</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5,308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Variable lease expense</w:t>
            </w:r>
          </w:p>
        </w:tc>
        <w:tc>
          <w:tcPr>
            <w:tcW w:w="100" w:type="dxa"/>
            <w:vAlign w:val="bottom"/>
          </w:tcPr>
          <w:p>
            <w:pPr>
              <w:spacing w:after="0"/>
              <w:rPr>
                <w:sz w:val="14"/>
                <w:szCs w:val="14"/>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35,482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37,540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37,660</w:t>
            </w:r>
          </w:p>
        </w:tc>
        <w:tc>
          <w:tcPr>
            <w:tcW w:w="0" w:type="dxa"/>
            <w:vAlign w:val="bottom"/>
          </w:tcPr>
          <w:p>
            <w:pPr>
              <w:spacing w:after="0"/>
              <w:rPr>
                <w:sz w:val="1"/>
                <w:szCs w:val="1"/>
                <w:color w:val="auto"/>
              </w:rPr>
            </w:pPr>
          </w:p>
        </w:tc>
      </w:tr>
      <w:tr>
        <w:trPr>
          <w:trHeight w:val="170"/>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receipts</w:t>
            </w: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(6,637)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(3,913)</w:t>
            </w:r>
          </w:p>
        </w:tc>
        <w:tc>
          <w:tcPr>
            <w:tcW w:w="0" w:type="dxa"/>
            <w:vAlign w:val="bottom"/>
          </w:tcPr>
          <w:p>
            <w:pPr>
              <w:spacing w:after="0"/>
              <w:rPr>
                <w:sz w:val="1"/>
                <w:szCs w:val="1"/>
                <w:color w:val="auto"/>
              </w:rPr>
            </w:pPr>
          </w:p>
        </w:tc>
      </w:tr>
      <w:tr>
        <w:trPr>
          <w:trHeight w:val="163"/>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operating lease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182,700</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171,445</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164,065</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Includes short-term lease costs, which are not significant.</w:t>
            </w: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Pr>
          <w:p>
            <w:pPr>
              <w:spacing w:after="0"/>
              <w:rPr>
                <w:sz w:val="13"/>
                <w:szCs w:val="13"/>
                <w:color w:val="auto"/>
              </w:rPr>
            </w:pP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3"/>
                <w:szCs w:val="13"/>
                <w:color w:val="auto"/>
              </w:rPr>
            </w:pP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66"/>
        </w:trPr>
        <w:tc>
          <w:tcPr>
            <w:tcW w:w="6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99,797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102,013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105,438</w:t>
            </w:r>
          </w:p>
        </w:tc>
        <w:tc>
          <w:tcPr>
            <w:tcW w:w="0" w:type="dxa"/>
            <w:vAlign w:val="bottom"/>
          </w:tcPr>
          <w:p>
            <w:pPr>
              <w:spacing w:after="0"/>
              <w:rPr>
                <w:sz w:val="1"/>
                <w:szCs w:val="1"/>
                <w:color w:val="auto"/>
              </w:rPr>
            </w:pPr>
          </w:p>
        </w:tc>
      </w:tr>
      <w:tr>
        <w:trPr>
          <w:trHeight w:val="168"/>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Cash paid for short-term operating leases not included in operating lease liabilities</w:t>
            </w:r>
          </w:p>
        </w:tc>
        <w:tc>
          <w:tcPr>
            <w:tcW w:w="100" w:type="dxa"/>
            <w:vAlign w:val="bottom"/>
          </w:tcPr>
          <w:p>
            <w:pPr>
              <w:spacing w:after="0"/>
              <w:rPr>
                <w:sz w:val="14"/>
                <w:szCs w:val="14"/>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36,159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19,306</w:t>
            </w:r>
          </w:p>
        </w:tc>
        <w:tc>
          <w:tcPr>
            <w:tcW w:w="0" w:type="dxa"/>
            <w:vAlign w:val="bottom"/>
          </w:tcPr>
          <w:p>
            <w:pPr>
              <w:spacing w:after="0"/>
              <w:rPr>
                <w:sz w:val="1"/>
                <w:szCs w:val="1"/>
                <w:color w:val="auto"/>
              </w:rPr>
            </w:pPr>
          </w:p>
        </w:tc>
      </w:tr>
      <w:tr>
        <w:trPr>
          <w:trHeight w:val="172"/>
        </w:trPr>
        <w:tc>
          <w:tcPr>
            <w:tcW w:w="6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10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101,251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63,874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68,707</w:t>
            </w:r>
          </w:p>
        </w:tc>
        <w:tc>
          <w:tcPr>
            <w:tcW w:w="0" w:type="dxa"/>
            <w:vAlign w:val="bottom"/>
          </w:tcPr>
          <w:p>
            <w:pPr>
              <w:spacing w:after="0"/>
              <w:rPr>
                <w:sz w:val="1"/>
                <w:szCs w:val="1"/>
                <w:color w:val="auto"/>
              </w:rPr>
            </w:pPr>
          </w:p>
        </w:tc>
      </w:tr>
      <w:tr>
        <w:trPr>
          <w:trHeight w:val="328"/>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discount rate and weighted-average remaining lease term:</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4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4"/>
                <w:szCs w:val="14"/>
                <w:color w:val="auto"/>
              </w:rPr>
            </w:pP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70"/>
        </w:trPr>
        <w:tc>
          <w:tcPr>
            <w:tcW w:w="60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Weighted-average discount rate</w:t>
            </w:r>
            <w:r>
              <w:rPr>
                <w:rFonts w:ascii="Times New Roman" w:cs="Times New Roman" w:eastAsia="Times New Roman" w:hAnsi="Times New Roman"/>
                <w:sz w:val="16"/>
                <w:szCs w:val="16"/>
                <w:color w:val="auto"/>
                <w:vertAlign w:val="superscript"/>
              </w:rPr>
              <w:t>(1)</w:t>
            </w:r>
          </w:p>
        </w:tc>
        <w:tc>
          <w:tcPr>
            <w:tcW w:w="220" w:type="dxa"/>
            <w:vAlign w:val="bottom"/>
            <w:tcBorders>
              <w:top w:val="single" w:sz="8" w:color="auto"/>
            </w:tcBorders>
            <w:shd w:val="clear" w:color="auto" w:fill="BFE4FF"/>
          </w:tcPr>
          <w:p>
            <w:pPr>
              <w:spacing w:after="0"/>
              <w:rPr>
                <w:sz w:val="14"/>
                <w:szCs w:val="14"/>
                <w:color w:val="auto"/>
              </w:rPr>
            </w:pPr>
          </w:p>
        </w:tc>
        <w:tc>
          <w:tcPr>
            <w:tcW w:w="20" w:type="dxa"/>
            <w:vAlign w:val="bottom"/>
            <w:tcBorders>
              <w:top w:val="single" w:sz="8" w:color="auto"/>
            </w:tcBorders>
            <w:shd w:val="clear" w:color="auto" w:fill="BFE4FF"/>
          </w:tcPr>
          <w:p>
            <w:pPr>
              <w:spacing w:after="0"/>
              <w:rPr>
                <w:sz w:val="14"/>
                <w:szCs w:val="14"/>
                <w:color w:val="auto"/>
              </w:rPr>
            </w:pPr>
          </w:p>
        </w:tc>
        <w:tc>
          <w:tcPr>
            <w:tcW w:w="100" w:type="dxa"/>
            <w:vAlign w:val="bottom"/>
            <w:tcBorders>
              <w:top w:val="single" w:sz="8" w:color="auto"/>
            </w:tcBorders>
            <w:shd w:val="clear" w:color="auto" w:fill="BFE4FF"/>
          </w:tcPr>
          <w:p>
            <w:pPr>
              <w:spacing w:after="0"/>
              <w:rPr>
                <w:sz w:val="14"/>
                <w:szCs w:val="14"/>
                <w:color w:val="auto"/>
              </w:rPr>
            </w:pPr>
          </w:p>
        </w:tc>
        <w:tc>
          <w:tcPr>
            <w:tcW w:w="13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2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25"/>
        </w:trPr>
        <w:tc>
          <w:tcPr>
            <w:tcW w:w="6320" w:type="dxa"/>
            <w:vAlign w:val="bottom"/>
            <w:gridSpan w:val="3"/>
          </w:tcPr>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January 1, 2019 incremental borrowing rate was used for leases in existence at the time of adoption of ASU 2016-02.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0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Reconciliation of undiscounted operating lease liabilities to the present value operating lease liabilities at December 31, 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900" w:type="dxa"/>
            <w:vAlign w:val="bottom"/>
            <w:tcBorders>
              <w:bottom w:val="single" w:sz="8" w:color="auto"/>
            </w:tcBorders>
            <w:gridSpan w:val="5"/>
          </w:tcPr>
          <w:p>
            <w:pPr>
              <w:jc w:val="right"/>
              <w:ind w:right="957"/>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0" w:type="dxa"/>
            <w:vAlign w:val="bottom"/>
          </w:tcPr>
          <w:p>
            <w:pPr>
              <w:spacing w:after="0"/>
              <w:rPr>
                <w:sz w:val="1"/>
                <w:szCs w:val="1"/>
                <w:color w:val="auto"/>
              </w:rPr>
            </w:pPr>
          </w:p>
        </w:tc>
      </w:tr>
      <w:tr>
        <w:trPr>
          <w:trHeight w:val="17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100,065</w:t>
            </w:r>
          </w:p>
        </w:tc>
        <w:tc>
          <w:tcPr>
            <w:tcW w:w="0" w:type="dxa"/>
            <w:vAlign w:val="bottom"/>
          </w:tcPr>
          <w:p>
            <w:pPr>
              <w:spacing w:after="0"/>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81,759</w:t>
            </w:r>
          </w:p>
        </w:tc>
        <w:tc>
          <w:tcPr>
            <w:tcW w:w="0" w:type="dxa"/>
            <w:vAlign w:val="bottom"/>
          </w:tcPr>
          <w:p>
            <w:pPr>
              <w:spacing w:after="0"/>
              <w:rPr>
                <w:sz w:val="1"/>
                <w:szCs w:val="1"/>
                <w:color w:val="auto"/>
              </w:rPr>
            </w:pPr>
          </w:p>
        </w:tc>
      </w:tr>
      <w:tr>
        <w:trPr>
          <w:trHeight w:val="17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59,809</w:t>
            </w:r>
          </w:p>
        </w:tc>
        <w:tc>
          <w:tcPr>
            <w:tcW w:w="0" w:type="dxa"/>
            <w:vAlign w:val="bottom"/>
          </w:tcPr>
          <w:p>
            <w:pPr>
              <w:spacing w:after="0"/>
              <w:rPr>
                <w:sz w:val="1"/>
                <w:szCs w:val="1"/>
                <w:color w:val="auto"/>
              </w:rPr>
            </w:pPr>
          </w:p>
        </w:tc>
      </w:tr>
      <w:tr>
        <w:trPr>
          <w:trHeight w:val="165"/>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45,136</w:t>
            </w:r>
          </w:p>
        </w:tc>
        <w:tc>
          <w:tcPr>
            <w:tcW w:w="0" w:type="dxa"/>
            <w:vAlign w:val="bottom"/>
          </w:tcPr>
          <w:p>
            <w:pPr>
              <w:spacing w:after="0"/>
              <w:rPr>
                <w:sz w:val="1"/>
                <w:szCs w:val="1"/>
                <w:color w:val="auto"/>
              </w:rPr>
            </w:pPr>
          </w:p>
        </w:tc>
      </w:tr>
      <w:tr>
        <w:trPr>
          <w:trHeight w:val="17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30,787</w:t>
            </w:r>
          </w:p>
        </w:tc>
        <w:tc>
          <w:tcPr>
            <w:tcW w:w="0" w:type="dxa"/>
            <w:vAlign w:val="bottom"/>
          </w:tcPr>
          <w:p>
            <w:pPr>
              <w:spacing w:after="0"/>
              <w:rPr>
                <w:sz w:val="1"/>
                <w:szCs w:val="1"/>
                <w:color w:val="auto"/>
              </w:rPr>
            </w:pPr>
          </w:p>
        </w:tc>
      </w:tr>
      <w:tr>
        <w:trPr>
          <w:trHeight w:val="168"/>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20,956</w:t>
            </w:r>
          </w:p>
        </w:tc>
        <w:tc>
          <w:tcPr>
            <w:tcW w:w="0" w:type="dxa"/>
            <w:vAlign w:val="bottom"/>
          </w:tcPr>
          <w:p>
            <w:pPr>
              <w:spacing w:after="0"/>
              <w:rPr>
                <w:sz w:val="1"/>
                <w:szCs w:val="1"/>
                <w:color w:val="auto"/>
              </w:rPr>
            </w:pPr>
          </w:p>
        </w:tc>
      </w:tr>
      <w:tr>
        <w:trPr>
          <w:trHeight w:val="163"/>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undiscounted operating lease liabilities</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338,512</w:t>
            </w:r>
          </w:p>
        </w:tc>
        <w:tc>
          <w:tcPr>
            <w:tcW w:w="0" w:type="dxa"/>
            <w:vAlign w:val="bottom"/>
          </w:tcPr>
          <w:p>
            <w:pPr>
              <w:spacing w:after="0"/>
              <w:rPr>
                <w:sz w:val="1"/>
                <w:szCs w:val="1"/>
                <w:color w:val="auto"/>
              </w:rPr>
            </w:pPr>
          </w:p>
        </w:tc>
      </w:tr>
      <w:tr>
        <w:trPr>
          <w:trHeight w:val="168"/>
        </w:trPr>
        <w:tc>
          <w:tcPr>
            <w:tcW w:w="6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Less: Interest</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(51,714)</w:t>
            </w: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present value of operating lease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01"/>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286,798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H — Goodwill and Other Intangible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fourth quarter of 2025, we completed a qualitative assessment for impairment of goodwill as of October 1, 2025, concluding it was not more likely than not that the carrying value of the net assets of our reporting units exceeded their respective fair values. Therefore, no impairment of goodwill existed as of December 31, 2025.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both December 31, 2025 and 2024, the amount of goodwill attributable to the Acima segment was approximately $288.3 million. At December 31, 2025 and 2024, the amount of goodwill attributable to the Rent-A-Center segment was approximately $3.0 million and $1.9 million, respectively. At December 31, 2025, the amount of goodwill attributable to the Brigit segment was approximately $196.9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changes in recorded goodwill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6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goodwill balance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290,189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289,750</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Additions from acquisitions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197,969</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w:t>
            </w:r>
          </w:p>
        </w:tc>
      </w:tr>
      <w:tr>
        <w:trPr>
          <w:trHeight w:val="18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goodwill balance</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488,158</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290,189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Amortizable intangible assets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7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978"/>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6"/>
        </w:trPr>
        <w:tc>
          <w:tcPr>
            <w:tcW w:w="3640" w:type="dxa"/>
            <w:vAlign w:val="bottom"/>
          </w:tcPr>
          <w:p>
            <w:pPr>
              <w:spacing w:after="0"/>
              <w:rPr>
                <w:sz w:val="9"/>
                <w:szCs w:val="9"/>
                <w:color w:val="auto"/>
              </w:rPr>
            </w:pPr>
          </w:p>
        </w:tc>
        <w:tc>
          <w:tcPr>
            <w:tcW w:w="154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Avg.</w:t>
            </w:r>
          </w:p>
        </w:tc>
        <w:tc>
          <w:tcPr>
            <w:tcW w:w="280" w:type="dxa"/>
            <w:vAlign w:val="bottom"/>
          </w:tcPr>
          <w:p>
            <w:pPr>
              <w:spacing w:after="0"/>
              <w:rPr>
                <w:sz w:val="9"/>
                <w:szCs w:val="9"/>
                <w:color w:val="auto"/>
              </w:rPr>
            </w:pPr>
          </w:p>
        </w:tc>
        <w:tc>
          <w:tcPr>
            <w:tcW w:w="1260" w:type="dxa"/>
            <w:vAlign w:val="bottom"/>
            <w:gridSpan w:val="2"/>
          </w:tcPr>
          <w:p>
            <w:pPr>
              <w:jc w:val="center"/>
              <w:ind w:right="38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300" w:type="dxa"/>
            <w:vAlign w:val="bottom"/>
          </w:tcPr>
          <w:p>
            <w:pPr>
              <w:spacing w:after="0"/>
              <w:rPr>
                <w:sz w:val="9"/>
                <w:szCs w:val="9"/>
                <w:color w:val="auto"/>
              </w:rPr>
            </w:pPr>
          </w:p>
        </w:tc>
        <w:tc>
          <w:tcPr>
            <w:tcW w:w="1240" w:type="dxa"/>
            <w:vAlign w:val="bottom"/>
            <w:gridSpan w:val="2"/>
          </w:tcPr>
          <w:p>
            <w:pPr>
              <w:jc w:val="center"/>
              <w:ind w:right="400"/>
              <w:spacing w:after="0" w:line="106" w:lineRule="exact"/>
              <w:rPr>
                <w:sz w:val="20"/>
                <w:szCs w:val="20"/>
                <w:color w:val="auto"/>
              </w:rPr>
            </w:pPr>
            <w:r>
              <w:rPr>
                <w:rFonts w:ascii="Times New Roman" w:cs="Times New Roman" w:eastAsia="Times New Roman" w:hAnsi="Times New Roman"/>
                <w:sz w:val="11"/>
                <w:szCs w:val="11"/>
                <w:b w:val="1"/>
                <w:bCs w:val="1"/>
                <w:color w:val="auto"/>
              </w:rPr>
              <w:t>Gross</w:t>
            </w:r>
          </w:p>
        </w:tc>
        <w:tc>
          <w:tcPr>
            <w:tcW w:w="240" w:type="dxa"/>
            <w:vAlign w:val="bottom"/>
          </w:tcPr>
          <w:p>
            <w:pPr>
              <w:spacing w:after="0"/>
              <w:rPr>
                <w:sz w:val="9"/>
                <w:szCs w:val="9"/>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0" w:type="dxa"/>
            <w:vAlign w:val="bottom"/>
          </w:tcPr>
          <w:p>
            <w:pPr>
              <w:spacing w:after="0"/>
              <w:rPr>
                <w:sz w:val="1"/>
                <w:szCs w:val="1"/>
                <w:color w:val="auto"/>
              </w:rPr>
            </w:pPr>
          </w:p>
        </w:tc>
      </w:tr>
      <w:tr>
        <w:trPr>
          <w:trHeight w:val="117"/>
        </w:trPr>
        <w:tc>
          <w:tcPr>
            <w:tcW w:w="3640" w:type="dxa"/>
            <w:vAlign w:val="bottom"/>
            <w:vMerge w:val="restart"/>
          </w:tcPr>
          <w:p>
            <w:pPr>
              <w:ind w:left="4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15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Life</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640" w:type="dxa"/>
            <w:vAlign w:val="bottom"/>
            <w:vMerge w:val="continue"/>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i w:val="1"/>
                <w:iCs w:val="1"/>
                <w:color w:val="auto"/>
              </w:rPr>
              <w:t>(years)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3"/>
                <w:szCs w:val="13"/>
                <w:color w:val="auto"/>
              </w:rPr>
            </w:pP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0" w:type="dxa"/>
            <w:vAlign w:val="bottom"/>
          </w:tcPr>
          <w:p>
            <w:pPr>
              <w:spacing w:after="0"/>
              <w:rPr>
                <w:sz w:val="1"/>
                <w:szCs w:val="1"/>
                <w:color w:val="auto"/>
              </w:rPr>
            </w:pPr>
          </w:p>
        </w:tc>
      </w:tr>
      <w:tr>
        <w:trPr>
          <w:trHeight w:val="16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285,122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153,624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140,417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140,193</w:t>
            </w:r>
          </w:p>
        </w:tc>
        <w:tc>
          <w:tcPr>
            <w:tcW w:w="0" w:type="dxa"/>
            <w:vAlign w:val="bottom"/>
          </w:tcPr>
          <w:p>
            <w:pPr>
              <w:spacing w:after="0"/>
              <w:rPr>
                <w:sz w:val="1"/>
                <w:szCs w:val="1"/>
                <w:color w:val="auto"/>
              </w:rPr>
            </w:pPr>
          </w:p>
        </w:tc>
      </w:tr>
      <w:tr>
        <w:trPr>
          <w:trHeight w:val="168"/>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Merchant relationships</w:t>
            </w:r>
          </w:p>
        </w:tc>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152,630</w:t>
            </w:r>
          </w:p>
        </w:tc>
        <w:tc>
          <w:tcPr>
            <w:tcW w:w="0" w:type="dxa"/>
            <w:vAlign w:val="bottom"/>
          </w:tcPr>
          <w:p>
            <w:pPr>
              <w:spacing w:after="0"/>
              <w:rPr>
                <w:sz w:val="1"/>
                <w:szCs w:val="1"/>
                <w:color w:val="auto"/>
              </w:rPr>
            </w:pPr>
          </w:p>
        </w:tc>
      </w:tr>
      <w:tr>
        <w:trPr>
          <w:trHeight w:val="17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22,108</w:t>
            </w:r>
          </w:p>
        </w:tc>
        <w:tc>
          <w:tcPr>
            <w:tcW w:w="0" w:type="dxa"/>
            <w:vAlign w:val="bottom"/>
          </w:tcPr>
          <w:p>
            <w:pPr>
              <w:spacing w:after="0"/>
              <w:rPr>
                <w:sz w:val="1"/>
                <w:szCs w:val="1"/>
                <w:color w:val="auto"/>
              </w:rPr>
            </w:pPr>
          </w:p>
        </w:tc>
      </w:tr>
      <w:tr>
        <w:trPr>
          <w:trHeight w:val="168"/>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Non-compete agreements</w:t>
            </w: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46,719</w:t>
            </w:r>
          </w:p>
        </w:tc>
        <w:tc>
          <w:tcPr>
            <w:tcW w:w="0" w:type="dxa"/>
            <w:vAlign w:val="bottom"/>
          </w:tcPr>
          <w:p>
            <w:pPr>
              <w:spacing w:after="0"/>
              <w:rPr>
                <w:sz w:val="1"/>
                <w:szCs w:val="1"/>
                <w:color w:val="auto"/>
              </w:rPr>
            </w:pPr>
          </w:p>
        </w:tc>
      </w:tr>
      <w:tr>
        <w:trPr>
          <w:trHeight w:val="188"/>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other intangible assets</w:t>
            </w: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769,401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420,707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616,896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361,650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Aggregate amortization expense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Ended December 31, 2025</w:t>
            </w:r>
          </w:p>
        </w:tc>
        <w:tc>
          <w:tcPr>
            <w:tcW w:w="46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59,052</w:t>
            </w:r>
          </w:p>
        </w:tc>
      </w:tr>
      <w:tr>
        <w:trPr>
          <w:trHeight w:val="168"/>
        </w:trPr>
        <w:tc>
          <w:tcPr>
            <w:tcW w:w="5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Year Ended December 31, 2024</w:t>
            </w:r>
          </w:p>
        </w:tc>
        <w:tc>
          <w:tcPr>
            <w:tcW w:w="460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46,382</w:t>
            </w:r>
          </w:p>
        </w:tc>
      </w:tr>
      <w:tr>
        <w:trPr>
          <w:trHeight w:val="172"/>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Year Ended December 31, 2023</w:t>
            </w:r>
          </w:p>
        </w:tc>
        <w:tc>
          <w:tcPr>
            <w:tcW w:w="46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58,022</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amortization expense for each of the years ending December 31, is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Pr>
          <w:p>
            <w:pPr>
              <w:spacing w:after="0"/>
              <w:rPr>
                <w:sz w:val="11"/>
                <w:szCs w:val="11"/>
                <w:color w:val="auto"/>
              </w:rPr>
            </w:pPr>
          </w:p>
        </w:tc>
        <w:tc>
          <w:tcPr>
            <w:tcW w:w="1700" w:type="dxa"/>
            <w:vAlign w:val="bottom"/>
          </w:tcPr>
          <w:p>
            <w:pPr>
              <w:jc w:val="right"/>
              <w:ind w:right="678"/>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0" w:type="dxa"/>
            <w:vAlign w:val="bottom"/>
          </w:tcPr>
          <w:p>
            <w:pPr>
              <w:spacing w:after="0"/>
              <w:rPr>
                <w:sz w:val="1"/>
                <w:szCs w:val="1"/>
                <w:color w:val="auto"/>
              </w:rPr>
            </w:pPr>
          </w:p>
        </w:tc>
      </w:tr>
      <w:tr>
        <w:trPr>
          <w:trHeight w:val="153"/>
        </w:trPr>
        <w:tc>
          <w:tcPr>
            <w:tcW w:w="93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Amortization Expense</w:t>
            </w:r>
          </w:p>
        </w:tc>
        <w:tc>
          <w:tcPr>
            <w:tcW w:w="0" w:type="dxa"/>
            <w:vAlign w:val="bottom"/>
          </w:tcPr>
          <w:p>
            <w:pPr>
              <w:spacing w:after="0"/>
              <w:rPr>
                <w:sz w:val="1"/>
                <w:szCs w:val="1"/>
                <w:color w:val="auto"/>
              </w:rPr>
            </w:pPr>
          </w:p>
        </w:tc>
      </w:tr>
      <w:tr>
        <w:trPr>
          <w:trHeight w:val="165"/>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60,283</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60,205</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55,203</w:t>
            </w:r>
          </w:p>
        </w:tc>
        <w:tc>
          <w:tcPr>
            <w:tcW w:w="0" w:type="dxa"/>
            <w:vAlign w:val="bottom"/>
          </w:tcPr>
          <w:p>
            <w:pPr>
              <w:spacing w:after="0"/>
              <w:rPr>
                <w:sz w:val="1"/>
                <w:szCs w:val="1"/>
                <w:color w:val="auto"/>
              </w:rPr>
            </w:pPr>
          </w:p>
        </w:tc>
      </w:tr>
      <w:tr>
        <w:trPr>
          <w:trHeight w:val="168"/>
        </w:trPr>
        <w:tc>
          <w:tcPr>
            <w:tcW w:w="9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54,158</w:t>
            </w:r>
          </w:p>
        </w:tc>
        <w:tc>
          <w:tcPr>
            <w:tcW w:w="0" w:type="dxa"/>
            <w:vAlign w:val="bottom"/>
          </w:tcPr>
          <w:p>
            <w:pPr>
              <w:spacing w:after="0"/>
              <w:rPr>
                <w:sz w:val="1"/>
                <w:szCs w:val="1"/>
                <w:color w:val="auto"/>
              </w:rPr>
            </w:pPr>
          </w:p>
        </w:tc>
      </w:tr>
      <w:tr>
        <w:trPr>
          <w:trHeight w:val="17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53,564</w:t>
            </w:r>
          </w:p>
        </w:tc>
        <w:tc>
          <w:tcPr>
            <w:tcW w:w="0" w:type="dxa"/>
            <w:vAlign w:val="bottom"/>
          </w:tcPr>
          <w:p>
            <w:pPr>
              <w:spacing w:after="0"/>
              <w:rPr>
                <w:sz w:val="1"/>
                <w:szCs w:val="1"/>
                <w:color w:val="auto"/>
              </w:rPr>
            </w:pPr>
          </w:p>
        </w:tc>
      </w:tr>
      <w:tr>
        <w:trPr>
          <w:trHeight w:val="168"/>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66,181</w:t>
            </w:r>
          </w:p>
        </w:tc>
        <w:tc>
          <w:tcPr>
            <w:tcW w:w="0" w:type="dxa"/>
            <w:vAlign w:val="bottom"/>
          </w:tcPr>
          <w:p>
            <w:pPr>
              <w:spacing w:after="0"/>
              <w:rPr>
                <w:sz w:val="1"/>
                <w:szCs w:val="1"/>
                <w:color w:val="auto"/>
              </w:rPr>
            </w:pPr>
          </w:p>
        </w:tc>
      </w:tr>
      <w:tr>
        <w:trPr>
          <w:trHeight w:val="188"/>
        </w:trPr>
        <w:tc>
          <w:tcPr>
            <w:tcW w:w="9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amortization expense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349,594</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2025, we acquired a patent license with a fair value of $0.9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Accrued Liabilities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8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Accrued compensation</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125,044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37,606</w:t>
            </w:r>
          </w:p>
        </w:tc>
      </w:tr>
      <w:tr>
        <w:trPr>
          <w:trHeight w:val="170"/>
        </w:trPr>
        <w:tc>
          <w:tcPr>
            <w:tcW w:w="82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Estimated legal accrual</w:t>
            </w:r>
            <w:r>
              <w:rPr>
                <w:rFonts w:ascii="Times New Roman" w:cs="Times New Roman" w:eastAsia="Times New Roman" w:hAnsi="Times New Roman"/>
                <w:sz w:val="16"/>
                <w:szCs w:val="16"/>
                <w:color w:val="auto"/>
                <w:vertAlign w:val="superscript"/>
              </w:rPr>
              <w:t>(2)</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20,700</w:t>
            </w:r>
          </w:p>
        </w:tc>
      </w:tr>
      <w:tr>
        <w:trPr>
          <w:trHeight w:val="17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insurance costs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70,209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66,586</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63,457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64,952</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31,633</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payable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21,907</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dividends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21,393</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10,742</w:t>
            </w:r>
          </w:p>
        </w:tc>
      </w:tr>
      <w:tr>
        <w:trPr>
          <w:trHeight w:val="17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other</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28,693</w:t>
            </w:r>
          </w:p>
        </w:tc>
      </w:tr>
      <w:tr>
        <w:trPr>
          <w:trHeight w:val="163"/>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Accrued liabilities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461,026</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304,212</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Deferred Consideration and potential earnout payments included in the proceeds of the Brigit acquisition. See Note B for additional information.</w:t>
      </w:r>
    </w:p>
    <w:p>
      <w:pPr>
        <w:spacing w:after="0" w:line="9" w:lineRule="exact"/>
        <w:rPr>
          <w:rFonts w:ascii="Times New Roman" w:cs="Times New Roman" w:eastAsia="Times New Roman" w:hAnsi="Times New Roman"/>
          <w:sz w:val="13"/>
          <w:szCs w:val="13"/>
          <w:color w:val="auto"/>
          <w:vertAlign w:val="superscript"/>
        </w:rPr>
      </w:pPr>
    </w:p>
    <w:p>
      <w:pPr>
        <w:ind w:left="140" w:hanging="135"/>
        <w:spacing w:after="0" w:line="189" w:lineRule="auto"/>
        <w:tabs>
          <w:tab w:leader="none" w:pos="140" w:val="left"/>
        </w:tabs>
        <w:numPr>
          <w:ilvl w:val="0"/>
          <w:numId w:val="3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See Note M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financial statement purposes, earnings before income taxes by source was comprised of the following:</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7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40" w:type="dxa"/>
            <w:vAlign w:val="bottom"/>
            <w:tcBorders>
              <w:bottom w:val="single" w:sz="8" w:color="auto"/>
            </w:tcBorders>
          </w:tcPr>
          <w:p>
            <w:pPr>
              <w:spacing w:after="0"/>
              <w:rPr>
                <w:sz w:val="13"/>
                <w:szCs w:val="13"/>
                <w:color w:val="auto"/>
              </w:rPr>
            </w:pPr>
          </w:p>
        </w:tc>
      </w:tr>
      <w:tr>
        <w:trPr>
          <w:trHeight w:val="149"/>
        </w:trPr>
        <w:tc>
          <w:tcPr>
            <w:tcW w:w="67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2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60" w:type="dxa"/>
            <w:vAlign w:val="bottom"/>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520" w:type="dxa"/>
            <w:vAlign w:val="bottom"/>
            <w:tcBorders>
              <w:top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93,639</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165,020</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38,375</w:t>
            </w:r>
          </w:p>
        </w:tc>
      </w:tr>
      <w:tr>
        <w:trPr>
          <w:trHeight w:val="16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14,452</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12,521</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14,492</w:t>
            </w:r>
          </w:p>
        </w:tc>
      </w:tr>
      <w:tr>
        <w:trPr>
          <w:trHeight w:val="188"/>
        </w:trPr>
        <w:tc>
          <w:tcPr>
            <w:tcW w:w="6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520" w:type="dxa"/>
            <w:vAlign w:val="bottom"/>
            <w:tcBorders>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108,091</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177,541</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52,867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income taxes, net of refunds received, by source was comprised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57,986</w:t>
            </w:r>
          </w:p>
        </w:tc>
      </w:tr>
      <w:tr>
        <w:trPr>
          <w:trHeight w:val="168"/>
        </w:trPr>
        <w:tc>
          <w:tcPr>
            <w:tcW w:w="9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9,229</w:t>
            </w:r>
          </w:p>
        </w:tc>
      </w:tr>
      <w:tr>
        <w:trPr>
          <w:trHeight w:val="170"/>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w:t>
            </w:r>
          </w:p>
        </w:tc>
      </w:tr>
      <w:tr>
        <w:trPr>
          <w:trHeight w:val="163"/>
        </w:trPr>
        <w:tc>
          <w:tcPr>
            <w:tcW w:w="9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income taxes, net of refunds received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69,777</w:t>
            </w: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Reconciliations of the federal statutory rate of 21% to the effective rate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15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(dollar amounts in thousands)</w:t>
            </w:r>
          </w:p>
        </w:tc>
        <w:tc>
          <w:tcPr>
            <w:tcW w:w="3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2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58"/>
        </w:trPr>
        <w:tc>
          <w:tcPr>
            <w:tcW w:w="85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Federal statutory tax rate</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22,699</w:t>
            </w:r>
          </w:p>
        </w:tc>
        <w:tc>
          <w:tcPr>
            <w:tcW w:w="10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72"/>
        </w:trPr>
        <w:tc>
          <w:tcPr>
            <w:tcW w:w="85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State and local income taxes, net of federal income tax effect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68"/>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tax effects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Puerto Rico</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8"/>
        </w:trPr>
        <w:tc>
          <w:tcPr>
            <w:tcW w:w="8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Statutory tax rate difference between Puerto Rico and United States</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2"/>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68"/>
        </w:trPr>
        <w:tc>
          <w:tcPr>
            <w:tcW w:w="8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r>
      <w:tr>
        <w:trPr>
          <w:trHeight w:val="17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cross-border tax laws, net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68"/>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 tax credits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8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7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68"/>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Non-deductible compensation</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7,194</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r>
      <w:tr>
        <w:trPr>
          <w:trHeight w:val="168"/>
        </w:trPr>
        <w:tc>
          <w:tcPr>
            <w:tcW w:w="85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7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6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85"/>
        </w:trPr>
        <w:tc>
          <w:tcPr>
            <w:tcW w:w="8520" w:type="dxa"/>
            <w:vAlign w:val="bottom"/>
            <w:tcBorders>
              <w:bottom w:val="single" w:sz="8" w:color="CCEEFF"/>
            </w:tcBorders>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Effective income tax rate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34,849</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00" w:hanging="95"/>
        <w:spacing w:after="0"/>
        <w:tabs>
          <w:tab w:leader="none" w:pos="100" w:val="left"/>
        </w:tabs>
        <w:numPr>
          <w:ilvl w:val="0"/>
          <w:numId w:val="3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State taxes in California, Illinois, Indiana, New York, Texas and Wisconsin made up the majority (greater than 50 percent) of the tax effect in this category.</w:t>
      </w:r>
    </w:p>
    <w:p>
      <w:pPr>
        <w:spacing w:after="0" w:line="104"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 statutory tax rate</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Non-deductible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57.1 %</w:t>
            </w:r>
          </w:p>
        </w:tc>
      </w:tr>
      <w:tr>
        <w:trPr>
          <w:trHeight w:val="17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16.5 %</w:t>
            </w: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 of foreign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19.5 %</w:t>
            </w:r>
          </w:p>
        </w:tc>
      </w:tr>
      <w:tr>
        <w:trPr>
          <w:trHeight w:val="17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current year credits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 in unrecognized tax benefits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permanent differences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Prior year return to provision 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72"/>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r>
      <w:tr>
        <w:trPr>
          <w:trHeight w:val="168"/>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85"/>
        </w:trPr>
        <w:tc>
          <w:tcPr>
            <w:tcW w:w="8120" w:type="dxa"/>
            <w:vAlign w:val="bottom"/>
            <w:tcBorders>
              <w:top w:val="single" w:sz="8" w:color="CCEEFF"/>
              <w:bottom w:val="single" w:sz="8" w:color="CCEEFF"/>
            </w:tcBorders>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Effective income tax rate</w:t>
            </w: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109.8 %</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(benefit)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expense (benefit)</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(24,583)</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58,480</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9,644</w:t>
            </w:r>
          </w:p>
        </w:tc>
      </w:tr>
      <w:tr>
        <w:trPr>
          <w:trHeight w:val="168"/>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4,385</w:t>
            </w:r>
          </w:p>
        </w:tc>
      </w:tr>
      <w:tr>
        <w:trPr>
          <w:trHeight w:val="163"/>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83,739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72,509</w:t>
            </w:r>
          </w:p>
        </w:tc>
      </w:tr>
      <w:tr>
        <w:trPr>
          <w:trHeight w:val="148"/>
        </w:trPr>
        <w:tc>
          <w:tcPr>
            <w:tcW w:w="6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(benefit) expense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(28,084)</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12,305</w:t>
            </w:r>
          </w:p>
        </w:tc>
      </w:tr>
      <w:tr>
        <w:trPr>
          <w:trHeight w:val="158"/>
        </w:trPr>
        <w:tc>
          <w:tcPr>
            <w:tcW w:w="6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48,233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(29,676)</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(14,463)</w:t>
            </w:r>
          </w:p>
        </w:tc>
      </w:tr>
      <w:tr>
        <w:trPr>
          <w:trHeight w:val="188"/>
        </w:trPr>
        <w:tc>
          <w:tcPr>
            <w:tcW w:w="6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income tax expense</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54,063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tax assets (liabilities)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74,402</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12,814</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76,264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63,258</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73,083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133,235</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assets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obligations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72,790</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3,892</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Foreign tax credit carryforwards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6,181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2,348</w:t>
            </w:r>
          </w:p>
        </w:tc>
      </w:tr>
      <w:tr>
        <w:trPr>
          <w:trHeight w:val="163"/>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314,917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297,978</w:t>
            </w:r>
          </w:p>
        </w:tc>
      </w:tr>
      <w:tr>
        <w:trPr>
          <w:trHeight w:val="16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(8,599)</w:t>
            </w:r>
          </w:p>
        </w:tc>
      </w:tr>
      <w:tr>
        <w:trPr>
          <w:trHeight w:val="1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net</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308,769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289,379</w:t>
            </w:r>
          </w:p>
        </w:tc>
      </w:tr>
      <w:tr>
        <w:trPr>
          <w:trHeight w:val="148"/>
        </w:trPr>
        <w:tc>
          <w:tcPr>
            <w:tcW w:w="82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liabilities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Rental merchandise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(273,457)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(176,375)</w:t>
            </w:r>
          </w:p>
        </w:tc>
      </w:tr>
      <w:tr>
        <w:trPr>
          <w:trHeight w:val="168"/>
        </w:trPr>
        <w:tc>
          <w:tcPr>
            <w:tcW w:w="8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assets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Lease assets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(70,786)</w:t>
            </w:r>
          </w:p>
        </w:tc>
      </w:tr>
      <w:tr>
        <w:trPr>
          <w:trHeight w:val="168"/>
        </w:trPr>
        <w:tc>
          <w:tcPr>
            <w:tcW w:w="8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liabilities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(1,874)</w:t>
            </w:r>
          </w:p>
        </w:tc>
      </w:tr>
      <w:tr>
        <w:trPr>
          <w:trHeight w:val="160"/>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(360,593)</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(249,035)</w:t>
            </w:r>
          </w:p>
        </w:tc>
      </w:tr>
      <w:tr>
        <w:trPr>
          <w:trHeight w:val="163"/>
        </w:trPr>
        <w:tc>
          <w:tcPr>
            <w:tcW w:w="82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Net deferred taxes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(51,824)</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40,344</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 was signed into law. The OBBB contains a broad range of tax reform provisions, including the reinstatement of 100% bonus depreciation and the immediate expensing of domestic R&amp;D under the new § 174A of the Internal Revenue Code. As a result of the enactment of OBBB, the acceleration of certain expenses for tax purposes resulted in an increase to the deferred tax liability with a corresponding increase to income tax receivable as of December 31, 2025. The provisions of OBBB did not have a material impact on our tax expenses for the year ended December 31, 2025, but are expected to have a favorable impact on our cash taxes in 2026.</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each reporting date, our management considers new evidence, both positive and negative, that could impact management’s view with regard to future realization of deferred tax assets. At December 31, 2025, we had net operating loss carryforwards of approximately $276 million for state, $293 million for federal and $8 million for foreign jurisdictions.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After review of all available evidence, we have determined that a valuation allowance is required against certain state net operating loss carryforwards due to inability to project sufficient taxable income to utilize these losses prior to expiration. We also had federal, state and foreign tax credit carryforwards of approximately $9.9 million of which a portion has been offset by a valuation allowance. The net operating losses and credits will expire in various years between 2026 and 2044.</w:t>
      </w:r>
    </w:p>
    <w:p>
      <w:pPr>
        <w:spacing w:after="0" w:line="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We file income tax returns in the U.S. and multiple foreign jurisdictions with varying statutes of limitations. In the normal course of business, we are subject to examination by various taxing authorities. We are currently under examination by certain state revenue authorities for the fiscal years 2013 through 2022. The following is a summary of all tax years that are open to examination.</w:t>
      </w:r>
    </w:p>
    <w:p>
      <w:pPr>
        <w:spacing w:after="0" w:line="1"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Federal - 2022 and forward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States - 2013 and forward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- 2021 and forward</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anticipate that adjustments as a result of these audits, if any, will have a material impact on our Consolidated Statements of Operations, Consolidated Balance Sheets, and statement of cash flows or earnings per share.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unrecognized tax benefit balance</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Additions based on tax positions related to current year</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Additions for tax positions of prior years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Reductions for tax positions of prior years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(4,735)</w:t>
            </w:r>
          </w:p>
        </w:tc>
      </w:tr>
      <w:tr>
        <w:trPr>
          <w:trHeight w:val="17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Settlements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unrecognized tax benefit balance</w:t>
            </w: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Included in the balance of unrecognized tax benefits at December 31, 2025, is $0.8 million, net of federal benefit, which, if ultimately recognized, will affect our annual effective tax rate.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we recorded $3.5 million of interest income primarily related to the reversal of the accrual of interest for matters settled during the year in our favor, partially offset by interest expense of $0.1 million for remaining uncertain tax positions both of which are excluded from the reconciliation of unrecognized tax benefits presented above.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Senior Debt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May 28, 2024 and August 19, 2025, and an Asset Based Loan Credit Facility (the “ABL Credit Facility”), as amended August 10, 2022, June 7, 2024 and August 29, 2025,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10, 2022, we entered into a First Amendment to the ABL Credit Facility, effective as of August 10, 2022. The amendment effected the replacement of LIBOR with Term Secured Overnight Financing Rate (“Term SOFR”) as the benchmark rate of interest thereunder.</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15, 2023, we entered into a Second Amendment to the Term Loan Facility, effective as of June 15, 2023. The amendment effected the replacement of LIBOR with Term SOFR as the benchmark rate of interest.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28, 2024, we entered into a Third Amendment to the Term Loan Facility, effective as of May 28, 2024. The amendment, in addition to certain other changes, effected a repricing of the applicable margin under the Term Loan Facility by reducing the applicable margin, with respect to any initial term loans, by 50 basis points from 3.25% to 2.75% and removing the credit spread adjustment that was previously included in the calculation of the adjusted Term SOFR rate for term benchmark loans.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7, 2024, we entered into a Second Amendment to the ABL Credit Facility, effective as of June 7, 2024. The amendment, in addition to certain other changes, extended the maturity date for loans outstanding under the ABL Credit Facility to June 7, 2029 (subject to certain springing maturity provisions).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on August 19, 2025, resulting in total aggregate borrowings under the Term Loan Facility on such date of $875 million. Proceeds from the Term Loan Facility were net of original issue discount of $4.4 million upon issuance from the lenders.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August 29, 2025 we entered into a Third Amendment to the ABL Credit Facility, effective as of August 29, 2025. The amendment provided for certain changes to the covenants applicable to the ABL Credit Facility.</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execution of the Second Amendment to the ABL Credit Facility, we incurred approximately $3.2 million in debt issuance costs, including third-party arrangement and other professional fees, which were capitalized and recorded as a reduction to our outstanding senior debt in our Consolidated Balance Sheets. In addition, in accordance with ASC Topic 470, “Debt”, we recorded approximately $0.4 million in write-offs of unamortized debt issuance costs previously capitalized upon the issuance of the ABL Credit Facility on February 17, 2021. The write-offs were recorded as debt refinance charges in our Consolidated Statements of Operations.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execution of the Fourth Amendment to the Term Loan Facility and Third Amendment to the ABL Credit Facility, we incurred approximately $4.2 million in debt issuance costs, including third-party arrangement and other professional fees, of which approximately $4.0 million were expensed as debt refinance charges in our Consolidated Statements of Operations, and approximately $0.2 million were capitalized and recorded as a reduction to our outstanding senior debt in our Consolidated Balance Sheets. In addition, in accordance with ASC Topic 470, “Debt”, we recorded approximately $0.9 million in write-offs of unamortized debt issuance costs and original issue discount previously capitalized upon the Third Amendment to the Term Loan Facility on May 28, 2024. The write-offs were recorded as debt refinance charges in our Consolidated Statements of Operations.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the total remaining balances of unamortized debt issuance costs and original issue discount related to our senior debt reported in the Consolidated Balance Sheets were approximately $6.2 million and $4.6 million, respectively. Remaining unamortized debt issuance costs and original issue discount will be amortized to interest expense over the remaining terms of the ABL Credit Facility and Term Loan Facility.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had $264.0 million outstanding borrowings under our ABL Credit Facility at December 31, 2025 and borrowing capacity of $237.6 million, net of issued letters of credit of approximately $48.4 million. The amount outstanding under the Term Loan Facility was $872.8 million at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senior debt facilities as of December 31, 2025 and 2024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720" w:type="dxa"/>
            <w:vAlign w:val="bottom"/>
          </w:tcPr>
          <w:p>
            <w:pPr>
              <w:jc w:val="center"/>
              <w:ind w:right="60"/>
              <w:spacing w:after="0" w:line="108" w:lineRule="exact"/>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center"/>
              <w:ind w:right="159"/>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40" w:type="dxa"/>
            <w:vAlign w:val="bottom"/>
          </w:tcPr>
          <w:p>
            <w:pPr>
              <w:spacing w:after="0"/>
              <w:rPr>
                <w:sz w:val="9"/>
                <w:szCs w:val="9"/>
                <w:color w:val="auto"/>
              </w:rPr>
            </w:pPr>
          </w:p>
        </w:tc>
        <w:tc>
          <w:tcPr>
            <w:tcW w:w="900" w:type="dxa"/>
            <w:vAlign w:val="bottom"/>
          </w:tcPr>
          <w:p>
            <w:pPr>
              <w:jc w:val="center"/>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ind w:right="279"/>
              <w:spacing w:after="0" w:line="108" w:lineRule="exact"/>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3"/>
        </w:trPr>
        <w:tc>
          <w:tcPr>
            <w:tcW w:w="2740" w:type="dxa"/>
            <w:vAlign w:val="bottom"/>
            <w:tcBorders>
              <w:bottom w:val="single" w:sz="8" w:color="CCEEFF"/>
            </w:tcBorders>
            <w:vMerge w:val="continue"/>
          </w:tcPr>
          <w:p>
            <w:pPr>
              <w:spacing w:after="0"/>
              <w:rPr>
                <w:sz w:val="13"/>
                <w:szCs w:val="13"/>
                <w:color w:val="auto"/>
              </w:rPr>
            </w:pPr>
          </w:p>
        </w:tc>
        <w:tc>
          <w:tcPr>
            <w:tcW w:w="17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Available</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Available</w:t>
            </w:r>
          </w:p>
        </w:tc>
        <w:tc>
          <w:tcPr>
            <w:tcW w:w="0" w:type="dxa"/>
            <w:vAlign w:val="bottom"/>
          </w:tcPr>
          <w:p>
            <w:pPr>
              <w:spacing w:after="0"/>
              <w:rPr>
                <w:sz w:val="1"/>
                <w:szCs w:val="1"/>
                <w:color w:val="auto"/>
              </w:rPr>
            </w:pPr>
          </w:p>
        </w:tc>
      </w:tr>
      <w:tr>
        <w:trPr>
          <w:trHeight w:val="154"/>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Debt:</w:t>
            </w:r>
          </w:p>
        </w:tc>
        <w:tc>
          <w:tcPr>
            <w:tcW w:w="1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ABL Credit Facility</w:t>
            </w:r>
            <w:r>
              <w:rPr>
                <w:rFonts w:ascii="Times New Roman" w:cs="Times New Roman" w:eastAsia="Times New Roman" w:hAnsi="Times New Roman"/>
                <w:sz w:val="16"/>
                <w:szCs w:val="16"/>
                <w:color w:val="auto"/>
                <w:vertAlign w:val="superscript"/>
              </w:rPr>
              <w:t>(1)</w:t>
            </w:r>
          </w:p>
        </w:tc>
        <w:tc>
          <w:tcPr>
            <w:tcW w:w="1720" w:type="dxa"/>
            <w:vAlign w:val="bottom"/>
          </w:tcPr>
          <w:p>
            <w:pPr>
              <w:jc w:val="center"/>
              <w:ind w:right="60"/>
              <w:spacing w:after="0"/>
              <w:rPr>
                <w:sz w:val="20"/>
                <w:szCs w:val="20"/>
                <w:color w:val="auto"/>
              </w:rPr>
            </w:pPr>
            <w:r>
              <w:rPr>
                <w:rFonts w:ascii="Times New Roman" w:cs="Times New Roman" w:eastAsia="Times New Roman" w:hAnsi="Times New Roman"/>
                <w:sz w:val="13"/>
                <w:szCs w:val="13"/>
                <w:color w:val="auto"/>
                <w:w w:val="96"/>
              </w:rPr>
              <w:t>June 7, 2029</w:t>
            </w: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237,648</w:t>
            </w:r>
          </w:p>
        </w:tc>
        <w:tc>
          <w:tcPr>
            <w:tcW w:w="80" w:type="dxa"/>
            <w:vAlign w:val="bottom"/>
          </w:tcPr>
          <w:p>
            <w:pPr>
              <w:spacing w:after="0"/>
              <w:rPr>
                <w:sz w:val="22"/>
                <w:szCs w:val="22"/>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428,306</w:t>
            </w: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Term Loan Facility</w:t>
            </w:r>
          </w:p>
        </w:tc>
        <w:tc>
          <w:tcPr>
            <w:tcW w:w="1720" w:type="dxa"/>
            <w:vAlign w:val="bottom"/>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August 19, 2032</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802,333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27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1,136,813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237,648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1,425,000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877,333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428,306</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Unamortized debt issuance costs</w:t>
            </w:r>
          </w:p>
        </w:tc>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(10,783)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(9,607)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senior debt, net</w:t>
            </w: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1,126,030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867,726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00" w:hanging="95"/>
        <w:spacing w:after="0"/>
        <w:tabs>
          <w:tab w:leader="none" w:pos="100" w:val="left"/>
        </w:tabs>
        <w:numPr>
          <w:ilvl w:val="0"/>
          <w:numId w:val="3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Borrowing availability is net of issued letters of credit of approximately $48.4 million and $46.7 million for the years ended December 31, 2025 and 2024,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ABL Credit Facility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ABL Credit Facility bears interest at a fluctuating rate determined by reference to an adjusted Term SOFR rate plus an applicable margin of 1.50% to 2.00%. The total interest rate on the ABL Credit Facility at December 31, 2025 was 5.87%,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December 31, 2025 was 0.250%.</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Loans under the ABL Credit Facility may be borrowed, repaid and re-borrowed until June 7, 2029 (subject to certain springing maturity provision),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December 31, 2025, we were in compliance with all requirements and conditions set forth in our ABL Credit Facility governing documents.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 Loan Facility</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Term Loan Facility, which matures on August 19, 2032, (subject to certain springing maturity provisions), amortizes in equal quarterly installments at a rate of 1.00% per annum of the original principal amount thereof, with the remaining balance due at final maturity. Subject in each case to certain restrictions and conditions, we may add up to $625 million (plus additional amounts subject to the satisfaction of certain financial ratios) of incremental term loan facilities to the Term Loan Facility or utilize incremental capacity under the Term Loan Facility at any time by issuing or incurring incremental equivalent term debt.</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6.63% at December 31, 2025.</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wholly-owned domestic restricted subsidiaries that also guarantee the ABL Credit Facility.</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commencing with the fiscal year ending December 31, 2026, excess cash flow, in each case, subject to certain limitations described therein. These covenants are subject to a number of limitations and exceptions set forth in the governing documents of the Term Loan Facility.</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the scheduled maturity dates of our outstanding senior debt at December 31, 2025 for each of the years ending December 31: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6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ABL Credit Facility</w:t>
            </w:r>
          </w:p>
        </w:tc>
        <w:tc>
          <w:tcPr>
            <w:tcW w:w="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Term Loan Facility </w:t>
            </w:r>
            <w:r>
              <w:rPr>
                <w:rFonts w:ascii="Times New Roman" w:cs="Times New Roman" w:eastAsia="Times New Roman" w:hAnsi="Times New Roman"/>
                <w:sz w:val="14"/>
                <w:szCs w:val="14"/>
                <w:b w:val="1"/>
                <w:bCs w:val="1"/>
                <w:color w:val="auto"/>
                <w:vertAlign w:val="superscript"/>
              </w:rPr>
              <w:t>(1)</w:t>
            </w:r>
          </w:p>
        </w:tc>
        <w:tc>
          <w:tcPr>
            <w:tcW w:w="280" w:type="dxa"/>
            <w:vAlign w:val="bottom"/>
          </w:tcPr>
          <w:p>
            <w:pPr>
              <w:spacing w:after="0"/>
              <w:rPr>
                <w:sz w:val="14"/>
                <w:szCs w:val="14"/>
                <w:color w:val="auto"/>
              </w:rPr>
            </w:pPr>
          </w:p>
        </w:tc>
        <w:tc>
          <w:tcPr>
            <w:tcW w:w="920" w:type="dxa"/>
            <w:vAlign w:val="bottom"/>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60"/>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264,000</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872,813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872,813</w:t>
            </w:r>
          </w:p>
        </w:tc>
      </w:tr>
      <w:tr>
        <w:trPr>
          <w:trHeight w:val="185"/>
        </w:trPr>
        <w:tc>
          <w:tcPr>
            <w:tcW w:w="7460" w:type="dxa"/>
            <w:vAlign w:val="bottom"/>
            <w:tcBorders>
              <w:top w:val="single" w:sz="8" w:color="CCEEFF"/>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senior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872,813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1,136,813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40" w:hanging="135"/>
        <w:spacing w:after="0"/>
        <w:tabs>
          <w:tab w:leader="none" w:pos="140" w:val="left"/>
        </w:tabs>
        <w:numPr>
          <w:ilvl w:val="0"/>
          <w:numId w:val="4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Annual installment requirements were reduced by the amount of the excess cash flow payments made in 2023, in accordance with the terms of the credit agreement governing the Term Loan Facility.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L — Senior Notes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third-party legal and other professional fees, which were capitalized in accordance with ASC Topic 470, “Debt” and recorded as a reduction of our outstanding Notes in our Consolidated Balance Sheets. Debt issuance costs are amortized as interest expense over the term of the Notes. As of December 31, 2025, the total remaining balance of unamortized debt issuance costs related to our Notes reported in the Consolidated Balance Sheets was approximately $6.1 million.</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Contingencies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At December 31, 2025 and 2024, we had estimated legal accruals of $72.0 million and $20.7 million, respectively, included in accrued liabilities in our Consolidated Balance Sheet for pending legal and regulatory matters for which we believe losses are probable and the amount of the loss can be reasonably estimated. Included in the $72.0 million estimated legal accrual at December 31, 2025 are (1) the previously agreed, pending McBurnie litigation settlement payment, as described below, and (2) the ultimate cash amounts that we currently expect to pay as part of the potential settlements of the Multistate and District of Columbia Attorneys’ General matters described further below if we are able to enter final, binding settlement agreements with the Multistate and the District of Columbia Attorneys’ General, which cannot be assured. However, as of the date of this Annual Report on Form 10-K, other than as stated in the immediately preceding sentence with respect to the McBurnie litigation and the Multistate and District of Columbia Attorneys’ General matters, we cannot reasonably predict the ultimate resolution of our 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December 31, 2025 we have incurred legal and other related expenses, and expect to incur substantial additional legal and related expenses, associated with the litigation and investigations discussed below and other pending legal matters.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Unclaimed Property. </w:t>
      </w:r>
      <w:r>
        <w:rPr>
          <w:rFonts w:ascii="Times New Roman" w:cs="Times New Roman" w:eastAsia="Times New Roman" w:hAnsi="Times New Roman"/>
          <w:sz w:val="14"/>
          <w:szCs w:val="14"/>
          <w:color w:val="auto"/>
        </w:rPr>
        <w:t>We are subject to unclaimed property audits by states in the ordinary course of business. The property subject to review in the audit process includes unclaimed wages, vendor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Multistate and District of Columbia Attorneys’ General Investigations. </w:t>
      </w:r>
      <w:r>
        <w:rPr>
          <w:rFonts w:ascii="Times New Roman" w:cs="Times New Roman" w:eastAsia="Times New Roman" w:hAnsi="Times New Roman"/>
          <w:sz w:val="14"/>
          <w:szCs w:val="14"/>
          <w:color w:val="auto"/>
        </w:rPr>
        <w:t>In November 2021, Acima received a letter from the Nebraska Attorney General’s office stating that the Attorney General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43 states. The District of Columbia was formerly a member of the Multistate and part of the Executive Committee, but withdrew from the Multistate and presented a separate settlement demand, and we are engaging in discussions with the District of Columbia Attorney General’s office in addition to the Multistate.</w:t>
      </w:r>
    </w:p>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second quarter 2024, Acima received an initial settlement proposal from the Multistate. Since then, the parties have continued to engage in conversations regarding a potential resolution and Acima has responded to the Multistate’s and District of Columbia’s settlement proposals and monetary demands. In September 2025, we reached a non-binding agreement in principle with the District of Columbia’s Attorney General’s office regarding the primary monetary and injunctive terms of a potential settlement, although any final binding settlement remains subject to negotiation and execution of a definitive settlement agreement. We also believe we are nearing a non-binding agreement in principle with the Executive Committee of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Multistate matter regarding the primary monetary and injunctive terms of a potential settlement, although any final binding settlement remains subject to negotiation and execution of definitive settlement agreements with each of the states in the Multistate, which we cannot assure you will be achieved. As of the date of this Annual Report on Form 10-K, we are continuing to actively discuss the potential resolution of these matters with the Multistate and the District of Columbia with the objective of finalizing settlement agreements in the near term. We are unable to provide assurance that we will be able to reach final binding settlement agreements with the Multistate and the District of Columbia. If we are able to reach final binding settlement agreements in the Multistate and District of Columbia Attorneys’ General matters, we expect that any potential settlement of such matters would include monetary relief, reporting and other provisions, including a release of claims by the Attorneys’ General offices and injunctive relief regarding various aspects of Acima’s business. If, however, we are unable to reach final binding settlement agreements, some or all of such states may commence legal proceedings against Acima. We cannot provide any assurance that any adverse result in litigation will not require a monetary payment and/or changes to Acima’s business practices or operations that could materially and adversely affect our business, financial condition, results of operations or reputation.</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New York Attorney General Litigation. </w:t>
      </w:r>
      <w:r>
        <w:rPr>
          <w:rFonts w:ascii="Times New Roman" w:cs="Times New Roman" w:eastAsia="Times New Roman" w:hAnsi="Times New Roman"/>
          <w:sz w:val="14"/>
          <w:szCs w:val="14"/>
          <w:color w:val="auto"/>
        </w:rPr>
        <w:t>The New York Attorney General (the “NYAG”) issued a subpoena to our Acima subsidiary in January 2020, prior to our acquisition of Acima, seeking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filed a motion to dismiss the NYAG’s lawsuit. As of the date of filing this Annual Report on Form 10-K,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McBurnie Litigation Pending Settlement. </w:t>
      </w:r>
      <w:r>
        <w:rPr>
          <w:rFonts w:ascii="Times New Roman" w:cs="Times New Roman" w:eastAsia="Times New Roman" w:hAnsi="Times New Roman"/>
          <w:sz w:val="14"/>
          <w:szCs w:val="14"/>
          <w:color w:val="auto"/>
        </w:rPr>
        <w:t>We are a defendant in a certified class action entitled</w:t>
      </w:r>
      <w:r>
        <w:rPr>
          <w:rFonts w:ascii="Times New Roman" w:cs="Times New Roman" w:eastAsia="Times New Roman" w:hAnsi="Times New Roman"/>
          <w:sz w:val="14"/>
          <w:szCs w:val="14"/>
          <w:i w:val="1"/>
          <w:iCs w:val="1"/>
          <w:color w:val="auto"/>
        </w:rPr>
        <w:t xml:space="preserve"> McBurnie, et al. v. Acceptance Now, LLC</w:t>
      </w:r>
      <w:r>
        <w:rPr>
          <w:rFonts w:ascii="Times New Roman" w:cs="Times New Roman" w:eastAsia="Times New Roman" w:hAnsi="Times New Roman"/>
          <w:sz w:val="14"/>
          <w:szCs w:val="14"/>
          <w:color w:val="auto"/>
        </w:rPr>
        <w:t>, brought on behalf of individuals who entered into a rental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 agreement with the Company’s former Acceptance Now business in California and were charged a processing fee and/or an expedited fee. Plaintiffs alleged that the fees they were charged were neither “reasonable” nor “actually incurred” in violation of the Karnette Rental-Purchase Act and other California state consumer protection laws. The action is pending in the United States District Court for the Northern District of California. In June 2025, the District Court certified a class of consumers who were charged a processing fee in California within the class period and scheduled a trial date for January 2026. In late July 2025, the parties reached an agreement in principle to settle the class action. We denied the allegations in the case and we did not admit to any violations of law or any wrongdoing. In addition, there has not been any adjudication regarding the claims and allegations in the lawsuit. However, to avoid additional expense, risk and distractions associated with further protracted litigation, the parties agreed to settle the litigation. In August 2025, the parties executed a definitive class-wide settlement agreement, which provides a cash payment by the Company of $14.0 million, which was fully reserved for as of December 31, 2025, as an estimated loss contingency in our consolidated financial statements. The agreement remains subject to final approval by the District Court of the class settlement, which cannot be assured. If the settlement is not finalized for any reason, we intend to continue to vigorously defend the litigation.</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FlexShopper Settlement. </w:t>
      </w:r>
      <w:r>
        <w:rPr>
          <w:rFonts w:ascii="Times New Roman" w:cs="Times New Roman" w:eastAsia="Times New Roman" w:hAnsi="Times New Roman"/>
          <w:sz w:val="14"/>
          <w:szCs w:val="14"/>
          <w:color w:val="auto"/>
        </w:rPr>
        <w:t>On September 30, 2024, FlexShopper, Inc. (“FlexShopper”) filed a patent infringement lawsuit against Upbound Group, Inc, Acima Holdings, LLC and Acima Digital, LLC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the United States District Court for the Eastern District of Texas. On October 1, 2024, FlexShopper issued a press release announcing the lawsuit and a similar lawsuit it filed against another lease-to-own company, Katapult Holdings, Inc. The lawsuit filed against our Company sought damages and an injunction for alleged infringement of five patents assigned to FlexShopper. FlexShopper’s claims related to certain technology allegedly used in connection with Acima’s e-commerce third-party retailer lease-to-own business. In December 2025, FlexShopper and Upbound Group, Inc., Acima Holdings, LLC and Acima Digital, LLC entered into a confidential settlement agreement fully resolving the litigation without admission of any liability, and the District Court dismissed all claims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counterclaims asserted by the parties in the litigation with prejudice. The settlement included a cash payment by the Company, which was made in December 2025 and is therefore not included in the December 31, 2025 estimated legal accrual.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Other Gains and Charges</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Acima Holdings Acquisition</w:t>
      </w:r>
      <w:r>
        <w:rPr>
          <w:rFonts w:ascii="Times New Roman" w:cs="Times New Roman" w:eastAsia="Times New Roman" w:hAnsi="Times New Roman"/>
          <w:sz w:val="14"/>
          <w:szCs w:val="14"/>
          <w:color w:val="auto"/>
        </w:rPr>
        <w:t>. On February 17, 2021, we completed the acquisition of Acima Holdings, a leading provider of virtual lease-to-own solutions. Included in the aggregate consideration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to the former owners of Acima Holdings were 8,096,595 common shares, valued at $414.1 million, subject to 36-month vesting conditions under restricted stock agreements, which were recognized over the vesting term as stock compensation expense, in accordance with ASC Topic 718, “Stock-based Compensation”. During the year ended December 31, 2024, we recognized approximately $4.9 million in stock compensation expense related to these restricted stock agreements. See Note O for additional information. These restricted stock agreements were fully vested as of March 31, 2024. Stock-based compensation expense is reported under our Corporate segment.</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assets acquired as part of the transaction included $520 million in intangible assets and $170 million in developed technology. During the years ended December 31, 2025 and 2024, we recognized approximately $43.7 million and $45.5 million in amortization expense, respectively, related to acquired intangible assets. We also recognized approximately $15.9 million in incremental depreciation expense related to acquired technology assets during both the years ended December 31, 2025 and 2024. Depreciation expense for technology assets is reported under our Corporate segment.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Brigit Acquisition. </w:t>
      </w:r>
      <w:r>
        <w:rPr>
          <w:rFonts w:ascii="Times New Roman" w:cs="Times New Roman" w:eastAsia="Times New Roman" w:hAnsi="Times New Roman"/>
          <w:sz w:val="14"/>
          <w:szCs w:val="14"/>
          <w:color w:val="auto"/>
        </w:rPr>
        <w:t>As described in Note B, on January 31, 2025, we completed the acquisition of Brigit, a leading holistic financial health technology company. Included in the aggregate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issued to the former owners of Brigit were 1,313,331 shares, valued at $39.1 million, issued under restricted stock agreements and subject to vesting conditions, which will be recognized as stock compensation expense over the vesting term, in accordance with ASC Topic 718, “Stock-based Compensation”. During the year ended December 31, 2025, we recognized approximately $20.0 million in stock compensation expense related to these restricted stock agreements, in addition to $14.3 million related to Brigit's Replacement Awards and other agreement compensation. Stock-based and other acquisition-related compensation expense associated with the Brigit acquisition is reported under our Corporate segment. See Note B and Note O for additional information.</w:t>
      </w:r>
    </w:p>
    <w:p>
      <w:pPr>
        <w:spacing w:after="0" w:line="2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assets acquired as part of the transaction included $152.3 million in intangible assets and $65.1 million in developed technology. During the year ended December 31, 2025, we recognized approximately $14.3 million in amortization expense related to acquired intangible assets. We also recognized approximately $8.5 million in incremental depreciation expense related to acquired technology assets during the year ended December 31, 2025. Depreciation expense for technology assets is reported under our Corporate segment.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2025 and 2024, we recognized approximately $6.7 million and $3.7 million, respectively, in transaction costs associated with the closing of the transaction, reported under our Corporate segment.</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Legal Matters. </w:t>
      </w:r>
      <w:r>
        <w:rPr>
          <w:rFonts w:ascii="Times New Roman" w:cs="Times New Roman" w:eastAsia="Times New Roman" w:hAnsi="Times New Roman"/>
          <w:sz w:val="14"/>
          <w:szCs w:val="14"/>
          <w:color w:val="auto"/>
        </w:rPr>
        <w:t>As disclosed further in Note M in this Annual Report on Form 10-K and as previously disclosed, we are currently party to a filed regulatory lawsuit with the New York Attorney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as well as a multistate and District of Columbia regulatory investigation by attorneys’ general offices, none of which we believe are representative of historical regulatory matters that arise in the ordinary course of our business. These matters relate to lease-to-own transactions for our Acima subsidiary, which was acquired in 2021. We are also party to a certified class action brought on behalf of certain individuals who entered into rental purchase agreements and paid certain fees with the Company’s former Acceptance Now business in the state of California, and we were party to a recently settled patent infringement lawsuit. During the years ended December 31, 2025 and 2024, we recorded estimated legal accruals of $70.3 million and $10.7 million, respectively, based on the then-current status of our legal matters, including the foregoing matters, and incurred related litigation and defense expenses of $6.1 million and $5.1 million for the years ended December 31, 2025 and 2024, respectively. Legal accruals for litigation matters and related defense expenses are reported under our Corporate segment. We will continue to evaluate and modify our estimated legal accruals as appropriate in future periods based on future developments.</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Stock Award Letter Agreement</w:t>
      </w:r>
      <w:r>
        <w:rPr>
          <w:rFonts w:ascii="Times New Roman" w:cs="Times New Roman" w:eastAsia="Times New Roman" w:hAnsi="Times New Roman"/>
          <w:sz w:val="14"/>
          <w:szCs w:val="14"/>
          <w:color w:val="auto"/>
        </w:rPr>
        <w:t>. On April 3, 2024, we entered into a letter agreement with the Company’s former Chief Executive Officer as disclosed in our Current Report on Form 8-K dated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years ended December 31, 2025 and 2024 due to this letter agreement was approximately $1.6 million and $5.1 million, respectively. Stock-based compensation expense is reported under our Corporate segment.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Refranchised Store Closures</w:t>
      </w:r>
      <w:r>
        <w:rPr>
          <w:rFonts w:ascii="Times New Roman" w:cs="Times New Roman" w:eastAsia="Times New Roman" w:hAnsi="Times New Roman"/>
          <w:sz w:val="14"/>
          <w:szCs w:val="14"/>
          <w:color w:val="auto"/>
        </w:rPr>
        <w:t>. During the third quarter of 2025, certain refranchised stores for which we remained liable under the existing store and vehicle lease agreements were closed resulting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pre-tax lease impairment charges to write-off the remaining right-of-use asset of $12.4 million and $1.5 million in other miscellaneous shutdown and holding costs during the year ended December 31, 2025. Impairment charges and other expenses for these refranchised store closures are reported under our Rent-A-Center segment.</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Store Consolidations. </w:t>
      </w:r>
      <w:r>
        <w:rPr>
          <w:rFonts w:ascii="Times New Roman" w:cs="Times New Roman" w:eastAsia="Times New Roman" w:hAnsi="Times New Roman"/>
          <w:sz w:val="14"/>
          <w:szCs w:val="14"/>
          <w:color w:val="auto"/>
        </w:rPr>
        <w:t>During the first half of 2024, we closed 55 Rent-A-Center stores, resulting in pre-tax charges of $5.3 million in lease impairment charges and $0.6 million in disposal of fixed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for the year ended December 31, 2024. Other miscellaneous shutdown and holding costs incurred were $0.7 million and $1.4 million for the years ended December 31, 2025 and 2024, respectively. Impairment and other shutdown and holding charges for these store closures are reported under our Rent-A-Center segment.</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Internally Developed Software Depreciation. </w:t>
      </w:r>
      <w:r>
        <w:rPr>
          <w:rFonts w:ascii="Times New Roman" w:cs="Times New Roman" w:eastAsia="Times New Roman" w:hAnsi="Times New Roman"/>
          <w:sz w:val="14"/>
          <w:szCs w:val="14"/>
          <w:color w:val="auto"/>
        </w:rPr>
        <w:t>During the third quarter of 2023, we completed initial development and began pilot testing a new internally developed point-of-sale system for our Rent-A-Center lease-to-own stores. Deployment of the new</w:t>
      </w:r>
    </w:p>
    <w:p>
      <w:pPr>
        <w:jc w:val="both"/>
        <w:spacing w:after="0" w:line="257" w:lineRule="auto"/>
        <w:rPr>
          <w:sz w:val="20"/>
          <w:szCs w:val="20"/>
          <w:color w:val="auto"/>
        </w:rPr>
      </w:pPr>
      <w:r>
        <w:rPr>
          <w:rFonts w:ascii="Times New Roman" w:cs="Times New Roman" w:eastAsia="Times New Roman" w:hAnsi="Times New Roman"/>
          <w:sz w:val="14"/>
          <w:szCs w:val="14"/>
          <w:color w:val="auto"/>
        </w:rPr>
        <w:t>system across our lease-to-own store network began in the second quarter of 2024 and was completed in the third quarter of 2024, at which time our existing point-of-sale software was retired. Therefore, in the third quarter of 2023, we accelerated the remaining useful lives of our existing point-of-sale software assets to align with the deployment timeline of our new point-of-sale system, which resulted in the recognition of additional depreciation expense of $6.1 million for the year ended December 31, 2024. Depreciation expense for internally developed software is reported under our Corporate segment.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with respect to Other gains and charges for the years ended December 31, 2025, 2024 and 2023 is summarized in the below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Legal matters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Acima acquired assets depreciation and amortization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72,935</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Brigit acquired assets depreciation and amortization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Brigit equity consideration vesting</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Brigit replacement awards and other compensation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impairments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Brigit transaction costs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stock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software depreciation</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9,218</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Acima equity consideration vesting</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137,507</w:t>
            </w:r>
          </w:p>
        </w:tc>
      </w:tr>
      <w:tr>
        <w:trPr>
          <w:trHeight w:val="180"/>
        </w:trPr>
        <w:tc>
          <w:tcPr>
            <w:tcW w:w="67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gains and charges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212,221</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104,580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216,909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47" w:lineRule="auto"/>
        <w:tabs>
          <w:tab w:leader="none" w:pos="103" w:val="left"/>
        </w:tabs>
        <w:numPr>
          <w:ilvl w:val="0"/>
          <w:numId w:val="4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Primarily represents interest income on tax refunds for prior years recognized in 2025 offset by shutdown and holding costs related to refranchising recognized during the year ended December 31, 2025, shutdown and holding costs related to store closures for the year ended December 31, 2024 and interest income on tax refunds for prior years received in 2023 for the year ended December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Stock-Based Compensation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long-term incentive plans for the benefit of certain employees and directors. Our current and former plans consist of the 2021 Long-Term Incentive Plan (the “2021 Plan”), the 2016 Long-Term Incentive Plan (the “2016 Plan”), the 2006 Long-Term Incentive Plan (the “2006 Plan”), and the 2006 Equity Incentive Plan (the “Equity Incentive Plan”), which are collectively referred to as the “Plans.” All Plans prior to the 2021 Plan were previously expired upon approval of the superseding Plan, and any shares available for grant under the respective plans were canceled at the time of expiration.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June 8, 2021, at the 2021 Annual Meeting of Stockholders, the stockholders approved the 2021 Plan. The 2021 Plan authorizes the issuance of a total of 5,000,000 shares of common stock. Any shares of common stock granted in connection with 2021 Plan awards will be counted against this limit as one share. No shares of common stock will be deemed to have been issued if (1) such shares covered by the unexercised portion of an option that terminates, expires, or is cancelled or settled in cash or (2) 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2021 Plan (other than options and stock appreciation rights), covering more than 800,000 shares of common stock. On June 6, 2023, at the 2023 Annual Meeting of Stockholders, our stockholders approved an amendment to the 2021 plan (the “Amended 2021 Plan”). The Amended 2021 Plan authorized the issuance of an additional 4,287,000 shares of common stock for a total of 9,287,000 shares of common stock. Excluding the increase in shares of common stock issuable pursuant to the Amended 2021 Plan, the terms of the Amended 2021 Plan are substantially identical to those of the 2021 Plan. As of December 31, 2025 and 2024, there were 2,420,939 and 2,072,822 shares allocated to equity awards outstanding in the Amended 2021 Plan, respectively.</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previously expired 2016 Plan, there were 424,205 and 539,203 shares, respectively, allocated to equity awards outstanding as of December 31, 2025 and 2024, respectively, in the 2016 Plan. The 2016 Plan expired on June 8, 2021 upon approval of the 2021 Plan.</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previously expired 2006 Plan and Equity Incentive Plan (formerly known as the Rent-Way, Inc. 2006 Equity Incentive Plan) there were 500 and 15,291 shares as of December 31, 2025 and 2024, respectively, allocated to outstanding equity awards under the 2006 Plan, and 0 and 8,500 shares as of December 31, 2025 and 2024, respectively, allocated to outstanding equity awards under the Equity Incentive Plan. The 2006 Plan and Equity Incentive Plan previously expired in 2016. Outstanding equity awards under these plans represent vested options that will expire at various times through 2026, unless exercised or canceled prior to the expiration date.</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Options granted to our employees generally become exercisable over a period of 1 to 4 years from the date of grant and may be exercised up to a maximum of 10 years from the date of grant. Options granted to directors are immediately exercisable.</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grant time-vesting restricted stock units to certain employees that vest ratably over a three-year service period. We recognize expense for these awards using the straight-line method over the requisite service period based on the number of awards expected to vest. We also grant performance-based restricted stock units that vest between 0% and 200% based on our stock price performance relative to a market index using a total shareholder return formula established at the date of grant for the subsequent three-year period. We record expense for these awards over the requisite service period, net of the expected forfeiture rate, because the employee must maintain employment to vest in the award.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for the years ended December 31, 2025, 2024 and 2023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70"/>
        </w:trPr>
        <w:tc>
          <w:tcPr>
            <w:tcW w:w="672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Restricted share units</w:t>
            </w:r>
            <w:r>
              <w:rPr>
                <w:rFonts w:ascii="Times New Roman" w:cs="Times New Roman" w:eastAsia="Times New Roman" w:hAnsi="Times New Roman"/>
                <w:sz w:val="16"/>
                <w:szCs w:val="16"/>
                <w:color w:val="auto"/>
                <w:vertAlign w:val="superscript"/>
              </w:rPr>
              <w:t>(1)(2)(3)</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45,349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35,734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161,216</w:t>
            </w:r>
          </w:p>
        </w:tc>
      </w:tr>
      <w:tr>
        <w:trPr>
          <w:trHeight w:val="16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162,116</w:t>
            </w:r>
          </w:p>
        </w:tc>
      </w:tr>
      <w:tr>
        <w:trPr>
          <w:trHeight w:val="16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Tax benefit recognized in the Consolidated Statements of Operations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5,168</w:t>
            </w: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 of tax</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30,591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156,948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140" w:hanging="135"/>
        <w:spacing w:after="0" w:line="250" w:lineRule="auto"/>
        <w:tabs>
          <w:tab w:leader="none" w:pos="103"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expense of $20.0 million recognized for the year ended December 31, 2025 in stock compensation expense related to 1,313,331 common shares issued to the former owners of Brigit as part of the Closing Stock Consideration subject to restricted stock agreements as described in Note B, and recorded to Other gains and charges in our Consolidated Statements of Operations. Shares issued as part of the Closing Stock Consideration for the acquisition of Brigit were not issued under the authorization of the 2021 Plan or any prior approved long-term incentive plan described above. See Note N for additional information.</w:t>
      </w:r>
    </w:p>
    <w:p>
      <w:pPr>
        <w:jc w:val="both"/>
        <w:ind w:left="140" w:hanging="135"/>
        <w:spacing w:after="0" w:line="228" w:lineRule="auto"/>
        <w:tabs>
          <w:tab w:leader="none" w:pos="117" w:val="left"/>
        </w:tabs>
        <w:numPr>
          <w:ilvl w:val="0"/>
          <w:numId w:val="42"/>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expense of $4.9 million and $137.5 million for the years ended December 31, 2024 and 2023, respectively, in stock compensation expense related to 8,096,595 common shares issued to the former owners of Acima, as part of the Closing Stock Consideration subject to restricted stock agreements, and recorded to Other gains and charges in our Consolidated Statements of Operations. Shares issued as part of the Closing Stock Consideration for the acquisition of Acima Holdings were not issued under the authorization of the 2021 Plan or any prior approved long-term incentive plan described above. See Note N for additional information.</w:t>
      </w:r>
    </w:p>
    <w:p>
      <w:pPr>
        <w:ind w:left="140" w:hanging="135"/>
        <w:spacing w:after="0" w:line="233" w:lineRule="auto"/>
        <w:tabs>
          <w:tab w:leader="none" w:pos="103" w:val="left"/>
        </w:tabs>
        <w:numPr>
          <w:ilvl w:val="0"/>
          <w:numId w:val="4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expense of $1.6 million and $5.1 million for the years ended December 31, 2025 and 2024, respectively, in stock compensation expense related to accelerated stock compensation due to the letter agreement entered into with the Company's former Chief Executive Officer and recorded to Other gains and charges in our Consolidated Statements of Operations. See Note N for additional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issue new shares of stock to satisfy option exercises and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with respect to stock option activity related to the Plans for the year ended December 31, 2025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1"/>
                <w:szCs w:val="11"/>
                <w:color w:val="auto"/>
              </w:rPr>
            </w:pPr>
          </w:p>
        </w:tc>
        <w:tc>
          <w:tcPr>
            <w:tcW w:w="1460" w:type="dxa"/>
            <w:vAlign w:val="bottom"/>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Equity Awards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80" w:type="dxa"/>
            <w:vAlign w:val="bottom"/>
          </w:tcPr>
          <w:p>
            <w:pPr>
              <w:spacing w:after="0"/>
              <w:rPr>
                <w:sz w:val="11"/>
                <w:szCs w:val="11"/>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rPr>
              <w:t>Aggregate Intrinsic</w:t>
            </w:r>
          </w:p>
        </w:tc>
        <w:tc>
          <w:tcPr>
            <w:tcW w:w="0" w:type="dxa"/>
            <w:vAlign w:val="bottom"/>
          </w:tcPr>
          <w:p>
            <w:pPr>
              <w:spacing w:after="0"/>
              <w:rPr>
                <w:sz w:val="1"/>
                <w:szCs w:val="1"/>
                <w:color w:val="auto"/>
              </w:rPr>
            </w:pPr>
          </w:p>
        </w:tc>
      </w:tr>
      <w:tr>
        <w:trPr>
          <w:trHeight w:val="115"/>
        </w:trPr>
        <w:tc>
          <w:tcPr>
            <w:tcW w:w="51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jc w:val="center"/>
              <w:ind w:right="101"/>
              <w:spacing w:after="0" w:line="115"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146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Remaining Contractual Life</w:t>
            </w:r>
          </w:p>
        </w:tc>
        <w:tc>
          <w:tcPr>
            <w:tcW w:w="180" w:type="dxa"/>
            <w:vAlign w:val="bottom"/>
          </w:tcPr>
          <w:p>
            <w:pPr>
              <w:spacing w:after="0"/>
              <w:rPr>
                <w:sz w:val="13"/>
                <w:szCs w:val="13"/>
                <w:color w:val="auto"/>
              </w:rPr>
            </w:pP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65"/>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January 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562,994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6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16"/>
                <w:szCs w:val="16"/>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(24,685)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32.33</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424,705</w:t>
            </w:r>
          </w:p>
        </w:tc>
        <w:tc>
          <w:tcPr>
            <w:tcW w:w="280" w:type="dxa"/>
            <w:vAlign w:val="bottom"/>
            <w:tcBorders>
              <w:bottom w:val="single" w:sz="8" w:color="CCEEFF"/>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Exercisable at December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424,705</w:t>
            </w:r>
          </w:p>
        </w:tc>
        <w:tc>
          <w:tcPr>
            <w:tcW w:w="2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00" w:hanging="95"/>
        <w:spacing w:after="0"/>
        <w:tabs>
          <w:tab w:leader="none" w:pos="100" w:val="left"/>
        </w:tabs>
        <w:numPr>
          <w:ilvl w:val="0"/>
          <w:numId w:val="4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There were no options granted in 2025, 2024 or 2023.</w:t>
      </w:r>
    </w:p>
    <w:p>
      <w:pPr>
        <w:spacing w:after="0" w:line="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intrinsic value of options exercised during the years ended December 31, 2025, 2024, and 2023 was $1.4 million, $0.6 million, and $1.5 million, respectively, resulting in tax benefits of $0.5 million, $0.2 million, and $0.5 million, respectively, which are reflected as an outflow from operating activities and an inflow from financing activities in the Consolidated Statements of Cash Flows.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with respect to non-vested restricted stock unit activity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40" w:type="dxa"/>
            <w:vAlign w:val="bottom"/>
          </w:tcPr>
          <w:p>
            <w:pPr>
              <w:spacing w:after="0"/>
              <w:rPr>
                <w:sz w:val="11"/>
                <w:szCs w:val="11"/>
                <w:color w:val="auto"/>
              </w:rPr>
            </w:pPr>
          </w:p>
        </w:tc>
        <w:tc>
          <w:tcPr>
            <w:tcW w:w="182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Restricted Awards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53"/>
        </w:trPr>
        <w:tc>
          <w:tcPr>
            <w:tcW w:w="754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r>
      <w:tr>
        <w:trPr>
          <w:trHeight w:val="16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January 1, 2025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2,072,822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r>
      <w:tr>
        <w:trPr>
          <w:trHeight w:val="170"/>
        </w:trPr>
        <w:tc>
          <w:tcPr>
            <w:tcW w:w="754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16"/>
                <w:szCs w:val="16"/>
                <w:color w:val="auto"/>
                <w:vertAlign w:val="superscript"/>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3,000,791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27.76</w:t>
            </w:r>
          </w:p>
        </w:tc>
      </w:tr>
      <w:tr>
        <w:trPr>
          <w:trHeight w:val="170"/>
        </w:trPr>
        <w:tc>
          <w:tcPr>
            <w:tcW w:w="754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3"/>
                <w:szCs w:val="13"/>
                <w:color w:val="auto"/>
              </w:rPr>
              <w:t>Vested</w:t>
            </w:r>
            <w:r>
              <w:rPr>
                <w:rFonts w:ascii="Times New Roman" w:cs="Times New Roman" w:eastAsia="Times New Roman" w:hAnsi="Times New Roman"/>
                <w:sz w:val="16"/>
                <w:szCs w:val="16"/>
                <w:color w:val="auto"/>
                <w:vertAlign w:val="superscript"/>
              </w:rPr>
              <w:t>(2)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(878,816)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r>
      <w:tr>
        <w:trPr>
          <w:trHeight w:val="168"/>
        </w:trPr>
        <w:tc>
          <w:tcPr>
            <w:tcW w:w="7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(591,860)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27.63</w:t>
            </w:r>
          </w:p>
        </w:tc>
      </w:tr>
      <w:tr>
        <w:trPr>
          <w:trHeight w:val="18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outstanding at December 31, 2025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3,602,937</w:t>
            </w:r>
          </w:p>
        </w:tc>
        <w:tc>
          <w:tcPr>
            <w:tcW w:w="32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50" w:lineRule="exact"/>
        <w:rPr>
          <w:sz w:val="20"/>
          <w:szCs w:val="20"/>
          <w:color w:val="auto"/>
        </w:rPr>
      </w:pPr>
    </w:p>
    <w:p>
      <w:pPr>
        <w:ind w:left="100" w:hanging="95"/>
        <w:spacing w:after="0"/>
        <w:tabs>
          <w:tab w:leader="none" w:pos="100" w:val="left"/>
        </w:tabs>
        <w:numPr>
          <w:ilvl w:val="0"/>
          <w:numId w:val="4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1,313,331 shares issued during 2025 as part of the Closing Stock Consideration for the acquisition of Brigit, as described above.</w:t>
      </w:r>
    </w:p>
    <w:p>
      <w:pPr>
        <w:ind w:left="100" w:hanging="95"/>
        <w:spacing w:after="0" w:line="205" w:lineRule="auto"/>
        <w:tabs>
          <w:tab w:leader="none" w:pos="100" w:val="left"/>
        </w:tabs>
        <w:numPr>
          <w:ilvl w:val="0"/>
          <w:numId w:val="4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131,333 shares vested during 2025 as part of the Closing Stock Consideration for the acquisition of Brigit, as described above.</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Restricted stock units are valued using the closing price reported by the Nasdaq Stock Market on the trading day immediately preceding the day of the grant. Unrecognized compensation expense for unvested restricted stock units at December 31, 2025, including unrecognized compensation for Closing Stock Consideration for the acquisition of Brigit, as described above, was approximately $35.2 million expected to be recognized over a weighted average period of 1.54 years.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Performance-based restricted stock units are valued by a third-party valuation firm using Monte Carlo simulations. Unrecognized compensation expense for unvested performance-based restricted stock units at December 31, 2025, was approximately $16.6 million expected to be recognized over a weighted average period of 1.79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Deferred Compensation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their 401(k) Retirement Savings Plan (the “401(k) Plan”). We may make discretionary contributions to the Deferred Compensation Plan, which are subject to a two-year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2025, 2024 and 2023, we made matching cash contributions of approximately $110 thousand, $160 thousand, and $70 thousand, respectively, which represents 50% of the employees’ contributions to the Deferred Compensation Plan up to an amount not to exceed 6% of each employee's respective compensation. No other discretionary contributions were made for the years ended December 31, 2025, 2024 and 2023. The deferred compensation plan assets and liabilities were approximately $12.3 million and $10.7 million as of December 31, 2025 and 2024,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Q — 401(k) Plan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two-year vesting schedule based on the participant's years of service with us. For the years ended December 31, 2025, 2024 and 2023, we made matching cash contributions of $5.4 million, $5.7 million, and $5.3 million, respectively, which represents 50% of the employees’ contributions to the 401(k) Plan up to an amount not to exceed 6% of each employee's respective compensation. Employees are permitted to elect to purchase our common stock as part of their 401(k) Plan, up to specified limitations and in accordance with applicable law. As of December 31, 2025 and 2024, 2.0% and 3.5%, respectively, of the total plan assets consisted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 — Fair Value</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December 31, 2025 and December 31, 2024,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our Notes is based on Level 1 inputs and was as follows at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4"/>
        </w:trPr>
        <w:tc>
          <w:tcPr>
            <w:tcW w:w="49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Pr>
          <w:p>
            <w:pPr>
              <w:spacing w:after="0"/>
              <w:rPr>
                <w:sz w:val="13"/>
                <w:szCs w:val="13"/>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320" w:type="dxa"/>
            <w:vAlign w:val="bottom"/>
          </w:tcPr>
          <w:p>
            <w:pPr>
              <w:spacing w:after="0"/>
              <w:rPr>
                <w:sz w:val="13"/>
                <w:szCs w:val="13"/>
                <w:color w:val="auto"/>
              </w:rPr>
            </w:pPr>
          </w:p>
        </w:tc>
        <w:tc>
          <w:tcPr>
            <w:tcW w:w="1740" w:type="dxa"/>
            <w:vAlign w:val="bottom"/>
          </w:tcPr>
          <w:p>
            <w:pPr>
              <w:jc w:val="center"/>
              <w:ind w:right="281"/>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500" w:type="dxa"/>
            <w:vAlign w:val="bottom"/>
          </w:tcPr>
          <w:p>
            <w:pPr>
              <w:spacing w:after="0"/>
              <w:rPr>
                <w:sz w:val="13"/>
                <w:szCs w:val="13"/>
                <w:color w:val="auto"/>
              </w:rPr>
            </w:pPr>
          </w:p>
        </w:tc>
        <w:tc>
          <w:tcPr>
            <w:tcW w:w="1620" w:type="dxa"/>
            <w:vAlign w:val="bottom"/>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Difference</w:t>
            </w:r>
          </w:p>
        </w:tc>
      </w:tr>
      <w:tr>
        <w:trPr>
          <w:trHeight w:val="166"/>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443,070</w:t>
            </w:r>
          </w:p>
        </w:tc>
        <w:tc>
          <w:tcPr>
            <w:tcW w:w="50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S — Stock Repurchase Plan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years ended December 31, 2025 and 2024. During 2023 we repurchased 1,706,277 shares of our common stock, under the December 2021 Program for an aggregate purchase price of approximately $50.0 million. At December 31, 2023, in accordance with Section 4501 of the Internal Revenue Code of 1986, as amended, we accrued $0.4 million in excise tax related to the share repurchases in 2023, which was subsequently paid in the year ended December 31, 2024. As of December 31, 2025, under the December 2021 Program, approximately $235.0 million remains available for repurchases.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 — Segment Information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revenues and operating profit for each operating segment in comparison to Company projections and previously reported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 geographic location and store ownership.</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31, 2025, we established a new operating segment following the acquisition of Brigit. Please reference Note B for additional discussion of the acquisition. In addition, effective January 1, 2025, we combined our Franchising segment with our Rent-A-Center segment. Financial information disclosed within this report has been recast for the related prior year period to reflect this change. We report financial operating performance under four operating segments: Acima, Rent-A-Center, Brigit and Mexico. Reportable segments and their respective operations are defined as follows.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Acima segment, which primarily operates in the United States and Puerto Rico, includes the operations of Acima Holdings acquired in February 2021 and locations previously operating under our Acceptance Now brand, which completed the transition to the Acima platform in 2024. The Acima segment generally offers the lease-to-own transaction to consumers who do not qualify for traditional financing through staffed or unstaffed kiosks located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Rent-A-Center segment primarily consists of company-owned lease-to-own stores in the United States and Puerto Rico whose customers enter into weekly, bi-weekly, semi-monthly or monthly rental purchase agreements, which renew automatically upon receipt of each payment. We retain the title to the merchandise during the term of the rental purchase agreement and ownership passes to the customer through an early purchase option or payment of all optional lease renewal terms. This segment also includes 50 stores operating in two states that utilize a retail model which offers installment credit sales through a retail sale transaction. Segment assets include cash, receivables, rental merchandise, property assets and other intangible assets. Our Rent-A-Center segment also includes franchising operations with franchise locations that use the Rent-A-Center’s or RimTyme’s trade names, service marks, trademarks and logos, and operate under distinctive operating procedures and standards. The revenue from franchise stores include the sale of rental merchandise to its franchisees who, in turn, offer the merchandise to the general public for rent or purchase under a lease-to-own program, royalties based on a percent of the franchisees' monthly gross revenue and initial fees for new locations. Segment assets include cash, trade receivables, property assets and intangible assets.</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Brigit segment, which operates in the United States, includes the operations of Bridge IT Inc., which was acquired on January 31, 2025. The Brigit segment, through its mobile and web applications, offers a suite of financial health products and tools designed to help users improve their financial well-being. These include Finance Helper, Deals &amp; Offers, Instant Cash, Credit Builder, Identity Theft Protection and more. Together, these offerings help customers budget more effectively, build financial literacy, discover ways to earn and save, access earned wages ahead of payday, strengthen credit through savings-based programs and protect themselves from identity theft.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Mexico segment consists of our company-owned lease-to-own stores in Mexico. The nature of this segment's operations and assets are the same as our Rent-A-Center segment.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information as of and for the years ended December 31, 2025, 2024, and 2023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35"/>
        </w:trPr>
        <w:tc>
          <w:tcPr>
            <w:tcW w:w="47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160" w:type="dxa"/>
            <w:vAlign w:val="bottom"/>
          </w:tcPr>
          <w:p>
            <w:pPr>
              <w:spacing w:after="0"/>
              <w:rPr>
                <w:sz w:val="20"/>
                <w:szCs w:val="20"/>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Brigit</w:t>
            </w: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28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2,512,484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1,897,161</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206,024</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79,392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4,695,061</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1,749,595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626,930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2,423,352</w:t>
            </w:r>
          </w:p>
        </w:tc>
      </w:tr>
      <w:tr>
        <w:trPr>
          <w:trHeight w:val="171"/>
        </w:trPr>
        <w:tc>
          <w:tcPr>
            <w:tcW w:w="4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762,889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1,270,231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2,271,709</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labor</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481,403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602,301</w:t>
            </w:r>
          </w:p>
        </w:tc>
      </w:tr>
      <w:tr>
        <w:trPr>
          <w:trHeight w:val="180"/>
        </w:trPr>
        <w:tc>
          <w:tcPr>
            <w:tcW w:w="474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Non-labor operating expenses</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479,878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949,918</w:t>
            </w:r>
          </w:p>
        </w:tc>
      </w:tr>
      <w:tr>
        <w:trPr>
          <w:trHeight w:val="180"/>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24,886</w:t>
            </w:r>
          </w:p>
        </w:tc>
      </w:tr>
      <w:tr>
        <w:trPr>
          <w:trHeight w:val="180"/>
        </w:trPr>
        <w:tc>
          <w:tcPr>
            <w:tcW w:w="4740" w:type="dxa"/>
            <w:vAlign w:val="bottom"/>
            <w:tcBorders>
              <w:bottom w:val="single" w:sz="8" w:color="CCEEFF"/>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Other segment expenses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22,738</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114,006</w:t>
            </w:r>
          </w:p>
        </w:tc>
      </w:tr>
      <w:tr>
        <w:trPr>
          <w:trHeight w:val="171"/>
        </w:trPr>
        <w:tc>
          <w:tcPr>
            <w:tcW w:w="4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249,521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580,598</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(357,251)</w:t>
            </w:r>
          </w:p>
        </w:tc>
      </w:tr>
      <w:tr>
        <w:trPr>
          <w:trHeight w:val="171"/>
        </w:trPr>
        <w:tc>
          <w:tcPr>
            <w:tcW w:w="47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Operating profit</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223,347</w:t>
            </w:r>
          </w:p>
        </w:tc>
      </w:tr>
      <w:tr>
        <w:trPr>
          <w:trHeight w:val="180"/>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charges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4,894</w:t>
            </w:r>
          </w:p>
        </w:tc>
      </w:tr>
      <w:tr>
        <w:trPr>
          <w:trHeight w:val="18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112,980</w:t>
            </w:r>
          </w:p>
        </w:tc>
      </w:tr>
      <w:tr>
        <w:trPr>
          <w:trHeight w:val="18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w:t>
            </w:r>
          </w:p>
        </w:tc>
      </w:tr>
      <w:tr>
        <w:trPr>
          <w:trHeight w:val="196"/>
        </w:trPr>
        <w:tc>
          <w:tcPr>
            <w:tcW w:w="47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40" w:hanging="135"/>
        <w:spacing w:after="0"/>
        <w:tabs>
          <w:tab w:leader="none" w:pos="140" w:val="left"/>
        </w:tabs>
        <w:numPr>
          <w:ilvl w:val="0"/>
          <w:numId w:val="4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Lease Charge-Offs of $238.9 million and $80.8 million in the Acima and Rent-A-Center segments, respectively, and net advance losses of $44.5 million in the Brigit segment for the year ended December 31, 2025.</w:t>
      </w:r>
    </w:p>
    <w:p>
      <w:pPr>
        <w:ind w:left="100" w:hanging="95"/>
        <w:spacing w:after="0" w:line="205" w:lineRule="auto"/>
        <w:tabs>
          <w:tab w:leader="none" w:pos="100" w:val="left"/>
        </w:tabs>
        <w:numPr>
          <w:ilvl w:val="0"/>
          <w:numId w:val="4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certain general and administrative expenses and other gains and charges. See Note N for additional information regarding other gains and charges.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35"/>
        </w:trPr>
        <w:tc>
          <w:tcPr>
            <w:tcW w:w="6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28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0"/>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2,261,446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1,980,392</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4,320,564</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1,558,826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659,093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2,240,213</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Gross profit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702,620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1,321,299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2,080,351</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labor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487,772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609,169</w:t>
            </w:r>
          </w:p>
        </w:tc>
      </w:tr>
      <w:tr>
        <w:trPr>
          <w:trHeight w:val="180"/>
        </w:trPr>
        <w:tc>
          <w:tcPr>
            <w:tcW w:w="608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Non-labor operating expenses</w:t>
            </w:r>
            <w:r>
              <w:rPr>
                <w:rFonts w:ascii="Times New Roman" w:cs="Times New Roman" w:eastAsia="Times New Roman" w:hAnsi="Times New Roman"/>
                <w:sz w:val="18"/>
                <w:szCs w:val="18"/>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811,635</w:t>
            </w:r>
          </w:p>
        </w:tc>
      </w:tr>
      <w:tr>
        <w:trPr>
          <w:trHeight w:val="18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23,450</w:t>
            </w:r>
          </w:p>
        </w:tc>
      </w:tr>
      <w:tr>
        <w:trPr>
          <w:trHeight w:val="180"/>
        </w:trPr>
        <w:tc>
          <w:tcPr>
            <w:tcW w:w="6080" w:type="dxa"/>
            <w:vAlign w:val="bottom"/>
            <w:tcBorders>
              <w:bottom w:val="single" w:sz="8" w:color="CCEEFF"/>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Other segment expenses</w:t>
            </w:r>
            <w:r>
              <w:rPr>
                <w:rFonts w:ascii="Times New Roman" w:cs="Times New Roman" w:eastAsia="Times New Roman" w:hAnsi="Times New Roman"/>
                <w:sz w:val="18"/>
                <w:szCs w:val="18"/>
                <w:color w:val="auto"/>
                <w:vertAlign w:val="superscript"/>
              </w:rPr>
              <w:t>(2)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47,126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78,582</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557,515</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1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(265,884)</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Operating profit</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291,631</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refinancing charges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6,604</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110,585</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196"/>
        </w:trPr>
        <w:tc>
          <w:tcPr>
            <w:tcW w:w="60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177,541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40" w:hanging="135"/>
        <w:spacing w:after="0"/>
        <w:tabs>
          <w:tab w:leader="none" w:pos="140" w:val="left"/>
        </w:tabs>
        <w:numPr>
          <w:ilvl w:val="0"/>
          <w:numId w:val="4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Lease Charge-Offs of $211.8 million and $84.8 million in the Acima and Rent-A-Center segments, respectively, and for the year ended December 31, 2024.</w:t>
      </w:r>
    </w:p>
    <w:p>
      <w:pPr>
        <w:ind w:left="100" w:hanging="95"/>
        <w:spacing w:after="0" w:line="205" w:lineRule="auto"/>
        <w:tabs>
          <w:tab w:leader="none" w:pos="100" w:val="left"/>
        </w:tabs>
        <w:numPr>
          <w:ilvl w:val="0"/>
          <w:numId w:val="4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certain general and administrative expenses and other gains and charges. See Note 9 for additional information regarding other gains and charges.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35"/>
        </w:trPr>
        <w:tc>
          <w:tcPr>
            <w:tcW w:w="60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Acima</w:t>
            </w: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Rent-A-Center</w:t>
            </w: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Mexico</w:t>
            </w:r>
          </w:p>
        </w:tc>
        <w:tc>
          <w:tcPr>
            <w:tcW w:w="28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1,931,325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1,986,463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3,992,413</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1,286,878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661,521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1,970,155</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644,447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1,324,942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2,022,258</w:t>
            </w:r>
          </w:p>
        </w:tc>
      </w:tr>
      <w:tr>
        <w:trPr>
          <w:trHeight w:val="180"/>
        </w:trPr>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labor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613,538</w:t>
            </w:r>
          </w:p>
        </w:tc>
      </w:tr>
      <w:tr>
        <w:trPr>
          <w:trHeight w:val="180"/>
        </w:trPr>
        <w:tc>
          <w:tcPr>
            <w:tcW w:w="608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Non-labor operating expenses</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775,919</w:t>
            </w:r>
          </w:p>
        </w:tc>
      </w:tr>
      <w:tr>
        <w:trPr>
          <w:trHeight w:val="180"/>
        </w:trPr>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21,829</w:t>
            </w:r>
          </w:p>
        </w:tc>
      </w:tr>
      <w:tr>
        <w:trPr>
          <w:trHeight w:val="180"/>
        </w:trPr>
        <w:tc>
          <w:tcPr>
            <w:tcW w:w="6080" w:type="dxa"/>
            <w:vAlign w:val="bottom"/>
            <w:tcBorders>
              <w:bottom w:val="single" w:sz="8" w:color="CCEEFF"/>
            </w:tcBorders>
          </w:tcPr>
          <w:p>
            <w:pPr>
              <w:ind w:left="280"/>
              <w:spacing w:after="0" w:line="181" w:lineRule="exact"/>
              <w:rPr>
                <w:sz w:val="20"/>
                <w:szCs w:val="20"/>
                <w:color w:val="auto"/>
              </w:rPr>
            </w:pPr>
            <w:r>
              <w:rPr>
                <w:rFonts w:ascii="Times New Roman" w:cs="Times New Roman" w:eastAsia="Times New Roman" w:hAnsi="Times New Roman"/>
                <w:sz w:val="14"/>
                <w:szCs w:val="14"/>
                <w:color w:val="auto"/>
              </w:rPr>
              <w:t>Other segment expenses</w:t>
            </w:r>
            <w:r>
              <w:rPr>
                <w:rFonts w:ascii="Times New Roman" w:cs="Times New Roman" w:eastAsia="Times New Roman" w:hAnsi="Times New Roman"/>
                <w:sz w:val="18"/>
                <w:szCs w:val="18"/>
                <w:color w:val="auto"/>
                <w:vertAlign w:val="superscript"/>
              </w:rPr>
              <w:t>(2)</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58,052</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80,041</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Segment operating profit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290,605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530,931</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(368,066)</w:t>
            </w:r>
          </w:p>
        </w:tc>
      </w:tr>
      <w:tr>
        <w:trPr>
          <w:trHeight w:val="171"/>
        </w:trPr>
        <w:tc>
          <w:tcPr>
            <w:tcW w:w="6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Operating profit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162,865</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113,418</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w:t>
            </w:r>
          </w:p>
        </w:tc>
      </w:tr>
      <w:tr>
        <w:trPr>
          <w:trHeight w:val="171"/>
        </w:trPr>
        <w:tc>
          <w:tcPr>
            <w:tcW w:w="60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52,867</w:t>
            </w:r>
          </w:p>
        </w:tc>
      </w:tr>
      <w:tr>
        <w:trPr>
          <w:trHeight w:val="20"/>
        </w:trPr>
        <w:tc>
          <w:tcPr>
            <w:tcW w:w="6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140" w:hanging="135"/>
        <w:spacing w:after="0"/>
        <w:tabs>
          <w:tab w:leader="none" w:pos="140" w:val="left"/>
        </w:tabs>
        <w:numPr>
          <w:ilvl w:val="0"/>
          <w:numId w:val="4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Includes Lease Charge-Offs of $179.6 million and $79.9 million in the Acima and Rent-A-Center segments, respectively, for the year ended December 31, 2023.</w:t>
      </w:r>
    </w:p>
    <w:p>
      <w:pPr>
        <w:ind w:left="100" w:hanging="95"/>
        <w:spacing w:after="0" w:line="205" w:lineRule="auto"/>
        <w:tabs>
          <w:tab w:leader="none" w:pos="100" w:val="left"/>
        </w:tabs>
        <w:numPr>
          <w:ilvl w:val="0"/>
          <w:numId w:val="4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Includes certain general and administrative expenses and other gains and charges. See Note 9 for additional information regarding other gains and charges.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w:t>
            </w: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17,986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22,924</w:t>
            </w: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Brigit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3,703</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w:t>
            </w:r>
          </w:p>
        </w:tc>
      </w:tr>
      <w:tr>
        <w:trPr>
          <w:trHeight w:val="158"/>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operating segments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22,589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25,589</w:t>
            </w:r>
          </w:p>
        </w:tc>
      </w:tr>
      <w:tr>
        <w:trPr>
          <w:trHeight w:val="170"/>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44,274</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27,813</w:t>
            </w:r>
          </w:p>
        </w:tc>
      </w:tr>
      <w:tr>
        <w:trPr>
          <w:trHeight w:val="163"/>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capital expenditures</w:t>
            </w: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66,863</w:t>
            </w: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56,275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53,402</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 rent rental merchandise, net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710,844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693,095</w:t>
            </w: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465,076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420,382</w:t>
            </w:r>
          </w:p>
        </w:tc>
      </w:tr>
      <w:tr>
        <w:trPr>
          <w:trHeight w:val="168"/>
        </w:trPr>
        <w:tc>
          <w:tcPr>
            <w:tcW w:w="20" w:type="dxa"/>
            <w:vAlign w:val="bottom"/>
          </w:tcPr>
          <w:p>
            <w:pPr>
              <w:spacing w:after="0"/>
              <w:rPr>
                <w:sz w:val="14"/>
                <w:szCs w:val="14"/>
                <w:color w:val="auto"/>
              </w:rPr>
            </w:pPr>
          </w:p>
        </w:tc>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26,362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21,383</w:t>
            </w:r>
          </w:p>
        </w:tc>
      </w:tr>
      <w:tr>
        <w:trPr>
          <w:trHeight w:val="188"/>
        </w:trPr>
        <w:tc>
          <w:tcPr>
            <w:tcW w:w="20" w:type="dxa"/>
            <w:vAlign w:val="bottom"/>
          </w:tcPr>
          <w:p>
            <w:pPr>
              <w:spacing w:after="0"/>
              <w:rPr>
                <w:sz w:val="15"/>
                <w:szCs w:val="15"/>
                <w:color w:val="auto"/>
              </w:rPr>
            </w:pPr>
          </w:p>
        </w:tc>
        <w:tc>
          <w:tcPr>
            <w:tcW w:w="67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on rent rental merchandise, net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1,202,282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1,134,860</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Held for rent rental merchandise, net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r>
      <w:tr>
        <w:trPr>
          <w:trHeight w:val="172"/>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100,893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104,302</w:t>
            </w:r>
          </w:p>
        </w:tc>
      </w:tr>
      <w:tr>
        <w:trPr>
          <w:trHeight w:val="168"/>
        </w:trPr>
        <w:tc>
          <w:tcPr>
            <w:tcW w:w="20" w:type="dxa"/>
            <w:vAlign w:val="bottom"/>
          </w:tcPr>
          <w:p>
            <w:pPr>
              <w:spacing w:after="0"/>
              <w:rPr>
                <w:sz w:val="14"/>
                <w:szCs w:val="14"/>
                <w:color w:val="auto"/>
              </w:rPr>
            </w:pPr>
          </w:p>
        </w:tc>
        <w:tc>
          <w:tcPr>
            <w:tcW w:w="6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9,359</w:t>
            </w:r>
          </w:p>
        </w:tc>
      </w:tr>
      <w:tr>
        <w:trPr>
          <w:trHeight w:val="188"/>
        </w:trPr>
        <w:tc>
          <w:tcPr>
            <w:tcW w:w="20" w:type="dxa"/>
            <w:vAlign w:val="bottom"/>
          </w:tcPr>
          <w:p>
            <w:pPr>
              <w:spacing w:after="0"/>
              <w:rPr>
                <w:sz w:val="15"/>
                <w:szCs w:val="15"/>
                <w:color w:val="auto"/>
              </w:rPr>
            </w:pPr>
          </w:p>
        </w:tc>
        <w:tc>
          <w:tcPr>
            <w:tcW w:w="6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Total held for rent rental merchandise, net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114,525</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gridSpan w:val="2"/>
            <w:shd w:val="clear" w:color="auto" w:fill="CCEEFF"/>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113,922</w:t>
            </w: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2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by segment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Acima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1,280,771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1,301,657</w:t>
            </w: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Rent-A-Center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1,016,293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977,787</w:t>
            </w: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47,608</w:t>
            </w: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Brigit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430,232</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operating segments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2,789,898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2,327,052</w:t>
            </w:r>
          </w:p>
        </w:tc>
      </w:tr>
      <w:tr>
        <w:trPr>
          <w:trHeight w:val="172"/>
        </w:trPr>
        <w:tc>
          <w:tcPr>
            <w:tcW w:w="20" w:type="dxa"/>
            <w:vAlign w:val="bottom"/>
            <w:shd w:val="clear" w:color="auto" w:fill="CCEEFF"/>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486,183</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322,610</w:t>
            </w:r>
          </w:p>
        </w:tc>
      </w:tr>
      <w:tr>
        <w:trPr>
          <w:trHeight w:val="160"/>
        </w:trPr>
        <w:tc>
          <w:tcPr>
            <w:tcW w:w="20" w:type="dxa"/>
            <w:vAlign w:val="bottom"/>
          </w:tcPr>
          <w:p>
            <w:pPr>
              <w:spacing w:after="0"/>
              <w:rPr>
                <w:sz w:val="13"/>
                <w:szCs w:val="13"/>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3,276,081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2,649,662</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154"/>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by country</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United States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3,213,479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2,602,054</w:t>
            </w:r>
          </w:p>
        </w:tc>
      </w:tr>
      <w:tr>
        <w:trPr>
          <w:trHeight w:val="170"/>
        </w:trPr>
        <w:tc>
          <w:tcPr>
            <w:tcW w:w="20" w:type="dxa"/>
            <w:vAlign w:val="bottom"/>
          </w:tcPr>
          <w:p>
            <w:pPr>
              <w:spacing w:after="0"/>
              <w:rPr>
                <w:sz w:val="14"/>
                <w:szCs w:val="14"/>
                <w:color w:val="auto"/>
              </w:rPr>
            </w:pPr>
          </w:p>
        </w:tc>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47,608</w:t>
            </w:r>
          </w:p>
        </w:tc>
      </w:tr>
      <w:tr>
        <w:trPr>
          <w:trHeight w:val="163"/>
        </w:trPr>
        <w:tc>
          <w:tcPr>
            <w:tcW w:w="20" w:type="dxa"/>
            <w:vAlign w:val="bottom"/>
          </w:tcPr>
          <w:p>
            <w:pPr>
              <w:spacing w:after="0"/>
              <w:rPr>
                <w:sz w:val="14"/>
                <w:szCs w:val="14"/>
                <w:color w:val="auto"/>
              </w:rPr>
            </w:pPr>
          </w:p>
        </w:tc>
        <w:tc>
          <w:tcPr>
            <w:tcW w:w="670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3,276,081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jc w:val="right"/>
              <w:ind w:right="32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2,649,662</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UPBOUND GROUP, INC. AND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Rentals and fees by category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Furniture and accessories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1,356,656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1,337,917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1,179,919</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Consumer electronics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454,016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486,571</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Appliances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412,236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404,241</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Wheels and tires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449,765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447,008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341,174</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Jewelry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372,327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228,081</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Personal Electronics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169,573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181,217</w:t>
            </w:r>
          </w:p>
        </w:tc>
      </w:tr>
      <w:tr>
        <w:trPr>
          <w:trHeight w:val="168"/>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products and services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412,446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411,186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440,475</w:t>
            </w:r>
          </w:p>
        </w:tc>
      </w:tr>
      <w:tr>
        <w:trPr>
          <w:trHeight w:val="188"/>
        </w:trPr>
        <w:tc>
          <w:tcPr>
            <w:tcW w:w="6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Total rentals and fees</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3,627,019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3,513,658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3,261,678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5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by country</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United States</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4,615,669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4,241,838</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3,917,788</w:t>
            </w:r>
          </w:p>
        </w:tc>
      </w:tr>
      <w:tr>
        <w:trPr>
          <w:trHeight w:val="17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Mexico</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79,392</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78,726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74,625</w:t>
            </w:r>
          </w:p>
        </w:tc>
      </w:tr>
      <w:tr>
        <w:trPr>
          <w:trHeight w:val="163"/>
        </w:trPr>
        <w:tc>
          <w:tcPr>
            <w:tcW w:w="67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Total revenues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4,695,061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4,320,564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3,992,413</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U — Earnings (Loss) Per Common Share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basic and diluted earnings (loss) per common share were calculated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1"/>
                <w:szCs w:val="11"/>
                <w:i w:val="1"/>
                <w:iCs w:val="1"/>
                <w:color w:val="auto"/>
              </w:rPr>
              <w:t>(in thousands, except per share data)</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Numerator:</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earnings (loss)</w:t>
            </w: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73,242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3"/>
        </w:trPr>
        <w:tc>
          <w:tcPr>
            <w:tcW w:w="67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Denominator:</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54,978</w:t>
            </w:r>
          </w:p>
        </w:tc>
      </w:tr>
      <w:tr>
        <w:trPr>
          <w:trHeight w:val="172"/>
        </w:trPr>
        <w:tc>
          <w:tcPr>
            <w:tcW w:w="672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 xml:space="preserve">Effect of dilutive stock awards </w:t>
            </w:r>
            <w:r>
              <w:rPr>
                <w:rFonts w:ascii="Times New Roman" w:cs="Times New Roman" w:eastAsia="Times New Roman" w:hAnsi="Times New Roman"/>
                <w:sz w:val="16"/>
                <w:szCs w:val="16"/>
                <w:color w:val="auto"/>
                <w:vertAlign w:val="superscript"/>
              </w:rPr>
              <w:t>(1) (2)</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720" w:type="dxa"/>
            <w:vAlign w:val="bottom"/>
          </w:tcPr>
          <w:p>
            <w:pPr>
              <w:ind w:left="440"/>
              <w:spacing w:after="0" w:line="146" w:lineRule="exact"/>
              <w:rPr>
                <w:sz w:val="20"/>
                <w:szCs w:val="20"/>
                <w:color w:val="auto"/>
              </w:rPr>
            </w:pPr>
            <w:r>
              <w:rPr>
                <w:rFonts w:ascii="Times New Roman" w:cs="Times New Roman" w:eastAsia="Times New Roman" w:hAnsi="Times New Roman"/>
                <w:sz w:val="13"/>
                <w:szCs w:val="13"/>
                <w:color w:val="auto"/>
              </w:rPr>
              <w:t>Weighted-average dilutive shares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58,612</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55,933</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54,978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5"/>
        </w:trPr>
        <w:tc>
          <w:tcPr>
            <w:tcW w:w="6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earnings (loss) per common share</w:t>
            </w: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(loss) per common share</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Anti-dilutive securities excluded from diluted earnings (loss) per common share: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7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3"/>
                <w:szCs w:val="13"/>
                <w:color w:val="auto"/>
              </w:rPr>
              <w:t xml:space="preserve">Anti-dilutive time-vesting restricted share units </w:t>
            </w:r>
            <w:r>
              <w:rPr>
                <w:rFonts w:ascii="Times New Roman" w:cs="Times New Roman" w:eastAsia="Times New Roman" w:hAnsi="Times New Roman"/>
                <w:sz w:val="16"/>
                <w:szCs w:val="16"/>
                <w:color w:val="auto"/>
                <w:vertAlign w:val="superscript"/>
              </w:rPr>
              <w:t>(3)</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r>
      <w:tr>
        <w:trPr>
          <w:trHeight w:val="168"/>
        </w:trPr>
        <w:tc>
          <w:tcPr>
            <w:tcW w:w="67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Anti-dilutive performance share units</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172"/>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Anti-dilutive stock options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r>
    </w:tbl>
    <w:p>
      <w:pPr>
        <w:spacing w:after="0" w:line="50" w:lineRule="exact"/>
        <w:rPr>
          <w:sz w:val="20"/>
          <w:szCs w:val="20"/>
          <w:color w:val="auto"/>
        </w:rPr>
      </w:pPr>
    </w:p>
    <w:p>
      <w:pPr>
        <w:ind w:left="100" w:hanging="95"/>
        <w:spacing w:after="0"/>
        <w:tabs>
          <w:tab w:leader="none" w:pos="10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There was no dilutive effect to the loss per common share for the year ended December 31, 2023 due to the net loss incurred for the period.</w:t>
      </w:r>
    </w:p>
    <w:p>
      <w:pPr>
        <w:ind w:left="100" w:hanging="95"/>
        <w:spacing w:after="0" w:line="202" w:lineRule="auto"/>
        <w:tabs>
          <w:tab w:leader="none" w:pos="10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Weighted-average dilutive shares outstanding for the year ended December 31, 2025, includes approximately 1.2 million common shares, issued in connection with the acquisition of Brigit and subject to vesting conditions under restricted stock agreements.</w:t>
      </w:r>
    </w:p>
    <w:p>
      <w:pPr>
        <w:ind w:left="100" w:hanging="95"/>
        <w:spacing w:after="0" w:line="205" w:lineRule="auto"/>
        <w:tabs>
          <w:tab w:leader="none" w:pos="100" w:val="left"/>
        </w:tabs>
        <w:numPr>
          <w:ilvl w:val="0"/>
          <w:numId w:val="4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Anti-dilutive time-vesting restricted share units for the year ended December 31, 2023 includes approximately 0.4 million common shares issued in connection with the acquisition of Acima Holdings and subject to vesting conditions under restricted stock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2025, our disclosure controls and procedures (as defined in Rules 13a-15(e) and 15d-15(e) under the Securities Exchange Act of 1934) were effective.</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31, 2025, we acquired Brigit. We are currently in the process of integrating Brigit into our assessment of our internal control over financial reporting. Management’s assessment and conclusions on the effectiveness of our disclosure controls and procedures as of December 31, 2025 excludes an assessment of the internal control over financial reporting of Brigit. Brigit represents approximately 4% of the Company’s total revenues for the year ended December 31, 2025.</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Management’s Annual Report on Internal Control over Financial Reporting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Report Relating to Effectiveness of Internal Control over Financial Reporting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the Report of Independent Registered Public Accounting Firm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quarter ended December 31, 2025,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10. </w:t>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b w:val="1"/>
          <w:bCs w:val="1"/>
          <w:i w:val="1"/>
          <w:iCs w:val="1"/>
          <w:color w:val="auto"/>
        </w:rPr>
        <w:t>Executive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12. </w:t>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9"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Principal Accountant Fees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independent registered public accounting firm is Deloitte &amp; Touche LLP, Dallas, TX, Auditor Firm ID: 34.</w:t>
      </w:r>
    </w:p>
    <w:p>
      <w:pPr>
        <w:spacing w:after="0" w:line="41" w:lineRule="exact"/>
        <w:rPr>
          <w:sz w:val="20"/>
          <w:szCs w:val="20"/>
          <w:color w:val="auto"/>
        </w:rPr>
      </w:pPr>
    </w:p>
    <w:p>
      <w:pPr>
        <w:jc w:val="both"/>
        <w:ind w:left="340" w:hanging="321"/>
        <w:spacing w:after="0" w:line="226"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required by Items 10, 11, 12, 13 and 14 is or will be set forth in the definitive proxy statement relating to the 2026 Annual Meeting of Stockholders of Upbound Group,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268" w:right="47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and Financial Statement Schedules.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included in this report are listed in the Index to Financial Statements in Part II, Item 8, of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Schedules for which provision is made in the applicable accounting regulations of the SEC are either not required under the related instructions or inapplicable.</w:t>
      </w:r>
    </w:p>
    <w:p>
      <w:pPr>
        <w:sectPr>
          <w:pgSz w:w="11900" w:h="16838" w:orient="portrait"/>
          <w:cols w:equalWidth="0" w:num="1">
            <w:col w:w="11280"/>
          </w:cols>
          <w:pgMar w:left="300" w:top="1205" w:right="319" w:bottom="1440" w:gutter="0" w:footer="0" w:header="0"/>
        </w:sectPr>
      </w:pP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116" w:lineRule="exact"/>
        <w:rPr>
          <w:sz w:val="20"/>
          <w:szCs w:val="20"/>
          <w:color w:val="auto"/>
        </w:rPr>
      </w:pPr>
    </w:p>
    <w:p>
      <w:pPr>
        <w:sectPr>
          <w:pgSz w:w="11900" w:h="16838" w:orient="portrait"/>
          <w:cols w:equalWidth="0" w:num="2">
            <w:col w:w="5300" w:space="720"/>
            <w:col w:w="5260"/>
          </w:cols>
          <w:pgMar w:left="300" w:top="120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Plan of acquisition, reorganization, arrangement, liquidation or succession</w:t>
      </w:r>
    </w:p>
    <w:p>
      <w:pPr>
        <w:spacing w:after="0" w:line="106" w:lineRule="exact"/>
        <w:rPr>
          <w:sz w:val="20"/>
          <w:szCs w:val="20"/>
          <w:color w:val="auto"/>
        </w:rPr>
      </w:pPr>
    </w:p>
    <w:p>
      <w:pPr>
        <w:jc w:val="right"/>
        <w:ind w:left="640" w:right="20"/>
        <w:spacing w:after="0" w:line="225"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2.1         </w:t>
      </w:r>
      <w:hyperlink r:id="rId122">
        <w:r>
          <w:rPr>
            <w:rFonts w:ascii="Times New Roman" w:cs="Times New Roman" w:eastAsia="Times New Roman" w:hAnsi="Times New Roman"/>
            <w:sz w:val="14"/>
            <w:szCs w:val="14"/>
            <w:u w:val="single" w:color="auto"/>
            <w:color w:val="0000FF"/>
          </w:rPr>
          <w:t>Agreement and Plan of Merger, dated as of December 12, 2024, by and among Upbound Group Inc., Fortuna Merger Sub Inc., Bridge IT Inc. and Shareholder</w:t>
        </w:r>
      </w:hyperlink>
      <w:r>
        <w:rPr>
          <w:rFonts w:ascii="Times New Roman" w:cs="Times New Roman" w:eastAsia="Times New Roman" w:hAnsi="Times New Roman"/>
          <w:sz w:val="14"/>
          <w:szCs w:val="14"/>
          <w:color w:val="auto"/>
        </w:rPr>
        <w:t xml:space="preserve"> </w:t>
      </w:r>
      <w:hyperlink r:id="rId122">
        <w:r>
          <w:rPr>
            <w:rFonts w:ascii="Times New Roman" w:cs="Times New Roman" w:eastAsia="Times New Roman" w:hAnsi="Times New Roman"/>
            <w:sz w:val="14"/>
            <w:szCs w:val="14"/>
            <w:u w:val="single" w:color="auto"/>
            <w:color w:val="0000FF"/>
          </w:rPr>
          <w:t>Representative Services LLC, solely in its capacity as the Representative (incorporated herein by reference to Exhibit 2.1 to the registrant’s Current Report on Form 8-K</w:t>
        </w:r>
      </w:hyperlink>
    </w:p>
    <w:p>
      <w:pPr>
        <w:spacing w:after="0" w:line="1" w:lineRule="exact"/>
        <w:rPr>
          <w:sz w:val="20"/>
          <w:szCs w:val="20"/>
          <w:color w:val="auto"/>
        </w:rPr>
      </w:pPr>
    </w:p>
    <w:p>
      <w:pPr>
        <w:ind w:left="1460"/>
        <w:spacing w:after="0"/>
        <w:rPr>
          <w:rFonts w:ascii="Times New Roman" w:cs="Times New Roman" w:eastAsia="Times New Roman" w:hAnsi="Times New Roman"/>
          <w:sz w:val="14"/>
          <w:szCs w:val="14"/>
          <w:u w:val="single" w:color="auto"/>
          <w:color w:val="0000FF"/>
        </w:rPr>
      </w:pPr>
      <w:hyperlink r:id="rId122">
        <w:r>
          <w:rPr>
            <w:rFonts w:ascii="Times New Roman" w:cs="Times New Roman" w:eastAsia="Times New Roman" w:hAnsi="Times New Roman"/>
            <w:sz w:val="14"/>
            <w:szCs w:val="14"/>
            <w:u w:val="single" w:color="auto"/>
            <w:color w:val="0000FF"/>
          </w:rPr>
          <w:t>dated as of December 12, 2024.)</w:t>
        </w:r>
      </w:hyperlink>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Articles of Incorporation and Bylaws</w:t>
      </w:r>
    </w:p>
    <w:p>
      <w:pPr>
        <w:spacing w:after="0" w:line="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3.1</w:t>
            </w:r>
          </w:p>
        </w:tc>
        <w:tc>
          <w:tcPr>
            <w:tcW w:w="9840" w:type="dxa"/>
            <w:vAlign w:val="bottom"/>
            <w:gridSpan w:val="6"/>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Restated Certificate of Incorporation of the registrant, dated as of December 5, 2024 (incorporated herein by reference to Exhibit 3.1 to the registrant’s Registration</w:t>
              </w:r>
            </w:hyperlink>
          </w:p>
        </w:tc>
      </w:tr>
      <w:tr>
        <w:trPr>
          <w:trHeight w:val="118"/>
        </w:trPr>
        <w:tc>
          <w:tcPr>
            <w:tcW w:w="820" w:type="dxa"/>
            <w:vAlign w:val="bottom"/>
          </w:tcPr>
          <w:p>
            <w:pPr>
              <w:spacing w:after="0"/>
              <w:rPr>
                <w:sz w:val="10"/>
                <w:szCs w:val="10"/>
                <w:color w:val="auto"/>
              </w:rPr>
            </w:pPr>
          </w:p>
        </w:tc>
        <w:tc>
          <w:tcPr>
            <w:tcW w:w="312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Statement on Form S-3 dated as of February 20, 2025.)</w:t>
              </w:r>
            </w:hyperlink>
          </w:p>
        </w:tc>
        <w:tc>
          <w:tcPr>
            <w:tcW w:w="66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3.2</w:t>
            </w:r>
          </w:p>
        </w:tc>
        <w:tc>
          <w:tcPr>
            <w:tcW w:w="96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Amended and Restated Bylaws of the registrant (incorporated herein by reference to Exhibit 10.3 to the registrant’s Current Report on Form 8-K dated as of June 4, 2024.)</w:t>
              </w:r>
            </w:hyperlink>
          </w:p>
        </w:tc>
        <w:tc>
          <w:tcPr>
            <w:tcW w:w="180" w:type="dxa"/>
            <w:vAlign w:val="bottom"/>
            <w:gridSpan w:val="3"/>
          </w:tcPr>
          <w:p>
            <w:pPr>
              <w:spacing w:after="0"/>
              <w:rPr>
                <w:sz w:val="22"/>
                <w:szCs w:val="22"/>
                <w:color w:val="auto"/>
              </w:rPr>
            </w:pPr>
          </w:p>
        </w:tc>
      </w:tr>
      <w:tr>
        <w:trPr>
          <w:trHeight w:val="245"/>
        </w:trPr>
        <w:tc>
          <w:tcPr>
            <w:tcW w:w="8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w w:val="79"/>
              </w:rPr>
              <w:t>3.3</w:t>
            </w:r>
          </w:p>
        </w:tc>
        <w:tc>
          <w:tcPr>
            <w:tcW w:w="9840" w:type="dxa"/>
            <w:vAlign w:val="bottom"/>
            <w:gridSpan w:val="6"/>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Certificate of Correction to the Certificate of Elimination of the Series A Preferred Stock of the registrant, dated as of June 4, 2024 (incorporated herein by reference to</w:t>
              </w:r>
            </w:hyperlink>
          </w:p>
        </w:tc>
      </w:tr>
      <w:tr>
        <w:trPr>
          <w:trHeight w:val="118"/>
        </w:trPr>
        <w:tc>
          <w:tcPr>
            <w:tcW w:w="820" w:type="dxa"/>
            <w:vAlign w:val="bottom"/>
          </w:tcPr>
          <w:p>
            <w:pPr>
              <w:spacing w:after="0"/>
              <w:rPr>
                <w:sz w:val="10"/>
                <w:szCs w:val="10"/>
                <w:color w:val="auto"/>
              </w:rPr>
            </w:pPr>
          </w:p>
        </w:tc>
        <w:tc>
          <w:tcPr>
            <w:tcW w:w="48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Exhibit 10.2 to the registrant’s Current Report on Form 8-K dated as of June 5, 2024.)</w:t>
              </w:r>
            </w:hyperlink>
          </w:p>
        </w:tc>
        <w:tc>
          <w:tcPr>
            <w:tcW w:w="496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r>
    </w:tbl>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Instruments Defining the Rights of Security Holders, Including Indentures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Description of the registrant's Common Stock (incorporated herein by reference to Exhibit 4.1 to the registrant’s Registration Statement on Form S-3 dated as of February</w:t>
              </w:r>
            </w:hyperlink>
          </w:p>
        </w:tc>
      </w:tr>
      <w:tr>
        <w:trPr>
          <w:trHeight w:val="118"/>
        </w:trPr>
        <w:tc>
          <w:tcPr>
            <w:tcW w:w="1460" w:type="dxa"/>
            <w:vAlign w:val="bottom"/>
          </w:tcPr>
          <w:p>
            <w:pPr>
              <w:spacing w:after="0"/>
              <w:rPr>
                <w:sz w:val="10"/>
                <w:szCs w:val="10"/>
                <w:color w:val="auto"/>
              </w:rPr>
            </w:pPr>
          </w:p>
        </w:tc>
        <w:tc>
          <w:tcPr>
            <w:tcW w:w="5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20, 2025.)</w:t>
              </w:r>
            </w:hyperlink>
          </w:p>
        </w:tc>
        <w:tc>
          <w:tcPr>
            <w:tcW w:w="2860" w:type="dxa"/>
            <w:vAlign w:val="bottom"/>
            <w:tcBorders>
              <w:top w:val="single" w:sz="8" w:color="0000FF"/>
            </w:tcBorders>
          </w:tcPr>
          <w:p>
            <w:pPr>
              <w:spacing w:after="0"/>
              <w:rPr>
                <w:sz w:val="10"/>
                <w:szCs w:val="10"/>
                <w:color w:val="auto"/>
              </w:rPr>
            </w:pPr>
          </w:p>
        </w:tc>
        <w:tc>
          <w:tcPr>
            <w:tcW w:w="60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Certificate evidencing Common Stock (incorporated herein by reference to Exhibit 4.6 to the registrant's Registration Statement on Form S-8 dated as of June 7,</w:t>
              </w:r>
            </w:hyperlink>
          </w:p>
        </w:tc>
      </w:tr>
      <w:tr>
        <w:trPr>
          <w:trHeight w:val="118"/>
        </w:trPr>
        <w:tc>
          <w:tcPr>
            <w:tcW w:w="14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2023.</w:t>
              </w:r>
              <w:r>
                <w:rPr>
                  <w:rFonts w:ascii="Times New Roman" w:cs="Times New Roman" w:eastAsia="Times New Roman" w:hAnsi="Times New Roman"/>
                  <w:sz w:val="13"/>
                  <w:szCs w:val="13"/>
                  <w:u w:val="single" w:color="auto"/>
                  <w:color w:val="0000FF"/>
                </w:rPr>
                <w:t>)</w:t>
              </w:r>
            </w:hyperlink>
          </w:p>
        </w:tc>
        <w:tc>
          <w:tcPr>
            <w:tcW w:w="200" w:type="dxa"/>
            <w:vAlign w:val="bottom"/>
            <w:tcBorders>
              <w:top w:val="single" w:sz="8" w:color="0000FF"/>
            </w:tcBorders>
          </w:tcPr>
          <w:p>
            <w:pPr>
              <w:spacing w:after="0"/>
              <w:rPr>
                <w:sz w:val="10"/>
                <w:szCs w:val="10"/>
                <w:color w:val="auto"/>
              </w:rPr>
            </w:pPr>
          </w:p>
        </w:tc>
        <w:tc>
          <w:tcPr>
            <w:tcW w:w="2860" w:type="dxa"/>
            <w:vAlign w:val="bottom"/>
            <w:tcBorders>
              <w:top w:val="single" w:sz="8" w:color="0000FF"/>
            </w:tcBorders>
          </w:tcPr>
          <w:p>
            <w:pPr>
              <w:spacing w:after="0"/>
              <w:rPr>
                <w:sz w:val="10"/>
                <w:szCs w:val="10"/>
                <w:color w:val="auto"/>
              </w:rPr>
            </w:pPr>
          </w:p>
        </w:tc>
        <w:tc>
          <w:tcPr>
            <w:tcW w:w="606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4.3</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Indenture, dated as of February 17, 2021, by and between Radiant Funding SPV, LLC and Truist Bank (incorporated herein by reference to Exhibit 4.1 to the registrant's</w:t>
              </w:r>
            </w:hyperlink>
          </w:p>
        </w:tc>
      </w:tr>
      <w:tr>
        <w:trPr>
          <w:trHeight w:val="118"/>
        </w:trPr>
        <w:tc>
          <w:tcPr>
            <w:tcW w:w="1460" w:type="dxa"/>
            <w:vAlign w:val="bottom"/>
          </w:tcPr>
          <w:p>
            <w:pPr>
              <w:spacing w:after="0"/>
              <w:rPr>
                <w:sz w:val="10"/>
                <w:szCs w:val="10"/>
                <w:color w:val="auto"/>
              </w:rPr>
            </w:pPr>
          </w:p>
        </w:tc>
        <w:tc>
          <w:tcPr>
            <w:tcW w:w="9820" w:type="dxa"/>
            <w:vAlign w:val="bottom"/>
            <w:tcBorders>
              <w:top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Current Report on Form 8-K dated as of February 17,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Material Contracts</w:t>
            </w: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60" w:type="dxa"/>
            <w:vAlign w:val="bottom"/>
            <w:tcBorders>
              <w:top w:val="single" w:sz="8" w:color="0000FF"/>
            </w:tcBorders>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1460" w:type="dxa"/>
            <w:vAlign w:val="bottom"/>
          </w:tcPr>
          <w:p>
            <w:pPr>
              <w:spacing w:after="0"/>
              <w:rPr>
                <w:sz w:val="23"/>
                <w:szCs w:val="23"/>
                <w:color w:val="auto"/>
              </w:rPr>
            </w:pPr>
          </w:p>
        </w:tc>
        <w:tc>
          <w:tcPr>
            <w:tcW w:w="9860" w:type="dxa"/>
            <w:vAlign w:val="bottom"/>
            <w:gridSpan w:val="9"/>
          </w:tcPr>
          <w:p>
            <w:pPr>
              <w:spacing w:after="0"/>
              <w:rPr>
                <w:sz w:val="20"/>
                <w:szCs w:val="20"/>
                <w:color w:val="auto"/>
              </w:rPr>
            </w:pPr>
            <w:r>
              <w:rPr>
                <w:rFonts w:ascii="Times New Roman" w:cs="Times New Roman" w:eastAsia="Times New Roman" w:hAnsi="Times New Roman"/>
                <w:sz w:val="14"/>
                <w:szCs w:val="14"/>
                <w:i w:val="1"/>
                <w:iCs w:val="1"/>
                <w:color w:val="auto"/>
              </w:rPr>
              <w:t>Credit Agreements</w:t>
            </w: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Term Loan Guarantee and Collateral Agreement, dated as of August 5, 2019, between Rent-A-Center, Inc., its subsidiaries named as guarantors therein and JPMorgan Chase</w:t>
              </w:r>
            </w:hyperlink>
          </w:p>
        </w:tc>
      </w:tr>
      <w:tr>
        <w:trPr>
          <w:trHeight w:val="118"/>
        </w:trPr>
        <w:tc>
          <w:tcPr>
            <w:tcW w:w="1460" w:type="dxa"/>
            <w:vAlign w:val="bottom"/>
          </w:tcPr>
          <w:p>
            <w:pPr>
              <w:spacing w:after="0"/>
              <w:rPr>
                <w:sz w:val="10"/>
                <w:szCs w:val="10"/>
                <w:color w:val="auto"/>
              </w:rPr>
            </w:pPr>
          </w:p>
        </w:tc>
        <w:tc>
          <w:tcPr>
            <w:tcW w:w="980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Bank, N.A., as administrative agent (incorporated herein by reference to Exhibit 10.44 to the registrant's Current Report on Form 10-Q for the quarter ended June 30, 2019.)</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9860" w:type="dxa"/>
            <w:vAlign w:val="bottom"/>
            <w:gridSpan w:val="9"/>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ABL Guarantee and Collateral Agreement, dated as of August 5, 2019, between Rent-A-Center, Inc., its subsidiaries named as guarantors therein and JPMorgan Chase Bank,</w:t>
              </w:r>
            </w:hyperlink>
          </w:p>
        </w:tc>
      </w:tr>
      <w:tr>
        <w:trPr>
          <w:trHeight w:val="118"/>
        </w:trPr>
        <w:tc>
          <w:tcPr>
            <w:tcW w:w="1460" w:type="dxa"/>
            <w:vAlign w:val="bottom"/>
          </w:tcPr>
          <w:p>
            <w:pPr>
              <w:spacing w:after="0"/>
              <w:rPr>
                <w:sz w:val="10"/>
                <w:szCs w:val="10"/>
                <w:color w:val="auto"/>
              </w:rPr>
            </w:pPr>
          </w:p>
        </w:tc>
        <w:tc>
          <w:tcPr>
            <w:tcW w:w="984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N.A., as administrative agent (incorporated herein by reference to Exhibit 10.45 to the registrant's Quarterly Report on Form 10-Q for the quarter ended June 30, 2019.)</w:t>
              </w:r>
            </w:hyperlink>
          </w:p>
        </w:tc>
        <w:tc>
          <w:tcPr>
            <w:tcW w:w="20" w:type="dxa"/>
            <w:vAlign w:val="bottom"/>
          </w:tcPr>
          <w:p>
            <w:pPr>
              <w:spacing w:after="0"/>
              <w:rPr>
                <w:sz w:val="10"/>
                <w:szCs w:val="10"/>
                <w:color w:val="auto"/>
              </w:rPr>
            </w:pPr>
          </w:p>
        </w:tc>
      </w:tr>
      <w:tr>
        <w:trPr>
          <w:trHeight w:val="881"/>
        </w:trPr>
        <w:tc>
          <w:tcPr>
            <w:tcW w:w="1460" w:type="dxa"/>
            <w:vAlign w:val="bottom"/>
          </w:tcPr>
          <w:p>
            <w:pPr>
              <w:spacing w:after="0"/>
              <w:rPr>
                <w:sz w:val="24"/>
                <w:szCs w:val="24"/>
                <w:color w:val="auto"/>
              </w:rPr>
            </w:pPr>
          </w:p>
        </w:tc>
        <w:tc>
          <w:tcPr>
            <w:tcW w:w="9480" w:type="dxa"/>
            <w:vAlign w:val="bottom"/>
            <w:tcBorders>
              <w:top w:val="single" w:sz="8" w:color="0000FF"/>
            </w:tcBorders>
            <w:gridSpan w:val="4"/>
          </w:tcPr>
          <w:p>
            <w:pPr>
              <w:ind w:left="4080"/>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60" w:type="dxa"/>
            <w:vAlign w:val="bottom"/>
            <w:tcBorders>
              <w:bottom w:val="single" w:sz="8" w:color="9A9A9A"/>
            </w:tcBorders>
          </w:tcPr>
          <w:p>
            <w:pPr>
              <w:spacing w:after="0"/>
              <w:rPr>
                <w:sz w:val="7"/>
                <w:szCs w:val="7"/>
                <w:color w:val="auto"/>
              </w:rPr>
            </w:pPr>
          </w:p>
        </w:tc>
        <w:tc>
          <w:tcPr>
            <w:tcW w:w="6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05" w:right="31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Term Loan Credit Agreement dated as of February 17, 2021, among Rent-A-Center, Inc., as Borrower, the several lenders from time to time party thereto and JPMorgan</w:t>
              </w:r>
            </w:hyperlink>
          </w:p>
        </w:tc>
      </w:tr>
      <w:tr>
        <w:trPr>
          <w:trHeight w:val="118"/>
        </w:trPr>
        <w:tc>
          <w:tcPr>
            <w:tcW w:w="1460" w:type="dxa"/>
            <w:vAlign w:val="bottom"/>
          </w:tcPr>
          <w:p>
            <w:pPr>
              <w:spacing w:after="0"/>
              <w:rPr>
                <w:sz w:val="10"/>
                <w:szCs w:val="10"/>
                <w:color w:val="auto"/>
              </w:rPr>
            </w:pPr>
          </w:p>
        </w:tc>
        <w:tc>
          <w:tcPr>
            <w:tcW w:w="100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Chase Bank, N.A., as Administrative Agent (incorporated herein by reference to Exhibit 10.3 to the registrant's Current Report on Form 8-K dated as of February 17,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First Amendment to Term Loan Credit Agreement, dated as of September 21, 2021, by and among Rent-A-Center, Inc., the other Loan Parties party thereto, the Lenders</w:t>
              </w:r>
            </w:hyperlink>
          </w:p>
        </w:tc>
      </w:tr>
      <w:tr>
        <w:trPr>
          <w:trHeight w:val="118"/>
        </w:trPr>
        <w:tc>
          <w:tcPr>
            <w:tcW w:w="1460" w:type="dxa"/>
            <w:vAlign w:val="bottom"/>
          </w:tcPr>
          <w:p>
            <w:pPr>
              <w:spacing w:after="0"/>
              <w:rPr>
                <w:sz w:val="10"/>
                <w:szCs w:val="10"/>
                <w:color w:val="auto"/>
              </w:rPr>
            </w:pPr>
          </w:p>
        </w:tc>
        <w:tc>
          <w:tcPr>
            <w:tcW w:w="9900" w:type="dxa"/>
            <w:vAlign w:val="bottom"/>
            <w:tcBorders>
              <w:top w:val="single" w:sz="8" w:color="0000FF"/>
              <w:bottom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party thereto and JPMorgan Chase Bank, N.A., as administrative agent (incorporated herein by reference to Exhibit 10.1 to the registrant's Current Report on Form 8-K dated</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460" w:type="dxa"/>
            <w:vAlign w:val="bottom"/>
          </w:tcPr>
          <w:p>
            <w:pPr>
              <w:spacing w:after="0"/>
              <w:rPr>
                <w:sz w:val="11"/>
                <w:szCs w:val="11"/>
                <w:color w:val="auto"/>
              </w:rPr>
            </w:pPr>
          </w:p>
        </w:tc>
        <w:tc>
          <w:tcPr>
            <w:tcW w:w="152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w w:val="99"/>
              </w:rPr>
            </w:pPr>
            <w:hyperlink r:id="rId134">
              <w:r>
                <w:rPr>
                  <w:rFonts w:ascii="Times New Roman" w:cs="Times New Roman" w:eastAsia="Times New Roman" w:hAnsi="Times New Roman"/>
                  <w:sz w:val="14"/>
                  <w:szCs w:val="14"/>
                  <w:color w:val="0000FF"/>
                  <w:w w:val="99"/>
                </w:rPr>
                <w:t>as of September 21, 2021.)</w:t>
              </w:r>
            </w:hyperlink>
          </w:p>
        </w:tc>
        <w:tc>
          <w:tcPr>
            <w:tcW w:w="8500" w:type="dxa"/>
            <w:vAlign w:val="bottom"/>
            <w:gridSpan w:val="2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Second Amendment to Term Loan Credit Agreement, dated as of June 15, 2023, by and among Upbound Group, Inc. and JPMorgan Chase Bank, N.A., as administrative</w:t>
              </w:r>
            </w:hyperlink>
          </w:p>
        </w:tc>
      </w:tr>
      <w:tr>
        <w:trPr>
          <w:trHeight w:val="118"/>
        </w:trPr>
        <w:tc>
          <w:tcPr>
            <w:tcW w:w="1460" w:type="dxa"/>
            <w:vAlign w:val="bottom"/>
          </w:tcPr>
          <w:p>
            <w:pPr>
              <w:spacing w:after="0"/>
              <w:rPr>
                <w:sz w:val="10"/>
                <w:szCs w:val="10"/>
                <w:color w:val="auto"/>
              </w:rPr>
            </w:pPr>
          </w:p>
        </w:tc>
        <w:tc>
          <w:tcPr>
            <w:tcW w:w="808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agent (incorporated herein by reference to Exhibit 10.2 to the registrant's Quarterly Report on Form 10-Q for the quarter ended June 30, 2023.)</w:t>
              </w:r>
            </w:hyperlink>
          </w:p>
        </w:tc>
        <w:tc>
          <w:tcPr>
            <w:tcW w:w="186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Third Amendment to Term Loan Credit Agreement, dated as of May 28, 2024, by and among Upbound Group, Inc., the other Loan Parties party thereto, the Lenders party</w:t>
              </w:r>
            </w:hyperlink>
          </w:p>
        </w:tc>
      </w:tr>
      <w:tr>
        <w:trPr>
          <w:trHeight w:val="118"/>
        </w:trPr>
        <w:tc>
          <w:tcPr>
            <w:tcW w:w="1460" w:type="dxa"/>
            <w:vAlign w:val="bottom"/>
          </w:tcPr>
          <w:p>
            <w:pPr>
              <w:spacing w:after="0"/>
              <w:rPr>
                <w:sz w:val="10"/>
                <w:szCs w:val="10"/>
                <w:color w:val="auto"/>
              </w:rPr>
            </w:pPr>
          </w:p>
        </w:tc>
        <w:tc>
          <w:tcPr>
            <w:tcW w:w="1004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thereto and JPMorgan Chase Bank, N.A., as administrative agent (incorporated herein by reference to Exhibit 10.1 to the registrant’s Current Report on Form 8-K dated as of</w:t>
              </w:r>
            </w:hyperlink>
          </w:p>
        </w:tc>
        <w:tc>
          <w:tcPr>
            <w:tcW w:w="20" w:type="dxa"/>
            <w:vAlign w:val="bottom"/>
          </w:tcPr>
          <w:p>
            <w:pPr>
              <w:spacing w:after="0"/>
              <w:rPr>
                <w:sz w:val="10"/>
                <w:szCs w:val="10"/>
                <w:color w:val="auto"/>
              </w:rPr>
            </w:pPr>
          </w:p>
        </w:tc>
      </w:tr>
      <w:tr>
        <w:trPr>
          <w:trHeight w:val="129"/>
        </w:trPr>
        <w:tc>
          <w:tcPr>
            <w:tcW w:w="1460" w:type="dxa"/>
            <w:vAlign w:val="bottom"/>
          </w:tcPr>
          <w:p>
            <w:pPr>
              <w:spacing w:after="0"/>
              <w:rPr>
                <w:sz w:val="11"/>
                <w:szCs w:val="11"/>
                <w:color w:val="auto"/>
              </w:rPr>
            </w:pPr>
          </w:p>
        </w:tc>
        <w:tc>
          <w:tcPr>
            <w:tcW w:w="992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May 29, 2024.)</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10.7</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Fourth Amendment to Term Loan Credit Agreement, dated as of August 19, 2025, by and among Upbound Group, Inc., the other Loan Parties party thereto, the Lenders</w:t>
              </w:r>
            </w:hyperlink>
          </w:p>
        </w:tc>
      </w:tr>
      <w:tr>
        <w:trPr>
          <w:trHeight w:val="118"/>
        </w:trPr>
        <w:tc>
          <w:tcPr>
            <w:tcW w:w="1460" w:type="dxa"/>
            <w:vAlign w:val="bottom"/>
          </w:tcPr>
          <w:p>
            <w:pPr>
              <w:spacing w:after="0"/>
              <w:rPr>
                <w:sz w:val="10"/>
                <w:szCs w:val="10"/>
                <w:color w:val="auto"/>
              </w:rPr>
            </w:pPr>
          </w:p>
        </w:tc>
        <w:tc>
          <w:tcPr>
            <w:tcW w:w="954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party thereto and JPMorgan Chase Bank, N.A., as administrative agent (incorporated herein by reference to Exhibit 10.1 to the registrant’s Current Report on Form 8-K</w:t>
              </w:r>
            </w:hyperlink>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29"/>
        </w:trPr>
        <w:tc>
          <w:tcPr>
            <w:tcW w:w="1460" w:type="dxa"/>
            <w:vAlign w:val="bottom"/>
          </w:tcPr>
          <w:p>
            <w:pPr>
              <w:spacing w:after="0"/>
              <w:rPr>
                <w:sz w:val="11"/>
                <w:szCs w:val="11"/>
                <w:color w:val="auto"/>
              </w:rPr>
            </w:pPr>
          </w:p>
        </w:tc>
        <w:tc>
          <w:tcPr>
            <w:tcW w:w="9480" w:type="dxa"/>
            <w:vAlign w:val="bottom"/>
            <w:tcBorders>
              <w:top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dated as of August 19, 2025.)</w:t>
              </w:r>
            </w:hyperlink>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ABL Credit Agreement dated as of February 17, 2021, among Rent-A-Center, Inc., as Borrower, the several lenders from time to time party thereto and JPMorgan Chase</w:t>
              </w:r>
            </w:hyperlink>
          </w:p>
        </w:tc>
      </w:tr>
      <w:tr>
        <w:trPr>
          <w:trHeight w:val="118"/>
        </w:trPr>
        <w:tc>
          <w:tcPr>
            <w:tcW w:w="1460" w:type="dxa"/>
            <w:vAlign w:val="bottom"/>
          </w:tcPr>
          <w:p>
            <w:pPr>
              <w:spacing w:after="0"/>
              <w:rPr>
                <w:sz w:val="10"/>
                <w:szCs w:val="10"/>
                <w:color w:val="auto"/>
              </w:rPr>
            </w:pPr>
          </w:p>
        </w:tc>
        <w:tc>
          <w:tcPr>
            <w:tcW w:w="99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Bank, N.A., as Administrative Agent (incorporated herein by reference to Exhibit 10.2 to the registrant's Current Report on Form 8-K dated as of February 17, 2021.)</w:t>
              </w:r>
            </w:hyperlink>
          </w:p>
        </w:tc>
        <w:tc>
          <w:tcPr>
            <w:tcW w:w="80" w:type="dxa"/>
            <w:vAlign w:val="bottom"/>
            <w:gridSpan w:val="4"/>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First Amendment to ABL Credit Agreement, dated as of August 10, 2022, by and among Rent-A-Center, Inc., the Lenders party thereto and JPMorgan Chase Bank, N.A., as</w:t>
              </w:r>
            </w:hyperlink>
          </w:p>
        </w:tc>
      </w:tr>
      <w:tr>
        <w:trPr>
          <w:trHeight w:val="118"/>
        </w:trPr>
        <w:tc>
          <w:tcPr>
            <w:tcW w:w="1460" w:type="dxa"/>
            <w:vAlign w:val="bottom"/>
          </w:tcPr>
          <w:p>
            <w:pPr>
              <w:spacing w:after="0"/>
              <w:rPr>
                <w:sz w:val="10"/>
                <w:szCs w:val="10"/>
                <w:color w:val="auto"/>
              </w:rPr>
            </w:pPr>
          </w:p>
        </w:tc>
        <w:tc>
          <w:tcPr>
            <w:tcW w:w="98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administrative agent (incorporated herein by reference to Exhibit 10.1 to the registrant's Quarterly Report on Form 10-Q for the quarter ended September 30, 2022.)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Second Amendment to ABL Credit Agreement, dated as of June 7, 2024, by and among Upbound Group, Inc., the other Loan Parties party thereto, JPMorgan Chase Bank,</w:t>
              </w:r>
            </w:hyperlink>
          </w:p>
        </w:tc>
      </w:tr>
      <w:tr>
        <w:trPr>
          <w:trHeight w:val="20"/>
        </w:trPr>
        <w:tc>
          <w:tcPr>
            <w:tcW w:w="14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18"/>
        </w:trPr>
        <w:tc>
          <w:tcPr>
            <w:tcW w:w="1460" w:type="dxa"/>
            <w:vAlign w:val="bottom"/>
          </w:tcPr>
          <w:p>
            <w:pPr>
              <w:spacing w:after="0"/>
              <w:rPr>
                <w:sz w:val="10"/>
                <w:szCs w:val="10"/>
                <w:color w:val="auto"/>
              </w:rPr>
            </w:pPr>
          </w:p>
        </w:tc>
        <w:tc>
          <w:tcPr>
            <w:tcW w:w="10060" w:type="dxa"/>
            <w:vAlign w:val="bottom"/>
            <w:gridSpan w:val="30"/>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N.A., as administrative agent, and the Lenders party thereto (incorporated herein by reference to Exhibit 10.1 to the registrant’s Current Report on Form 8-K dated as of June</w:t>
              </w:r>
            </w:hyperlink>
          </w:p>
        </w:tc>
      </w:tr>
      <w:tr>
        <w:trPr>
          <w:trHeight w:val="129"/>
        </w:trPr>
        <w:tc>
          <w:tcPr>
            <w:tcW w:w="1460" w:type="dxa"/>
            <w:vAlign w:val="bottom"/>
          </w:tcPr>
          <w:p>
            <w:pPr>
              <w:spacing w:after="0"/>
              <w:rPr>
                <w:sz w:val="11"/>
                <w:szCs w:val="11"/>
                <w:color w:val="auto"/>
              </w:rPr>
            </w:pPr>
          </w:p>
        </w:tc>
        <w:tc>
          <w:tcPr>
            <w:tcW w:w="56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4"/>
              </w:rPr>
            </w:pPr>
            <w:hyperlink r:id="rId140">
              <w:r>
                <w:rPr>
                  <w:rFonts w:ascii="Times New Roman" w:cs="Times New Roman" w:eastAsia="Times New Roman" w:hAnsi="Times New Roman"/>
                  <w:sz w:val="14"/>
                  <w:szCs w:val="14"/>
                  <w:color w:val="0000FF"/>
                  <w:w w:val="94"/>
                </w:rPr>
                <w:t>10, 2024.)</w:t>
              </w:r>
            </w:hyperlink>
          </w:p>
        </w:tc>
        <w:tc>
          <w:tcPr>
            <w:tcW w:w="3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154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228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45"/>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Third Amendment to ABL Credit Agreement, dated as of August 29, 2025, by and among Upbound Group, Inc., the other Loan Parties party thereto, JPMorgan Chase Bank,</w:t>
              </w:r>
            </w:hyperlink>
          </w:p>
        </w:tc>
      </w:tr>
      <w:tr>
        <w:trPr>
          <w:trHeight w:val="118"/>
        </w:trPr>
        <w:tc>
          <w:tcPr>
            <w:tcW w:w="1460" w:type="dxa"/>
            <w:vAlign w:val="bottom"/>
          </w:tcPr>
          <w:p>
            <w:pPr>
              <w:spacing w:after="0"/>
              <w:rPr>
                <w:sz w:val="10"/>
                <w:szCs w:val="10"/>
                <w:color w:val="auto"/>
              </w:rPr>
            </w:pPr>
          </w:p>
        </w:tc>
        <w:tc>
          <w:tcPr>
            <w:tcW w:w="98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N.A., as administrative agent, and the Lenders party thereto (incorporated herein by reference to Exhibit 10.2 to the registrant's Quarterly Report on Form 10-Q for the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129"/>
        </w:trPr>
        <w:tc>
          <w:tcPr>
            <w:tcW w:w="146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w w:val="99"/>
              </w:rPr>
            </w:pPr>
            <w:hyperlink r:id="rId139">
              <w:r>
                <w:rPr>
                  <w:rFonts w:ascii="Times New Roman" w:cs="Times New Roman" w:eastAsia="Times New Roman" w:hAnsi="Times New Roman"/>
                  <w:sz w:val="14"/>
                  <w:szCs w:val="14"/>
                  <w:color w:val="0000FF"/>
                  <w:w w:val="99"/>
                </w:rPr>
                <w:t>quarter ended September 30, 2025.)</w:t>
              </w:r>
            </w:hyperlink>
          </w:p>
        </w:tc>
        <w:tc>
          <w:tcPr>
            <w:tcW w:w="7400" w:type="dxa"/>
            <w:vAlign w:val="bottom"/>
            <w:tcBorders>
              <w:top w:val="single" w:sz="8" w:color="0000FF"/>
            </w:tcBorders>
            <w:gridSpan w:val="8"/>
          </w:tcPr>
          <w:p>
            <w:pPr>
              <w:spacing w:after="0"/>
              <w:rPr>
                <w:sz w:val="11"/>
                <w:szCs w:val="11"/>
                <w:color w:val="auto"/>
              </w:rPr>
            </w:pPr>
          </w:p>
        </w:tc>
        <w:tc>
          <w:tcPr>
            <w:tcW w:w="42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100" w:type="dxa"/>
            <w:vAlign w:val="bottom"/>
            <w:gridSpan w:val="5"/>
          </w:tcPr>
          <w:p>
            <w:pPr>
              <w:spacing w:after="0"/>
              <w:rPr>
                <w:sz w:val="11"/>
                <w:szCs w:val="11"/>
                <w:color w:val="auto"/>
              </w:rPr>
            </w:pPr>
          </w:p>
        </w:tc>
      </w:tr>
      <w:tr>
        <w:trPr>
          <w:trHeight w:val="277"/>
        </w:trPr>
        <w:tc>
          <w:tcPr>
            <w:tcW w:w="1460" w:type="dxa"/>
            <w:vAlign w:val="bottom"/>
          </w:tcPr>
          <w:p>
            <w:pPr>
              <w:spacing w:after="0"/>
              <w:rPr>
                <w:sz w:val="24"/>
                <w:szCs w:val="24"/>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4"/>
                <w:szCs w:val="14"/>
                <w:i w:val="1"/>
                <w:iCs w:val="1"/>
                <w:color w:val="auto"/>
              </w:rPr>
              <w:t>Certain Other Agreements</w:t>
            </w: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Master Confirmation Agreement, dated as of May 2, 2013, between Rent-A-Center, Inc. and Goldman Sachs &amp; Co. (incorporated herein by reference to Exhibit 10.1 to the</w:t>
              </w:r>
            </w:hyperlink>
          </w:p>
        </w:tc>
      </w:tr>
      <w:tr>
        <w:trPr>
          <w:trHeight w:val="118"/>
        </w:trPr>
        <w:tc>
          <w:tcPr>
            <w:tcW w:w="1460" w:type="dxa"/>
            <w:vAlign w:val="bottom"/>
          </w:tcPr>
          <w:p>
            <w:pPr>
              <w:spacing w:after="0"/>
              <w:rPr>
                <w:sz w:val="10"/>
                <w:szCs w:val="10"/>
                <w:color w:val="auto"/>
              </w:rPr>
            </w:pPr>
          </w:p>
        </w:tc>
        <w:tc>
          <w:tcPr>
            <w:tcW w:w="376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registrant's Current Report on Form 8-K dated as of May 2, 2013.)</w:t>
              </w:r>
            </w:hyperlink>
          </w:p>
        </w:tc>
        <w:tc>
          <w:tcPr>
            <w:tcW w:w="6120" w:type="dxa"/>
            <w:vAlign w:val="bottom"/>
            <w:tcBorders>
              <w:top w:val="single" w:sz="8" w:color="0000FF"/>
            </w:tcBorders>
            <w:gridSpan w:val="14"/>
          </w:tcPr>
          <w:p>
            <w:pPr>
              <w:spacing w:after="0"/>
              <w:rPr>
                <w:sz w:val="10"/>
                <w:szCs w:val="10"/>
                <w:color w:val="auto"/>
              </w:rPr>
            </w:pPr>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Agreement Containing Consent Order, dated as of February 21, 2020, by and between the Bureau of Competition and Rent-A-Center, Inc. (incorporated herein by reference</w:t>
              </w:r>
            </w:hyperlink>
          </w:p>
        </w:tc>
      </w:tr>
      <w:tr>
        <w:trPr>
          <w:trHeight w:val="118"/>
        </w:trPr>
        <w:tc>
          <w:tcPr>
            <w:tcW w:w="1460" w:type="dxa"/>
            <w:vAlign w:val="bottom"/>
          </w:tcPr>
          <w:p>
            <w:pPr>
              <w:spacing w:after="0"/>
              <w:rPr>
                <w:sz w:val="10"/>
                <w:szCs w:val="10"/>
                <w:color w:val="auto"/>
              </w:rPr>
            </w:pPr>
          </w:p>
        </w:tc>
        <w:tc>
          <w:tcPr>
            <w:tcW w:w="984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to Exhibit 10.1 to the registrant's Current Report on Form 8-K dated as of February 21, 2020.)</w:t>
              </w:r>
            </w:hyperlink>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6"/>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Registration Rights Agreement, dated as of January 31, 2025, by and among Upbound Group, Inc. and the Brigit Securityholders party thereto (incorporated herein by</w:t>
              </w:r>
            </w:hyperlink>
          </w:p>
        </w:tc>
      </w:tr>
      <w:tr>
        <w:trPr>
          <w:trHeight w:val="118"/>
        </w:trPr>
        <w:tc>
          <w:tcPr>
            <w:tcW w:w="1460" w:type="dxa"/>
            <w:vAlign w:val="bottom"/>
          </w:tcPr>
          <w:p>
            <w:pPr>
              <w:spacing w:after="0"/>
              <w:rPr>
                <w:sz w:val="10"/>
                <w:szCs w:val="10"/>
                <w:color w:val="auto"/>
              </w:rPr>
            </w:pPr>
          </w:p>
        </w:tc>
        <w:tc>
          <w:tcPr>
            <w:tcW w:w="580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reference to Exhibit 10.1 to the registrant's Current Report on Form 8-K dated as of February 5, 2025.)</w:t>
              </w:r>
            </w:hyperlink>
          </w:p>
        </w:tc>
        <w:tc>
          <w:tcPr>
            <w:tcW w:w="4060" w:type="dxa"/>
            <w:vAlign w:val="bottom"/>
            <w:tcBorders>
              <w:top w:val="single" w:sz="8" w:color="0000FF"/>
            </w:tcBorders>
            <w:gridSpan w:val="11"/>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10060" w:type="dxa"/>
            <w:vAlign w:val="bottom"/>
            <w:gridSpan w:val="30"/>
          </w:tcPr>
          <w:p>
            <w:pPr>
              <w:spacing w:after="0"/>
              <w:rPr>
                <w:sz w:val="20"/>
                <w:szCs w:val="20"/>
                <w:color w:val="auto"/>
              </w:rPr>
            </w:pPr>
            <w:r>
              <w:rPr>
                <w:rFonts w:ascii="Times New Roman" w:cs="Times New Roman" w:eastAsia="Times New Roman" w:hAnsi="Times New Roman"/>
                <w:sz w:val="14"/>
                <w:szCs w:val="14"/>
                <w:i w:val="1"/>
                <w:iCs w:val="1"/>
                <w:color w:val="auto"/>
              </w:rPr>
              <w:t>Management Contracts and Director Compensation</w:t>
            </w: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060" w:type="dxa"/>
            <w:vAlign w:val="bottom"/>
            <w:gridSpan w:val="30"/>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Loyalty and Confidentiality Agreement entered into with management (incorporated herein by reference to Exhibit 10.13 to the registrant's Annual Report on Form</w:t>
              </w:r>
            </w:hyperlink>
          </w:p>
        </w:tc>
      </w:tr>
      <w:tr>
        <w:trPr>
          <w:trHeight w:val="118"/>
        </w:trPr>
        <w:tc>
          <w:tcPr>
            <w:tcW w:w="1460" w:type="dxa"/>
            <w:vAlign w:val="bottom"/>
          </w:tcPr>
          <w:p>
            <w:pPr>
              <w:spacing w:after="0"/>
              <w:rPr>
                <w:sz w:val="10"/>
                <w:szCs w:val="10"/>
                <w:color w:val="auto"/>
              </w:rPr>
            </w:pPr>
          </w:p>
        </w:tc>
        <w:tc>
          <w:tcPr>
            <w:tcW w:w="25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10-K for the year ended December 31, 2023.)</w:t>
              </w:r>
            </w:hyperlink>
          </w:p>
        </w:tc>
        <w:tc>
          <w:tcPr>
            <w:tcW w:w="7380" w:type="dxa"/>
            <w:vAlign w:val="bottom"/>
            <w:tcBorders>
              <w:top w:val="single" w:sz="8" w:color="0000FF"/>
            </w:tcBorders>
            <w:gridSpan w:val="19"/>
          </w:tcPr>
          <w:p>
            <w:pPr>
              <w:spacing w:after="0"/>
              <w:rPr>
                <w:sz w:val="10"/>
                <w:szCs w:val="10"/>
                <w:color w:val="auto"/>
              </w:rPr>
            </w:pPr>
          </w:p>
        </w:tc>
        <w:tc>
          <w:tcPr>
            <w:tcW w:w="100" w:type="dxa"/>
            <w:vAlign w:val="bottom"/>
            <w:gridSpan w:val="5"/>
          </w:tcPr>
          <w:p>
            <w:pPr>
              <w:spacing w:after="0"/>
              <w:rPr>
                <w:sz w:val="10"/>
                <w:szCs w:val="10"/>
                <w:color w:val="auto"/>
              </w:rPr>
            </w:pPr>
          </w:p>
        </w:tc>
      </w:tr>
      <w:tr>
        <w:trPr>
          <w:trHeight w:val="881"/>
        </w:trPr>
        <w:tc>
          <w:tcPr>
            <w:tcW w:w="1460" w:type="dxa"/>
            <w:vAlign w:val="bottom"/>
          </w:tcPr>
          <w:p>
            <w:pPr>
              <w:spacing w:after="0"/>
              <w:rPr>
                <w:sz w:val="24"/>
                <w:szCs w:val="24"/>
                <w:color w:val="auto"/>
              </w:rPr>
            </w:pPr>
          </w:p>
        </w:tc>
        <w:tc>
          <w:tcPr>
            <w:tcW w:w="5300" w:type="dxa"/>
            <w:vAlign w:val="bottom"/>
            <w:gridSpan w:val="8"/>
          </w:tcPr>
          <w:p>
            <w:pPr>
              <w:ind w:left="4080"/>
              <w:spacing w:after="0"/>
              <w:rPr>
                <w:sz w:val="20"/>
                <w:szCs w:val="20"/>
                <w:color w:val="auto"/>
              </w:rPr>
            </w:pPr>
            <w:r>
              <w:rPr>
                <w:rFonts w:ascii="Times New Roman" w:cs="Times New Roman" w:eastAsia="Times New Roman" w:hAnsi="Times New Roman"/>
                <w:sz w:val="14"/>
                <w:szCs w:val="14"/>
                <w:color w:val="auto"/>
              </w:rPr>
              <w:t>103</w:t>
            </w: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0"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10.16</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Amended and Restated Employment Agreement, entered into as of April 16, 2019, between Rent-A-Center, Inc. and Mitchell E. Fadel (incorporated herein by reference to</w:t>
              </w:r>
            </w:hyperlink>
          </w:p>
        </w:tc>
      </w:tr>
      <w:tr>
        <w:trPr>
          <w:trHeight w:val="118"/>
        </w:trPr>
        <w:tc>
          <w:tcPr>
            <w:tcW w:w="1460" w:type="dxa"/>
            <w:vAlign w:val="bottom"/>
          </w:tcPr>
          <w:p>
            <w:pPr>
              <w:spacing w:after="0"/>
              <w:rPr>
                <w:sz w:val="10"/>
                <w:szCs w:val="10"/>
                <w:color w:val="auto"/>
              </w:rPr>
            </w:pPr>
          </w:p>
        </w:tc>
        <w:tc>
          <w:tcPr>
            <w:tcW w:w="982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Exhibit 10.1 to the registrant's Current Report on Form 8-K dated as of April 16,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10.17</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Summary of Director Compensation (incorporated herein by reference to Exhibit 10.18 to the registrant's Annual Report on Form 10-K for the year ended December 31,</w:t>
              </w:r>
            </w:hyperlink>
          </w:p>
        </w:tc>
      </w:tr>
      <w:tr>
        <w:trPr>
          <w:trHeight w:val="118"/>
        </w:trPr>
        <w:tc>
          <w:tcPr>
            <w:tcW w:w="146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2024.</w:t>
              </w:r>
              <w:r>
                <w:rPr>
                  <w:rFonts w:ascii="Times New Roman" w:cs="Times New Roman" w:eastAsia="Times New Roman" w:hAnsi="Times New Roman"/>
                  <w:sz w:val="13"/>
                  <w:szCs w:val="13"/>
                  <w:u w:val="single" w:color="auto"/>
                  <w:color w:val="0000FF"/>
                </w:rPr>
                <w:t>)</w:t>
              </w:r>
            </w:hyperlink>
          </w:p>
        </w:tc>
        <w:tc>
          <w:tcPr>
            <w:tcW w:w="6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40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7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10.18</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EVP Executive Transition Agreement (incorporated herein by reference to Exhibit 10.1 to the registrant's Quarterly Report on Form 10-Q for the quarter ended</w:t>
              </w:r>
            </w:hyperlink>
          </w:p>
        </w:tc>
      </w:tr>
      <w:tr>
        <w:trPr>
          <w:trHeight w:val="118"/>
        </w:trPr>
        <w:tc>
          <w:tcPr>
            <w:tcW w:w="1460" w:type="dxa"/>
            <w:vAlign w:val="bottom"/>
          </w:tcPr>
          <w:p>
            <w:pPr>
              <w:spacing w:after="0"/>
              <w:rPr>
                <w:sz w:val="10"/>
                <w:szCs w:val="10"/>
                <w:color w:val="auto"/>
              </w:rPr>
            </w:pPr>
          </w:p>
        </w:tc>
        <w:tc>
          <w:tcPr>
            <w:tcW w:w="9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March 31, 2024.)</w:t>
              </w:r>
            </w:hyperlink>
          </w:p>
        </w:tc>
        <w:tc>
          <w:tcPr>
            <w:tcW w:w="894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10.19</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Letter Agreement, dated as of April 3, 2024, between Upbound Group, Inc. and Mitchell E. Fadel (incorporated herein by reference to Exhibit 10.1 to the registrant's Current</w:t>
              </w:r>
            </w:hyperlink>
          </w:p>
        </w:tc>
      </w:tr>
      <w:tr>
        <w:trPr>
          <w:trHeight w:val="118"/>
        </w:trPr>
        <w:tc>
          <w:tcPr>
            <w:tcW w:w="146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Report on Form 8-K dated as of April 5, 2024.)</w:t>
              </w:r>
            </w:hyperlink>
          </w:p>
        </w:tc>
        <w:tc>
          <w:tcPr>
            <w:tcW w:w="71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10.20</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Employment Agreement, by and between the Company and Mr. Fahmi Karam, dated as of February 19, 2025 (incorporated herein by reference to Exhibit 10.1 to the</w:t>
              </w:r>
            </w:hyperlink>
          </w:p>
        </w:tc>
      </w:tr>
      <w:tr>
        <w:trPr>
          <w:trHeight w:val="118"/>
        </w:trPr>
        <w:tc>
          <w:tcPr>
            <w:tcW w:w="1460" w:type="dxa"/>
            <w:vAlign w:val="bottom"/>
          </w:tcPr>
          <w:p>
            <w:pPr>
              <w:spacing w:after="0"/>
              <w:rPr>
                <w:sz w:val="10"/>
                <w:szCs w:val="10"/>
                <w:color w:val="auto"/>
              </w:rPr>
            </w:pPr>
          </w:p>
        </w:tc>
        <w:tc>
          <w:tcPr>
            <w:tcW w:w="40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registrant's Current Report on Form 8-K dated as of February 20, 2025.)</w:t>
              </w:r>
            </w:hyperlink>
          </w:p>
        </w:tc>
        <w:tc>
          <w:tcPr>
            <w:tcW w:w="578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10060" w:type="dxa"/>
            <w:vAlign w:val="bottom"/>
            <w:gridSpan w:val="29"/>
          </w:tcPr>
          <w:p>
            <w:pPr>
              <w:spacing w:after="0"/>
              <w:rPr>
                <w:sz w:val="20"/>
                <w:szCs w:val="20"/>
                <w:color w:val="auto"/>
              </w:rPr>
            </w:pPr>
            <w:r>
              <w:rPr>
                <w:rFonts w:ascii="Times New Roman" w:cs="Times New Roman" w:eastAsia="Times New Roman" w:hAnsi="Times New Roman"/>
                <w:sz w:val="14"/>
                <w:szCs w:val="14"/>
                <w:i w:val="1"/>
                <w:iCs w:val="1"/>
                <w:color w:val="auto"/>
              </w:rPr>
              <w:t>Long-Term Incentive Plan</w:t>
            </w: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10.21</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Amended and Restated Rent-A-Center, Inc. Long-Term Incentive Plan (incorporated herein by reference to Exhibit 10.1 to the registrant's Quarterly Report on Form 10-Q</w:t>
              </w:r>
            </w:hyperlink>
          </w:p>
        </w:tc>
      </w:tr>
      <w:tr>
        <w:trPr>
          <w:trHeight w:val="118"/>
        </w:trPr>
        <w:tc>
          <w:tcPr>
            <w:tcW w:w="1460" w:type="dxa"/>
            <w:vAlign w:val="bottom"/>
          </w:tcPr>
          <w:p>
            <w:pPr>
              <w:spacing w:after="0"/>
              <w:rPr>
                <w:sz w:val="10"/>
                <w:szCs w:val="10"/>
                <w:color w:val="auto"/>
              </w:rPr>
            </w:pPr>
          </w:p>
        </w:tc>
        <w:tc>
          <w:tcPr>
            <w:tcW w:w="99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for the quarter ended September 30, 2003.)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46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10.22</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Stock Option Agreement issuable to Directors pursuant to the Amended and Restated Rent-A-Center, Inc. Long-Term Incentive Plan (incorporated herein by</w:t>
              </w:r>
            </w:hyperlink>
          </w:p>
        </w:tc>
      </w:tr>
      <w:tr>
        <w:trPr>
          <w:trHeight w:val="118"/>
        </w:trPr>
        <w:tc>
          <w:tcPr>
            <w:tcW w:w="1460" w:type="dxa"/>
            <w:vAlign w:val="bottom"/>
          </w:tcPr>
          <w:p>
            <w:pPr>
              <w:spacing w:after="0"/>
              <w:rPr>
                <w:sz w:val="10"/>
                <w:szCs w:val="10"/>
                <w:color w:val="auto"/>
              </w:rPr>
            </w:pPr>
          </w:p>
        </w:tc>
        <w:tc>
          <w:tcPr>
            <w:tcW w:w="648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reference to Exhibit 10.20 to the registrant's Annual Report on Form 10-K for the year ended December 31, 2004.)</w:t>
              </w:r>
            </w:hyperlink>
          </w:p>
        </w:tc>
        <w:tc>
          <w:tcPr>
            <w:tcW w:w="3320" w:type="dxa"/>
            <w:vAlign w:val="bottom"/>
            <w:tcBorders>
              <w:top w:val="single" w:sz="8" w:color="0000FF"/>
            </w:tcBorders>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10.23</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Stock Compensation Agreement issuable to management pursuant to the Amended and Restated Rent-A-Center, Inc. Long-Term Incentive Plan (incorporated herein</w:t>
              </w:r>
            </w:hyperlink>
          </w:p>
        </w:tc>
      </w:tr>
      <w:tr>
        <w:trPr>
          <w:trHeight w:val="118"/>
        </w:trPr>
        <w:tc>
          <w:tcPr>
            <w:tcW w:w="1460" w:type="dxa"/>
            <w:vAlign w:val="bottom"/>
          </w:tcPr>
          <w:p>
            <w:pPr>
              <w:spacing w:after="0"/>
              <w:rPr>
                <w:sz w:val="10"/>
                <w:szCs w:val="10"/>
                <w:color w:val="auto"/>
              </w:rPr>
            </w:pPr>
          </w:p>
        </w:tc>
        <w:tc>
          <w:tcPr>
            <w:tcW w:w="66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by reference to Exhibit 10.15 to the registrant's Annual Report on Form 10-K for the year ended December 31, 2005.)</w:t>
              </w:r>
            </w:hyperlink>
          </w:p>
        </w:tc>
        <w:tc>
          <w:tcPr>
            <w:tcW w:w="33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10.24</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Long-Term Incentive Cash Award issuable to management pursuant to the Amended and Restated Rent-A-Center, Inc. Long-Term Incentive Plan (incorporated</w:t>
              </w:r>
            </w:hyperlink>
          </w:p>
        </w:tc>
      </w:tr>
      <w:tr>
        <w:trPr>
          <w:trHeight w:val="118"/>
        </w:trPr>
        <w:tc>
          <w:tcPr>
            <w:tcW w:w="1460" w:type="dxa"/>
            <w:vAlign w:val="bottom"/>
          </w:tcPr>
          <w:p>
            <w:pPr>
              <w:spacing w:after="0"/>
              <w:rPr>
                <w:sz w:val="10"/>
                <w:szCs w:val="10"/>
                <w:color w:val="auto"/>
              </w:rPr>
            </w:pPr>
          </w:p>
        </w:tc>
        <w:tc>
          <w:tcPr>
            <w:tcW w:w="100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herein by reference to Exhibit 10.16 to the registrant's Annual Report on Form 10-K for the year ended December 31, 2005.)</w:t>
              </w:r>
            </w:hyperlink>
          </w:p>
        </w:tc>
        <w:tc>
          <w:tcPr>
            <w:tcW w:w="40" w:type="dxa"/>
            <w:vAlign w:val="bottom"/>
            <w:gridSpan w:val="2"/>
          </w:tcPr>
          <w:p>
            <w:pPr>
              <w:spacing w:after="0"/>
              <w:rPr>
                <w:sz w:val="10"/>
                <w:szCs w:val="10"/>
                <w:color w:val="auto"/>
              </w:rPr>
            </w:pPr>
          </w:p>
        </w:tc>
      </w:tr>
      <w:tr>
        <w:trPr>
          <w:trHeight w:val="287"/>
        </w:trPr>
        <w:tc>
          <w:tcPr>
            <w:tcW w:w="1460" w:type="dxa"/>
            <w:vAlign w:val="bottom"/>
          </w:tcPr>
          <w:p>
            <w:pPr>
              <w:spacing w:after="0"/>
              <w:rPr>
                <w:sz w:val="24"/>
                <w:szCs w:val="24"/>
                <w:color w:val="auto"/>
              </w:rPr>
            </w:pPr>
          </w:p>
        </w:tc>
        <w:tc>
          <w:tcPr>
            <w:tcW w:w="70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i w:val="1"/>
                <w:iCs w:val="1"/>
                <w:color w:val="auto"/>
              </w:rPr>
              <w:t>2006 Long-Term Incentive Plan</w:t>
            </w:r>
          </w:p>
        </w:tc>
        <w:tc>
          <w:tcPr>
            <w:tcW w:w="3020" w:type="dxa"/>
            <w:vAlign w:val="bottom"/>
            <w:gridSpan w:val="14"/>
          </w:tcPr>
          <w:p>
            <w:pPr>
              <w:spacing w:after="0"/>
              <w:rPr>
                <w:sz w:val="24"/>
                <w:szCs w:val="24"/>
                <w:color w:val="auto"/>
              </w:rPr>
            </w:pP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10.25</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Rent-A-Center, Inc. 2006 Long-Term Incentive Plan (incorporated herein by reference to Exhibit 10.17 to the registrant's Quarterly Report on Form 10-Q for the quarter</w:t>
              </w:r>
            </w:hyperlink>
          </w:p>
        </w:tc>
      </w:tr>
      <w:tr>
        <w:trPr>
          <w:trHeight w:val="118"/>
        </w:trPr>
        <w:tc>
          <w:tcPr>
            <w:tcW w:w="146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ended June 30, 2006.)</w:t>
              </w:r>
            </w:hyperlink>
          </w:p>
        </w:tc>
        <w:tc>
          <w:tcPr>
            <w:tcW w:w="872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10.26</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Stock Option Agreement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Exhibit 10.18 to the registrant's Quarterly Report on Form 10-Q for the quarter ended June 30, 2006.)</w:t>
              </w:r>
            </w:hyperlink>
          </w:p>
        </w:tc>
        <w:tc>
          <w:tcPr>
            <w:tcW w:w="414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10.27</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Long-Term Incentive Cash Award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Exhibit 10.20 to the registrant's Annual Report on Form 10-K for the year ended December 31, 2006.)</w:t>
              </w:r>
            </w:hyperlink>
          </w:p>
        </w:tc>
        <w:tc>
          <w:tcPr>
            <w:tcW w:w="420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10.28</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Form of Stock Compensation Agreement issuable to management pursuant to the Rent-A-Center, Inc. 2006 Long-Term Incentive Plan (incorporated herein by reference to</w:t>
              </w:r>
            </w:hyperlink>
          </w:p>
        </w:tc>
      </w:tr>
      <w:tr>
        <w:trPr>
          <w:trHeight w:val="118"/>
        </w:trPr>
        <w:tc>
          <w:tcPr>
            <w:tcW w:w="1460" w:type="dxa"/>
            <w:vAlign w:val="bottom"/>
          </w:tcPr>
          <w:p>
            <w:pPr>
              <w:spacing w:after="0"/>
              <w:rPr>
                <w:sz w:val="10"/>
                <w:szCs w:val="10"/>
                <w:color w:val="auto"/>
              </w:rPr>
            </w:pPr>
          </w:p>
        </w:tc>
        <w:tc>
          <w:tcPr>
            <w:tcW w:w="57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9">
              <w:r>
                <w:rPr>
                  <w:rFonts w:ascii="Times New Roman" w:cs="Times New Roman" w:eastAsia="Times New Roman" w:hAnsi="Times New Roman"/>
                  <w:sz w:val="13"/>
                  <w:szCs w:val="13"/>
                  <w:color w:val="0000FF"/>
                </w:rPr>
                <w:t>Exhibit 10.23 to the registrant's Annual Report on Form 10-K for the year ended December 31, 2006.)</w:t>
              </w:r>
            </w:hyperlink>
          </w:p>
        </w:tc>
        <w:tc>
          <w:tcPr>
            <w:tcW w:w="4060" w:type="dxa"/>
            <w:vAlign w:val="bottom"/>
            <w:tcBorders>
              <w:top w:val="single" w:sz="8" w:color="0000FF"/>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10.29</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Stock Option Agreement issuable to Directors pursuant to the Rent-A-Center, Inc. 2006 Long-Term Incentive Plan (incorporated herein by reference to Exhibit</w:t>
              </w:r>
            </w:hyperlink>
          </w:p>
        </w:tc>
      </w:tr>
      <w:tr>
        <w:trPr>
          <w:trHeight w:val="118"/>
        </w:trPr>
        <w:tc>
          <w:tcPr>
            <w:tcW w:w="1460" w:type="dxa"/>
            <w:vAlign w:val="bottom"/>
          </w:tcPr>
          <w:p>
            <w:pPr>
              <w:spacing w:after="0"/>
              <w:rPr>
                <w:sz w:val="10"/>
                <w:szCs w:val="10"/>
                <w:color w:val="auto"/>
              </w:rPr>
            </w:pPr>
          </w:p>
        </w:tc>
        <w:tc>
          <w:tcPr>
            <w:tcW w:w="53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24</w:t>
              </w:r>
              <w:r>
                <w:rPr>
                  <w:rFonts w:ascii="Times New Roman" w:cs="Times New Roman" w:eastAsia="Times New Roman" w:hAnsi="Times New Roman"/>
                  <w:sz w:val="13"/>
                  <w:szCs w:val="13"/>
                  <w:color w:val="0000FF"/>
                </w:rPr>
                <w:t xml:space="preserve"> to the registrant's Annual Report on Form 10-K for the year ended December 31, 2006.)</w:t>
              </w:r>
            </w:hyperlink>
          </w:p>
        </w:tc>
        <w:tc>
          <w:tcPr>
            <w:tcW w:w="4580" w:type="dxa"/>
            <w:vAlign w:val="bottom"/>
            <w:tcBorders>
              <w:top w:val="single" w:sz="8" w:color="0000FF"/>
            </w:tcBorders>
            <w:gridSpan w:val="13"/>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10.30</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Form of Deferred Stock Unit Award Agreement issuable to Directors pursuant to the Rent-A-Center, Inc. 2006 Long-Term Incentive Plan (incorporated herein by reference</w:t>
              </w:r>
            </w:hyperlink>
          </w:p>
        </w:tc>
      </w:tr>
      <w:tr>
        <w:trPr>
          <w:trHeight w:val="118"/>
        </w:trPr>
        <w:tc>
          <w:tcPr>
            <w:tcW w:w="1460" w:type="dxa"/>
            <w:vAlign w:val="bottom"/>
          </w:tcPr>
          <w:p>
            <w:pPr>
              <w:spacing w:after="0"/>
              <w:rPr>
                <w:sz w:val="10"/>
                <w:szCs w:val="10"/>
                <w:color w:val="auto"/>
              </w:rPr>
            </w:pPr>
          </w:p>
        </w:tc>
        <w:tc>
          <w:tcPr>
            <w:tcW w:w="59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to Exhibit 10.23 to the registrant's Annual Report on Form 10-K for the year ended December 31, 2010.)</w:t>
              </w:r>
            </w:hyperlink>
          </w:p>
        </w:tc>
        <w:tc>
          <w:tcPr>
            <w:tcW w:w="4080" w:type="dxa"/>
            <w:vAlign w:val="bottom"/>
            <w:tcBorders>
              <w:top w:val="single" w:sz="8" w:color="0000FF"/>
            </w:tcBorders>
            <w:gridSpan w:val="14"/>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77"/>
        </w:trPr>
        <w:tc>
          <w:tcPr>
            <w:tcW w:w="1460" w:type="dxa"/>
            <w:vAlign w:val="bottom"/>
          </w:tcPr>
          <w:p>
            <w:pPr>
              <w:spacing w:after="0"/>
              <w:rPr>
                <w:sz w:val="24"/>
                <w:szCs w:val="24"/>
                <w:color w:val="auto"/>
              </w:rPr>
            </w:pPr>
          </w:p>
        </w:tc>
        <w:tc>
          <w:tcPr>
            <w:tcW w:w="10060" w:type="dxa"/>
            <w:vAlign w:val="bottom"/>
            <w:gridSpan w:val="29"/>
          </w:tcPr>
          <w:p>
            <w:pPr>
              <w:spacing w:after="0"/>
              <w:rPr>
                <w:sz w:val="20"/>
                <w:szCs w:val="20"/>
                <w:color w:val="auto"/>
              </w:rPr>
            </w:pPr>
            <w:r>
              <w:rPr>
                <w:rFonts w:ascii="Times New Roman" w:cs="Times New Roman" w:eastAsia="Times New Roman" w:hAnsi="Times New Roman"/>
                <w:sz w:val="14"/>
                <w:szCs w:val="14"/>
                <w:i w:val="1"/>
                <w:iCs w:val="1"/>
                <w:color w:val="auto"/>
              </w:rPr>
              <w:t>2006 Equity Incentive Plan</w:t>
            </w:r>
          </w:p>
        </w:tc>
      </w:tr>
      <w:tr>
        <w:trPr>
          <w:trHeight w:val="234"/>
        </w:trPr>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10.31</w:t>
            </w:r>
          </w:p>
        </w:tc>
        <w:tc>
          <w:tcPr>
            <w:tcW w:w="10060" w:type="dxa"/>
            <w:vAlign w:val="bottom"/>
            <w:gridSpan w:val="29"/>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Stock Compensation Agreement issuable to management pursuant to the Rent-A-Center, Inc. 2006 Equity Incentive Plan (incorporated herein by reference to</w:t>
              </w:r>
            </w:hyperlink>
          </w:p>
        </w:tc>
      </w:tr>
      <w:tr>
        <w:trPr>
          <w:trHeight w:val="118"/>
        </w:trPr>
        <w:tc>
          <w:tcPr>
            <w:tcW w:w="1460" w:type="dxa"/>
            <w:vAlign w:val="bottom"/>
          </w:tcPr>
          <w:p>
            <w:pPr>
              <w:spacing w:after="0"/>
              <w:rPr>
                <w:sz w:val="10"/>
                <w:szCs w:val="10"/>
                <w:color w:val="auto"/>
              </w:rPr>
            </w:pPr>
          </w:p>
        </w:tc>
        <w:tc>
          <w:tcPr>
            <w:tcW w:w="98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Exhibit 10.19 to the registrant's Annual Report on Form 10-K for the year ended December 31, 2006.)</w:t>
              </w:r>
            </w:hyperlink>
          </w:p>
        </w:tc>
        <w:tc>
          <w:tcPr>
            <w:tcW w:w="180" w:type="dxa"/>
            <w:vAlign w:val="bottom"/>
            <w:gridSpan w:val="9"/>
          </w:tcPr>
          <w:p>
            <w:pPr>
              <w:spacing w:after="0"/>
              <w:rPr>
                <w:sz w:val="10"/>
                <w:szCs w:val="10"/>
                <w:color w:val="auto"/>
              </w:rPr>
            </w:pPr>
          </w:p>
        </w:tc>
      </w:tr>
      <w:tr>
        <w:trPr>
          <w:trHeight w:val="797"/>
        </w:trPr>
        <w:tc>
          <w:tcPr>
            <w:tcW w:w="1460" w:type="dxa"/>
            <w:vAlign w:val="bottom"/>
          </w:tcPr>
          <w:p>
            <w:pPr>
              <w:spacing w:after="0"/>
              <w:rPr>
                <w:sz w:val="24"/>
                <w:szCs w:val="24"/>
                <w:color w:val="auto"/>
              </w:rPr>
            </w:pPr>
          </w:p>
        </w:tc>
        <w:tc>
          <w:tcPr>
            <w:tcW w:w="4940" w:type="dxa"/>
            <w:vAlign w:val="bottom"/>
            <w:tcBorders>
              <w:top w:val="single" w:sz="8" w:color="0000FF"/>
            </w:tcBorders>
            <w:gridSpan w:val="7"/>
          </w:tcPr>
          <w:p>
            <w:pPr>
              <w:ind w:left="4080"/>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4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7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0" w:right="3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10.32</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Stock Option Agreement issuable to management pursuant to the Rent-A-Center, Inc. 2006 Equity Incentive Plan (incorporated herein by reference to Exhibit 10.22</w:t>
              </w:r>
            </w:hyperlink>
          </w:p>
        </w:tc>
      </w:tr>
      <w:tr>
        <w:trPr>
          <w:trHeight w:val="118"/>
        </w:trPr>
        <w:tc>
          <w:tcPr>
            <w:tcW w:w="940" w:type="dxa"/>
            <w:vAlign w:val="bottom"/>
          </w:tcPr>
          <w:p>
            <w:pPr>
              <w:spacing w:after="0"/>
              <w:rPr>
                <w:sz w:val="10"/>
                <w:szCs w:val="10"/>
                <w:color w:val="auto"/>
              </w:rPr>
            </w:pPr>
          </w:p>
        </w:tc>
        <w:tc>
          <w:tcPr>
            <w:tcW w:w="980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to the registrant's Annual Report on Form 10-K for the year ended December 31, 2006.)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10.33</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Rent-A-Center, Inc. 2006 Equity Incentive Plan and Amendment (incorporated herein by reference to Exhibit 4.5 to the registrant's Registration Statement on Form S-8</w:t>
              </w:r>
            </w:hyperlink>
          </w:p>
        </w:tc>
      </w:tr>
      <w:tr>
        <w:trPr>
          <w:trHeight w:val="118"/>
        </w:trPr>
        <w:tc>
          <w:tcPr>
            <w:tcW w:w="940" w:type="dxa"/>
            <w:vAlign w:val="bottom"/>
          </w:tcPr>
          <w:p>
            <w:pPr>
              <w:spacing w:after="0"/>
              <w:rPr>
                <w:sz w:val="10"/>
                <w:szCs w:val="10"/>
                <w:color w:val="auto"/>
              </w:rPr>
            </w:pPr>
          </w:p>
        </w:tc>
        <w:tc>
          <w:tcPr>
            <w:tcW w:w="998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dated as of January 4, 2007.)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940" w:type="dxa"/>
            <w:vAlign w:val="bottom"/>
          </w:tcPr>
          <w:p>
            <w:pPr>
              <w:spacing w:after="0"/>
              <w:rPr>
                <w:sz w:val="24"/>
                <w:szCs w:val="24"/>
                <w:color w:val="auto"/>
              </w:rPr>
            </w:pPr>
          </w:p>
        </w:tc>
        <w:tc>
          <w:tcPr>
            <w:tcW w:w="10020" w:type="dxa"/>
            <w:vAlign w:val="bottom"/>
            <w:gridSpan w:val="26"/>
          </w:tcPr>
          <w:p>
            <w:pPr>
              <w:spacing w:after="0"/>
              <w:rPr>
                <w:sz w:val="20"/>
                <w:szCs w:val="20"/>
                <w:color w:val="auto"/>
              </w:rPr>
            </w:pPr>
            <w:r>
              <w:rPr>
                <w:rFonts w:ascii="Times New Roman" w:cs="Times New Roman" w:eastAsia="Times New Roman" w:hAnsi="Times New Roman"/>
                <w:sz w:val="14"/>
                <w:szCs w:val="14"/>
                <w:i w:val="1"/>
                <w:iCs w:val="1"/>
                <w:color w:val="auto"/>
              </w:rPr>
              <w:t>2016 Long-Term Incentive Plan</w:t>
            </w:r>
          </w:p>
        </w:tc>
      </w:tr>
      <w:tr>
        <w:trPr>
          <w:trHeight w:val="234"/>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10.34</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Rent-A-Center, Inc. 2016 Long-Term Incentive Plan (incorporated herein by reference to Exhibit 10.36 to the registrant's Quarterly Report on Form 10-Q for the quarter</w:t>
              </w:r>
            </w:hyperlink>
          </w:p>
        </w:tc>
      </w:tr>
      <w:tr>
        <w:trPr>
          <w:trHeight w:val="118"/>
        </w:trPr>
        <w:tc>
          <w:tcPr>
            <w:tcW w:w="940" w:type="dxa"/>
            <w:vAlign w:val="bottom"/>
          </w:tcPr>
          <w:p>
            <w:pPr>
              <w:spacing w:after="0"/>
              <w:rPr>
                <w:sz w:val="10"/>
                <w:szCs w:val="10"/>
                <w:color w:val="auto"/>
              </w:rPr>
            </w:pPr>
          </w:p>
        </w:tc>
        <w:tc>
          <w:tcPr>
            <w:tcW w:w="99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ended March 31,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10.35</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Stock Option Agreement issuable to management pursuant to the Rent-A-Center, Inc. 2016 Long-Term Incentive Plan (incorporated herein by reference to Exhibit</w:t>
              </w:r>
            </w:hyperlink>
          </w:p>
        </w:tc>
      </w:tr>
      <w:tr>
        <w:trPr>
          <w:trHeight w:val="118"/>
        </w:trPr>
        <w:tc>
          <w:tcPr>
            <w:tcW w:w="940" w:type="dxa"/>
            <w:vAlign w:val="bottom"/>
          </w:tcPr>
          <w:p>
            <w:pPr>
              <w:spacing w:after="0"/>
              <w:rPr>
                <w:sz w:val="10"/>
                <w:szCs w:val="10"/>
                <w:color w:val="auto"/>
              </w:rPr>
            </w:pPr>
          </w:p>
        </w:tc>
        <w:tc>
          <w:tcPr>
            <w:tcW w:w="99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37</w:t>
              </w:r>
              <w:r>
                <w:rPr>
                  <w:rFonts w:ascii="Times New Roman" w:cs="Times New Roman" w:eastAsia="Times New Roman" w:hAnsi="Times New Roman"/>
                  <w:sz w:val="13"/>
                  <w:szCs w:val="13"/>
                  <w:color w:val="0000FF"/>
                </w:rPr>
                <w:t xml:space="preserve"> to the registrant's Quarterly Report on Form 10-Q for the quarter ended March 31, 2016.)</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10.36</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Form of Stock Compensation Agreement (RSU) issuable to management pursuant to the Rent-A-Center, Inc. 2016 Long-Term Incentive Plan (incorporated herein by</w:t>
              </w:r>
            </w:hyperlink>
          </w:p>
        </w:tc>
      </w:tr>
      <w:tr>
        <w:trPr>
          <w:trHeight w:val="118"/>
        </w:trPr>
        <w:tc>
          <w:tcPr>
            <w:tcW w:w="940" w:type="dxa"/>
            <w:vAlign w:val="bottom"/>
          </w:tcPr>
          <w:p>
            <w:pPr>
              <w:spacing w:after="0"/>
              <w:rPr>
                <w:sz w:val="10"/>
                <w:szCs w:val="10"/>
                <w:color w:val="auto"/>
              </w:rPr>
            </w:pPr>
          </w:p>
        </w:tc>
        <w:tc>
          <w:tcPr>
            <w:tcW w:w="656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reference to Exhibit 10.38 to the registrant's Quarterly Report on Form 10-Q for the quarter ended March 31, 2016.)</w:t>
              </w:r>
            </w:hyperlink>
          </w:p>
        </w:tc>
        <w:tc>
          <w:tcPr>
            <w:tcW w:w="3360" w:type="dxa"/>
            <w:vAlign w:val="bottom"/>
            <w:tcBorders>
              <w:top w:val="single" w:sz="8" w:color="0000FF"/>
            </w:tcBorders>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10.37</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Form of Stock Compensation Agreement (PSU) issuable to management pursuant to the Rent-A-Center, Inc. 2016 Long-Term Incentive Plan (incorporated herein by</w:t>
              </w:r>
            </w:hyperlink>
          </w:p>
        </w:tc>
      </w:tr>
      <w:tr>
        <w:trPr>
          <w:trHeight w:val="118"/>
        </w:trPr>
        <w:tc>
          <w:tcPr>
            <w:tcW w:w="940" w:type="dxa"/>
            <w:vAlign w:val="bottom"/>
          </w:tcPr>
          <w:p>
            <w:pPr>
              <w:spacing w:after="0"/>
              <w:rPr>
                <w:sz w:val="10"/>
                <w:szCs w:val="10"/>
                <w:color w:val="auto"/>
              </w:rPr>
            </w:pPr>
          </w:p>
        </w:tc>
        <w:tc>
          <w:tcPr>
            <w:tcW w:w="982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reference to Exhibit 10.39 to the registrant's Quarterly Report on Form 10-Q for the quarter ended March 31,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87"/>
        </w:trPr>
        <w:tc>
          <w:tcPr>
            <w:tcW w:w="940" w:type="dxa"/>
            <w:vAlign w:val="bottom"/>
          </w:tcPr>
          <w:p>
            <w:pPr>
              <w:spacing w:after="0"/>
              <w:rPr>
                <w:sz w:val="24"/>
                <w:szCs w:val="24"/>
                <w:color w:val="auto"/>
              </w:rPr>
            </w:pPr>
          </w:p>
        </w:tc>
        <w:tc>
          <w:tcPr>
            <w:tcW w:w="65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i w:val="1"/>
                <w:iCs w:val="1"/>
                <w:color w:val="auto"/>
              </w:rPr>
              <w:t>2021 Long-Term Incentive Plan</w:t>
            </w:r>
          </w:p>
        </w:tc>
        <w:tc>
          <w:tcPr>
            <w:tcW w:w="3480" w:type="dxa"/>
            <w:vAlign w:val="bottom"/>
            <w:gridSpan w:val="15"/>
          </w:tcPr>
          <w:p>
            <w:pPr>
              <w:spacing w:after="0"/>
              <w:rPr>
                <w:sz w:val="24"/>
                <w:szCs w:val="24"/>
                <w:color w:val="auto"/>
              </w:rPr>
            </w:pPr>
          </w:p>
        </w:tc>
      </w:tr>
      <w:tr>
        <w:trPr>
          <w:trHeight w:val="234"/>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10.38</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Form of Rent-A-Center, Inc. 2021 Long-Term Incentive Plan Restricted Stock Unit Award Agreement (incorporated herein by reference to Exhibit 10.2 to the registrant's</w:t>
              </w:r>
            </w:hyperlink>
          </w:p>
        </w:tc>
      </w:tr>
      <w:tr>
        <w:trPr>
          <w:trHeight w:val="118"/>
        </w:trPr>
        <w:tc>
          <w:tcPr>
            <w:tcW w:w="940" w:type="dxa"/>
            <w:vAlign w:val="bottom"/>
          </w:tcPr>
          <w:p>
            <w:pPr>
              <w:spacing w:after="0"/>
              <w:rPr>
                <w:sz w:val="10"/>
                <w:szCs w:val="10"/>
                <w:color w:val="auto"/>
              </w:rPr>
            </w:pPr>
          </w:p>
        </w:tc>
        <w:tc>
          <w:tcPr>
            <w:tcW w:w="98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Current Report on Form 8-K dated as of June 8, 2021.)</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10.39</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Form of Rent-A-Center, Inc. 2021 Long-Term Incentive Plan Performance Stock Unit Award Agreement (incorporated herein by reference to Exhibit 10.3 to the registrant's</w:t>
              </w:r>
            </w:hyperlink>
          </w:p>
        </w:tc>
      </w:tr>
      <w:tr>
        <w:trPr>
          <w:trHeight w:val="118"/>
        </w:trPr>
        <w:tc>
          <w:tcPr>
            <w:tcW w:w="940" w:type="dxa"/>
            <w:vAlign w:val="bottom"/>
          </w:tcPr>
          <w:p>
            <w:pPr>
              <w:spacing w:after="0"/>
              <w:rPr>
                <w:sz w:val="10"/>
                <w:szCs w:val="10"/>
                <w:color w:val="auto"/>
              </w:rPr>
            </w:pPr>
          </w:p>
        </w:tc>
        <w:tc>
          <w:tcPr>
            <w:tcW w:w="988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Current Report on Form 8-K dated as of June 8, 2021.)</w:t>
              </w:r>
            </w:hyperlink>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10.40</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of Rent-A-Center, Inc. 2021 Long-Term Incentive Plan Stock Option Award Agreement (incorporated herein by reference to Exhibit 10.4 to the registrant's Current</w:t>
              </w:r>
            </w:hyperlink>
          </w:p>
        </w:tc>
      </w:tr>
      <w:tr>
        <w:trPr>
          <w:trHeight w:val="118"/>
        </w:trPr>
        <w:tc>
          <w:tcPr>
            <w:tcW w:w="94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Report on Form 8-K dated as of June 8, 2021.)</w:t>
              </w:r>
            </w:hyperlink>
          </w:p>
        </w:tc>
        <w:tc>
          <w:tcPr>
            <w:tcW w:w="7220" w:type="dxa"/>
            <w:vAlign w:val="bottom"/>
            <w:tcBorders>
              <w:top w:val="single" w:sz="8" w:color="0000FF"/>
            </w:tcBorders>
            <w:gridSpan w:val="1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10.41</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Form of Rent-A-Center, Inc. 2021 Long-Term Incentive Plan Deferred Stock Unit Award Agreement (incorporated herein by reference to Exhibit 10.5 to the registrant's</w:t>
              </w:r>
            </w:hyperlink>
          </w:p>
        </w:tc>
      </w:tr>
      <w:tr>
        <w:trPr>
          <w:trHeight w:val="118"/>
        </w:trPr>
        <w:tc>
          <w:tcPr>
            <w:tcW w:w="940" w:type="dxa"/>
            <w:vAlign w:val="bottom"/>
          </w:tcPr>
          <w:p>
            <w:pPr>
              <w:spacing w:after="0"/>
              <w:rPr>
                <w:sz w:val="10"/>
                <w:szCs w:val="10"/>
                <w:color w:val="auto"/>
              </w:rPr>
            </w:pPr>
          </w:p>
        </w:tc>
        <w:tc>
          <w:tcPr>
            <w:tcW w:w="99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Current Report on Form 8-K dated as of June 8,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10.42</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Upbound Group, Inc. Amended 2021 Long Term Incentive Plan (incorporated herein by reference to Annex A of the registrant’s Proxy Statement on Schedule 14A dated as</w:t>
              </w:r>
            </w:hyperlink>
          </w:p>
        </w:tc>
      </w:tr>
      <w:tr>
        <w:trPr>
          <w:trHeight w:val="118"/>
        </w:trPr>
        <w:tc>
          <w:tcPr>
            <w:tcW w:w="940" w:type="dxa"/>
            <w:vAlign w:val="bottom"/>
          </w:tcPr>
          <w:p>
            <w:pPr>
              <w:spacing w:after="0"/>
              <w:rPr>
                <w:sz w:val="10"/>
                <w:szCs w:val="10"/>
                <w:color w:val="auto"/>
              </w:rPr>
            </w:pPr>
          </w:p>
        </w:tc>
        <w:tc>
          <w:tcPr>
            <w:tcW w:w="10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of April 25, 2023.)</w:t>
              </w:r>
            </w:hyperlink>
          </w:p>
        </w:tc>
        <w:tc>
          <w:tcPr>
            <w:tcW w:w="8780" w:type="dxa"/>
            <w:vAlign w:val="bottom"/>
            <w:tcBorders>
              <w:top w:val="single" w:sz="8" w:color="0000FF"/>
            </w:tcBorders>
            <w:gridSpan w:val="16"/>
          </w:tcPr>
          <w:p>
            <w:pPr>
              <w:spacing w:after="0"/>
              <w:rPr>
                <w:sz w:val="10"/>
                <w:szCs w:val="10"/>
                <w:color w:val="auto"/>
              </w:rPr>
            </w:pPr>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10.43*</w:t>
            </w:r>
          </w:p>
        </w:tc>
        <w:tc>
          <w:tcPr>
            <w:tcW w:w="100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Form of Upbound Group, Inc. Amended 2021 Long-Term Incentive Plan Restricted Stock Unit Award Agreement</w:t>
            </w:r>
          </w:p>
        </w:tc>
      </w:tr>
      <w:tr>
        <w:trPr>
          <w:trHeight w:val="20"/>
        </w:trPr>
        <w:tc>
          <w:tcPr>
            <w:tcW w:w="94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10.44*</w:t>
            </w:r>
          </w:p>
        </w:tc>
        <w:tc>
          <w:tcPr>
            <w:tcW w:w="66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Form of Upbound Group, Inc. Amended 2021 Long-Term Incentive Plan Performance Stock Unit Award Agreement</w:t>
            </w:r>
          </w:p>
        </w:tc>
        <w:tc>
          <w:tcPr>
            <w:tcW w:w="3420" w:type="dxa"/>
            <w:vAlign w:val="bottom"/>
            <w:gridSpan w:val="13"/>
          </w:tcPr>
          <w:p>
            <w:pPr>
              <w:spacing w:after="0"/>
              <w:rPr>
                <w:sz w:val="21"/>
                <w:szCs w:val="21"/>
                <w:color w:val="auto"/>
              </w:rPr>
            </w:pPr>
          </w:p>
        </w:tc>
      </w:tr>
      <w:tr>
        <w:trPr>
          <w:trHeight w:val="277"/>
        </w:trPr>
        <w:tc>
          <w:tcPr>
            <w:tcW w:w="940" w:type="dxa"/>
            <w:vAlign w:val="bottom"/>
          </w:tcPr>
          <w:p>
            <w:pPr>
              <w:spacing w:after="0"/>
              <w:rPr>
                <w:sz w:val="24"/>
                <w:szCs w:val="24"/>
                <w:color w:val="auto"/>
              </w:rPr>
            </w:pPr>
          </w:p>
        </w:tc>
        <w:tc>
          <w:tcPr>
            <w:tcW w:w="10020" w:type="dxa"/>
            <w:vAlign w:val="bottom"/>
            <w:gridSpan w:val="26"/>
          </w:tcPr>
          <w:p>
            <w:pPr>
              <w:spacing w:after="0"/>
              <w:rPr>
                <w:sz w:val="20"/>
                <w:szCs w:val="20"/>
                <w:color w:val="auto"/>
              </w:rPr>
            </w:pPr>
            <w:r>
              <w:rPr>
                <w:rFonts w:ascii="Times New Roman" w:cs="Times New Roman" w:eastAsia="Times New Roman" w:hAnsi="Times New Roman"/>
                <w:sz w:val="14"/>
                <w:szCs w:val="14"/>
                <w:i w:val="1"/>
                <w:iCs w:val="1"/>
                <w:color w:val="auto"/>
              </w:rPr>
              <w:t>Deferred Compensation and 401(k) Plans</w:t>
            </w:r>
          </w:p>
        </w:tc>
      </w:tr>
      <w:tr>
        <w:trPr>
          <w:trHeight w:val="234"/>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10.45</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Rent-A-Center, Inc. Non-Qualified Deferred Compensation Plan (incorporated herein by reference to Exhibit 10.28 to the registrant's Quarterly Report on Form 10-Q for the</w:t>
              </w:r>
            </w:hyperlink>
          </w:p>
        </w:tc>
      </w:tr>
      <w:tr>
        <w:trPr>
          <w:trHeight w:val="118"/>
        </w:trPr>
        <w:tc>
          <w:tcPr>
            <w:tcW w:w="94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quarter ended June 30, 2007.)</w:t>
              </w:r>
            </w:hyperlink>
          </w:p>
        </w:tc>
        <w:tc>
          <w:tcPr>
            <w:tcW w:w="832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10.46</w:t>
            </w:r>
          </w:p>
        </w:tc>
        <w:tc>
          <w:tcPr>
            <w:tcW w:w="97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Rent-A-Center, Inc. 401(k) Plan (incorporated herein by reference to Exhibit 10.30 to the registrant's Annual Report on Form 10-K for the year ended December 31, 2008.)</w:t>
              </w:r>
            </w:hyperlink>
          </w:p>
        </w:tc>
        <w:tc>
          <w:tcPr>
            <w:tcW w:w="320" w:type="dxa"/>
            <w:vAlign w:val="bottom"/>
            <w:gridSpan w:val="12"/>
          </w:tcPr>
          <w:p>
            <w:pPr>
              <w:spacing w:after="0"/>
              <w:rPr>
                <w:sz w:val="22"/>
                <w:szCs w:val="22"/>
                <w:color w:val="auto"/>
              </w:rPr>
            </w:pPr>
          </w:p>
        </w:tc>
      </w:tr>
      <w:tr>
        <w:trPr>
          <w:trHeight w:val="245"/>
        </w:trPr>
        <w:tc>
          <w:tcPr>
            <w:tcW w:w="94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rPr>
              <w:t>10.47</w:t>
            </w:r>
          </w:p>
        </w:tc>
        <w:tc>
          <w:tcPr>
            <w:tcW w:w="10020" w:type="dxa"/>
            <w:vAlign w:val="bottom"/>
            <w:gridSpan w:val="26"/>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Rent-A-Center East, Inc. Retirement Savings Plan for Puerto Rico Employees (incorporated herein by reference to Exhibit 99.1 to the registrant's Registration Statement on</w:t>
              </w:r>
            </w:hyperlink>
          </w:p>
        </w:tc>
      </w:tr>
      <w:tr>
        <w:trPr>
          <w:trHeight w:val="118"/>
        </w:trPr>
        <w:tc>
          <w:tcPr>
            <w:tcW w:w="94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Form S-8 dated as of January 28, 2011.)</w:t>
              </w:r>
            </w:hyperlink>
          </w:p>
        </w:tc>
        <w:tc>
          <w:tcPr>
            <w:tcW w:w="772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820" w:top="1315" w:right="3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Exhibits and Certifications</w:t>
      </w:r>
    </w:p>
    <w:p>
      <w:pPr>
        <w:spacing w:after="0" w:line="9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16.1</w:t>
            </w:r>
          </w:p>
        </w:tc>
        <w:tc>
          <w:tcPr>
            <w:tcW w:w="9820" w:type="dxa"/>
            <w:vAlign w:val="bottom"/>
            <w:gridSpan w:val="11"/>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Letter from Ernst &amp; Young LLP to the Securities and Exchange Commission dated as of February 28, 2025 (incorporated herein by reference to Exhibit 16.1 to the</w:t>
              </w:r>
            </w:hyperlink>
          </w:p>
        </w:tc>
      </w:tr>
      <w:tr>
        <w:trPr>
          <w:trHeight w:val="118"/>
        </w:trPr>
        <w:tc>
          <w:tcPr>
            <w:tcW w:w="900" w:type="dxa"/>
            <w:vAlign w:val="bottom"/>
          </w:tcPr>
          <w:p>
            <w:pPr>
              <w:spacing w:after="0"/>
              <w:rPr>
                <w:sz w:val="10"/>
                <w:szCs w:val="10"/>
                <w:color w:val="auto"/>
              </w:rPr>
            </w:pPr>
          </w:p>
        </w:tc>
        <w:tc>
          <w:tcPr>
            <w:tcW w:w="980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80">
              <w:r>
                <w:rPr>
                  <w:rFonts w:ascii="Times New Roman" w:cs="Times New Roman" w:eastAsia="Times New Roman" w:hAnsi="Times New Roman"/>
                  <w:sz w:val="13"/>
                  <w:szCs w:val="13"/>
                  <w:color w:val="0000FF"/>
                </w:rPr>
                <w:t>registrant’s Current Report on Form 8-K dated as of February 28, 2025.)</w:t>
              </w:r>
            </w:hyperlink>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56"/>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5"/>
              </w:rPr>
              <w:t>19*</w:t>
            </w:r>
          </w:p>
        </w:tc>
        <w:tc>
          <w:tcPr>
            <w:tcW w:w="98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Upbound Group, Inc. Insider Trading Policy, dated as of September 17, 2025</w:t>
            </w: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21.1*</w:t>
            </w:r>
          </w:p>
        </w:tc>
        <w:tc>
          <w:tcPr>
            <w:tcW w:w="4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Subsidiaries of Upbound Group, Inc.</w:t>
            </w:r>
          </w:p>
        </w:tc>
        <w:tc>
          <w:tcPr>
            <w:tcW w:w="5480" w:type="dxa"/>
            <w:vAlign w:val="bottom"/>
            <w:gridSpan w:val="6"/>
          </w:tcPr>
          <w:p>
            <w:pPr>
              <w:spacing w:after="0"/>
              <w:rPr>
                <w:sz w:val="21"/>
                <w:szCs w:val="2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23.1*</w:t>
            </w:r>
          </w:p>
        </w:tc>
        <w:tc>
          <w:tcPr>
            <w:tcW w:w="20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Consent of Deloitte &amp; Touche LLP</w:t>
            </w:r>
          </w:p>
        </w:tc>
        <w:tc>
          <w:tcPr>
            <w:tcW w:w="7740" w:type="dxa"/>
            <w:vAlign w:val="bottom"/>
            <w:gridSpan w:val="8"/>
          </w:tcPr>
          <w:p>
            <w:pPr>
              <w:spacing w:after="0"/>
              <w:rPr>
                <w:sz w:val="21"/>
                <w:szCs w:val="2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23.2*</w:t>
            </w:r>
          </w:p>
        </w:tc>
        <w:tc>
          <w:tcPr>
            <w:tcW w:w="1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Consent of Ernst &amp; Young LLP</w:t>
            </w:r>
          </w:p>
        </w:tc>
        <w:tc>
          <w:tcPr>
            <w:tcW w:w="200" w:type="dxa"/>
            <w:vAlign w:val="bottom"/>
            <w:tcBorders>
              <w:top w:val="single" w:sz="8" w:color="0000FF"/>
            </w:tcBorders>
          </w:tcPr>
          <w:p>
            <w:pPr>
              <w:spacing w:after="0"/>
              <w:rPr>
                <w:sz w:val="21"/>
                <w:szCs w:val="21"/>
                <w:color w:val="auto"/>
              </w:rPr>
            </w:pPr>
          </w:p>
        </w:tc>
        <w:tc>
          <w:tcPr>
            <w:tcW w:w="7840" w:type="dxa"/>
            <w:vAlign w:val="bottom"/>
            <w:gridSpan w:val="9"/>
          </w:tcPr>
          <w:p>
            <w:pPr>
              <w:spacing w:after="0"/>
              <w:rPr>
                <w:sz w:val="21"/>
                <w:szCs w:val="2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31.1*</w:t>
            </w:r>
          </w:p>
        </w:tc>
        <w:tc>
          <w:tcPr>
            <w:tcW w:w="9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pursuant to Rule 13a-14(a) of the Securities Exchange Act of 1934 implementing Section 302 of the Sarbanes-Oxley Act of 2002 by Fahmi Karam</w:t>
            </w:r>
          </w:p>
        </w:tc>
        <w:tc>
          <w:tcPr>
            <w:tcW w:w="760" w:type="dxa"/>
            <w:vAlign w:val="bottom"/>
            <w:gridSpan w:val="2"/>
          </w:tcPr>
          <w:p>
            <w:pPr>
              <w:spacing w:after="0"/>
              <w:rPr>
                <w:sz w:val="21"/>
                <w:szCs w:val="2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31.2*</w:t>
            </w:r>
          </w:p>
        </w:tc>
        <w:tc>
          <w:tcPr>
            <w:tcW w:w="98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pursuant to Rule 13a-14(a) of the Securities Exchange Act of 1934 implementing Section 302 of the Sarbanes-Oxley Act of 2002 by Hal Khouri</w:t>
            </w: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32.1*</w:t>
            </w:r>
          </w:p>
        </w:tc>
        <w:tc>
          <w:tcPr>
            <w:tcW w:w="77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 by Fahmi Karam</w:t>
            </w:r>
          </w:p>
        </w:tc>
        <w:tc>
          <w:tcPr>
            <w:tcW w:w="1140" w:type="dxa"/>
            <w:vAlign w:val="bottom"/>
            <w:tcBorders>
              <w:top w:val="single" w:sz="8" w:color="0000FF"/>
            </w:tcBorders>
          </w:tcPr>
          <w:p>
            <w:pPr>
              <w:spacing w:after="0"/>
              <w:rPr>
                <w:sz w:val="21"/>
                <w:szCs w:val="21"/>
                <w:color w:val="auto"/>
              </w:rPr>
            </w:pPr>
          </w:p>
        </w:tc>
        <w:tc>
          <w:tcPr>
            <w:tcW w:w="920" w:type="dxa"/>
            <w:vAlign w:val="bottom"/>
            <w:gridSpan w:val="3"/>
          </w:tcPr>
          <w:p>
            <w:pPr>
              <w:spacing w:after="0"/>
              <w:rPr>
                <w:sz w:val="21"/>
                <w:szCs w:val="21"/>
                <w:color w:val="auto"/>
              </w:rPr>
            </w:pPr>
          </w:p>
        </w:tc>
      </w:tr>
      <w:tr>
        <w:trPr>
          <w:trHeight w:val="245"/>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32.2*</w:t>
            </w:r>
          </w:p>
        </w:tc>
        <w:tc>
          <w:tcPr>
            <w:tcW w:w="7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 as adopted pursuant to Section 906 of the Sarbanes-Oxley Act of 2002 by Hal Khouri</w:t>
            </w:r>
          </w:p>
        </w:tc>
        <w:tc>
          <w:tcPr>
            <w:tcW w:w="2200" w:type="dxa"/>
            <w:vAlign w:val="bottom"/>
            <w:gridSpan w:val="5"/>
          </w:tcPr>
          <w:p>
            <w:pPr>
              <w:spacing w:after="0"/>
              <w:rPr>
                <w:sz w:val="21"/>
                <w:szCs w:val="21"/>
                <w:color w:val="auto"/>
              </w:rPr>
            </w:pPr>
          </w:p>
        </w:tc>
      </w:tr>
    </w:tbl>
    <w:p>
      <w:pPr>
        <w:spacing w:after="0" w:line="102" w:lineRule="exact"/>
        <w:rPr>
          <w:sz w:val="20"/>
          <w:szCs w:val="20"/>
          <w:color w:val="auto"/>
        </w:rPr>
      </w:pPr>
    </w:p>
    <w:p>
      <w:pPr>
        <w:ind w:left="1460" w:hanging="810"/>
        <w:spacing w:after="0" w:line="239" w:lineRule="auto"/>
        <w:tabs>
          <w:tab w:leader="none" w:pos="1460" w:val="left"/>
        </w:tabs>
        <w:numPr>
          <w:ilvl w:val="0"/>
          <w:numId w:val="50"/>
        </w:numPr>
        <w:rPr>
          <w:rFonts w:ascii="Times New Roman" w:cs="Times New Roman" w:eastAsia="Times New Roman" w:hAnsi="Times New Roman"/>
          <w:sz w:val="14"/>
          <w:szCs w:val="14"/>
          <w:u w:val="single" w:color="auto"/>
          <w:color w:val="0000FF"/>
        </w:rPr>
      </w:pPr>
      <w:hyperlink r:id="rId181">
        <w:r>
          <w:rPr>
            <w:rFonts w:ascii="Times New Roman" w:cs="Times New Roman" w:eastAsia="Times New Roman" w:hAnsi="Times New Roman"/>
            <w:sz w:val="14"/>
            <w:szCs w:val="14"/>
            <w:u w:val="single" w:color="auto"/>
            <w:color w:val="0000FF"/>
          </w:rPr>
          <w:t>Clawback Policy for Recovery of Erroneously Awarded Incentive Base Compensation (incorporated herein by reference to Exhibit 97 to the registrant's Annual Report on</w:t>
        </w:r>
      </w:hyperlink>
      <w:r>
        <w:rPr>
          <w:rFonts w:ascii="Times New Roman" w:cs="Times New Roman" w:eastAsia="Times New Roman" w:hAnsi="Times New Roman"/>
          <w:sz w:val="14"/>
          <w:szCs w:val="14"/>
          <w:u w:val="single" w:color="auto"/>
          <w:color w:val="0000FF"/>
        </w:rPr>
        <w:t xml:space="preserve"> </w:t>
      </w:r>
      <w:hyperlink r:id="rId181">
        <w:r>
          <w:rPr>
            <w:rFonts w:ascii="Times New Roman" w:cs="Times New Roman" w:eastAsia="Times New Roman" w:hAnsi="Times New Roman"/>
            <w:sz w:val="14"/>
            <w:szCs w:val="14"/>
            <w:u w:val="single" w:color="auto"/>
            <w:color w:val="0000FF"/>
          </w:rPr>
          <w:t>Form 10-K for the year ended December 31, 2023.)</w:t>
        </w:r>
      </w:hyperlink>
    </w:p>
    <w:p>
      <w:pPr>
        <w:spacing w:after="0" w:line="93" w:lineRule="exact"/>
        <w:rPr>
          <w:rFonts w:ascii="Times New Roman" w:cs="Times New Roman" w:eastAsia="Times New Roman" w:hAnsi="Times New Roman"/>
          <w:sz w:val="14"/>
          <w:szCs w:val="14"/>
          <w:color w:val="auto"/>
        </w:rPr>
      </w:pPr>
    </w:p>
    <w:tbl>
      <w:tblPr>
        <w:tblLayout w:type="fixed"/>
        <w:tblInd w:w="420" w:type="dxa"/>
        <w:tblCellMar>
          <w:top w:w="0" w:type="dxa"/>
          <w:left w:w="0" w:type="dxa"/>
          <w:bottom w:w="0" w:type="dxa"/>
          <w:right w:w="0" w:type="dxa"/>
        </w:tblCellMar>
      </w:tblPr>
      <w:tr>
        <w:trPr>
          <w:trHeight w:val="184"/>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101.INS*</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files because its XBRL tags are embedded within the inline XBRL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101.SCH*</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101.CAL*</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101.DEF*</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rPr>
              <w:t>101.LAB*</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7"/>
              </w:rPr>
              <w:t>101.PRE*</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65"/>
        </w:trPr>
        <w:tc>
          <w:tcPr>
            <w:tcW w:w="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104*</w:t>
            </w:r>
          </w:p>
        </w:tc>
        <w:tc>
          <w:tcPr>
            <w:tcW w:w="9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 contained in Exhibit 101)</w:t>
            </w:r>
          </w:p>
        </w:tc>
      </w:tr>
    </w:tbl>
    <w:p>
      <w:pPr>
        <w:spacing w:after="0" w:line="89" w:lineRule="exact"/>
        <w:rPr>
          <w:rFonts w:ascii="Times New Roman" w:cs="Times New Roman" w:eastAsia="Times New Roman" w:hAnsi="Times New Roman"/>
          <w:sz w:val="14"/>
          <w:szCs w:val="14"/>
          <w:color w:val="auto"/>
        </w:rPr>
      </w:pPr>
    </w:p>
    <w:p>
      <w:pPr>
        <w:ind w:left="340" w:hanging="321"/>
        <w:spacing w:after="0"/>
        <w:tabs>
          <w:tab w:leader="none" w:pos="34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herewith.</w:t>
      </w:r>
    </w:p>
    <w:p>
      <w:pPr>
        <w:spacing w:after="0" w:line="214"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r>
        <w:rPr>
          <w:rFonts w:ascii="Times New Roman" w:cs="Times New Roman" w:eastAsia="Times New Roman" w:hAnsi="Times New Roman"/>
          <w:sz w:val="14"/>
          <w:szCs w:val="14"/>
          <w:b w:val="1"/>
          <w:bCs w:val="1"/>
          <w:i w:val="1"/>
          <w:iCs w:val="1"/>
          <w:color w:val="auto"/>
        </w:rPr>
        <w:t>.</w:t>
      </w:r>
    </w:p>
    <w:p>
      <w:pPr>
        <w:spacing w:after="0" w:line="96"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rFonts w:ascii="Times New Roman" w:cs="Times New Roman" w:eastAsia="Times New Roman" w:hAnsi="Times New Roman"/>
          <w:sz w:val="14"/>
          <w:szCs w:val="14"/>
          <w:color w:val="auto"/>
        </w:rPr>
      </w:pPr>
    </w:p>
    <w:p>
      <w:pPr>
        <w:spacing w:after="0" w:line="33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7" w:right="339"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6620" w:type="dxa"/>
        <w:tblCellMar>
          <w:top w:w="0" w:type="dxa"/>
          <w:left w:w="0" w:type="dxa"/>
          <w:bottom w:w="0" w:type="dxa"/>
          <w:right w:w="0" w:type="dxa"/>
        </w:tblCellMar>
      </w:tblPr>
      <w:tr>
        <w:trPr>
          <w:trHeight w:val="186"/>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UPBOUND GROUP, INC.</w:t>
            </w:r>
          </w:p>
        </w:tc>
        <w:tc>
          <w:tcPr>
            <w:tcW w:w="2880" w:type="dxa"/>
            <w:vAlign w:val="bottom"/>
          </w:tcPr>
          <w:p>
            <w:pPr>
              <w:spacing w:after="0"/>
              <w:rPr>
                <w:sz w:val="16"/>
                <w:szCs w:val="16"/>
                <w:color w:val="auto"/>
              </w:rPr>
            </w:pPr>
          </w:p>
        </w:tc>
      </w:tr>
      <w:tr>
        <w:trPr>
          <w:trHeight w:val="393"/>
        </w:trPr>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By:</w:t>
            </w:r>
          </w:p>
        </w:tc>
        <w:tc>
          <w:tcPr>
            <w:tcW w:w="288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/s/ FAHMI KARAM</w:t>
            </w:r>
          </w:p>
        </w:tc>
      </w:tr>
      <w:tr>
        <w:trPr>
          <w:trHeight w:val="165"/>
        </w:trPr>
        <w:tc>
          <w:tcPr>
            <w:tcW w:w="46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tcPr>
          <w:p>
            <w:pPr>
              <w:jc w:val="center"/>
              <w:ind w:right="1229"/>
              <w:spacing w:after="0"/>
              <w:rPr>
                <w:sz w:val="20"/>
                <w:szCs w:val="20"/>
                <w:color w:val="auto"/>
              </w:rPr>
            </w:pPr>
            <w:r>
              <w:rPr>
                <w:rFonts w:ascii="Times New Roman" w:cs="Times New Roman" w:eastAsia="Times New Roman" w:hAnsi="Times New Roman"/>
                <w:sz w:val="14"/>
                <w:szCs w:val="14"/>
                <w:color w:val="auto"/>
              </w:rPr>
              <w:t>Fahmi Karam</w:t>
            </w:r>
          </w:p>
        </w:tc>
      </w:tr>
      <w:tr>
        <w:trPr>
          <w:trHeight w:val="186"/>
        </w:trPr>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80" w:type="dxa"/>
            <w:vAlign w:val="bottom"/>
          </w:tcPr>
          <w:p>
            <w:pPr>
              <w:jc w:val="center"/>
              <w:ind w:right="1209"/>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on the date indicated.</w:t>
      </w:r>
    </w:p>
    <w:p>
      <w:pPr>
        <w:sectPr>
          <w:pgSz w:w="11900" w:h="16838" w:orient="portrait"/>
          <w:cols w:equalWidth="0" w:num="1">
            <w:col w:w="11240"/>
          </w:cols>
          <w:pgMar w:left="300" w:top="1269" w:right="35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FAHMI KARAM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Fahmi Karam</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HAL KHOURI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Hal Khouri</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JEFFREY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Jeffrey Brown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CHARU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Charu Jain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 MOLLY LANGENSTEIN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9781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Molly Langenstein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HAROLD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Harold Lewis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GLENN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Glenn Marino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CAROL MCFATE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97815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Carol McFate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jc w:val="center"/>
              <w:ind w:right="52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8"/>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184"/>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60" w:type="dxa"/>
            <w:vAlign w:val="bottom"/>
          </w:tcPr>
          <w:p>
            <w:pPr>
              <w:spacing w:after="0"/>
              <w:rPr>
                <w:sz w:val="16"/>
                <w:szCs w:val="16"/>
                <w:color w:val="auto"/>
              </w:rPr>
            </w:pPr>
          </w:p>
        </w:tc>
      </w:tr>
      <w:tr>
        <w:trPr>
          <w:trHeight w:val="495"/>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9"/>
              </w:rPr>
              <w:t>EVP, Chief Financial Officer (Principal Financial and</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184"/>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rPr>
              <w:t>Accounting Officer)</w:t>
            </w:r>
          </w:p>
        </w:tc>
        <w:tc>
          <w:tcPr>
            <w:tcW w:w="1660" w:type="dxa"/>
            <w:vAlign w:val="bottom"/>
          </w:tcPr>
          <w:p>
            <w:pPr>
              <w:spacing w:after="0"/>
              <w:rPr>
                <w:sz w:val="16"/>
                <w:szCs w:val="16"/>
                <w:color w:val="auto"/>
              </w:rPr>
            </w:pPr>
          </w:p>
        </w:tc>
      </w:tr>
      <w:tr>
        <w:trPr>
          <w:trHeight w:val="548"/>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54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54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54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54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r>
        <w:trPr>
          <w:trHeight w:val="541"/>
        </w:trPr>
        <w:tc>
          <w:tcPr>
            <w:tcW w:w="3640" w:type="dxa"/>
            <w:vAlign w:val="bottom"/>
          </w:tcPr>
          <w:p>
            <w:pPr>
              <w:jc w:val="center"/>
              <w:ind w:right="549"/>
              <w:spacing w:after="0"/>
              <w:rPr>
                <w:sz w:val="20"/>
                <w:szCs w:val="20"/>
                <w:color w:val="auto"/>
              </w:rPr>
            </w:pPr>
            <w:r>
              <w:rPr>
                <w:rFonts w:ascii="Times New Roman" w:cs="Times New Roman" w:eastAsia="Times New Roman" w:hAnsi="Times New Roman"/>
                <w:sz w:val="14"/>
                <w:szCs w:val="14"/>
                <w:color w:val="auto"/>
                <w:w w:val="98"/>
              </w:rPr>
              <w:t>Director</w:t>
            </w:r>
          </w:p>
        </w:tc>
        <w:tc>
          <w:tcPr>
            <w:tcW w:w="1660" w:type="dxa"/>
            <w:vAlign w:val="bottom"/>
          </w:tcPr>
          <w:p>
            <w:pPr>
              <w:jc w:val="center"/>
              <w:ind w:left="549"/>
              <w:spacing w:after="0"/>
              <w:rPr>
                <w:sz w:val="20"/>
                <w:szCs w:val="20"/>
                <w:color w:val="auto"/>
              </w:rPr>
            </w:pPr>
            <w:r>
              <w:rPr>
                <w:rFonts w:ascii="Times New Roman" w:cs="Times New Roman" w:eastAsia="Times New Roman" w:hAnsi="Times New Roman"/>
                <w:sz w:val="14"/>
                <w:szCs w:val="14"/>
                <w:color w:val="auto"/>
              </w:rPr>
              <w:t>February 23, 2026</w:t>
            </w:r>
          </w:p>
        </w:tc>
      </w:tr>
    </w:tbl>
    <w:p>
      <w:pPr>
        <w:spacing w:after="0" w:line="367" w:lineRule="exact"/>
        <w:rPr>
          <w:sz w:val="20"/>
          <w:szCs w:val="20"/>
          <w:color w:val="auto"/>
        </w:rPr>
      </w:pPr>
    </w:p>
    <w:p>
      <w:pPr>
        <w:sectPr>
          <w:pgSz w:w="11900" w:h="16838" w:orient="portrait"/>
          <w:cols w:equalWidth="0" w:num="2">
            <w:col w:w="4700" w:space="720"/>
            <w:col w:w="5820"/>
          </w:cols>
          <w:pgMar w:left="300" w:top="1269" w:right="35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240"/>
          </w:cols>
          <w:pgMar w:left="300" w:top="1269" w:right="359" w:bottom="1440" w:gutter="0" w:footer="0" w:header="0"/>
          <w:type w:val="continuous"/>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SUBSIDIARIES OF UPBOUND GROUP,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OF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Credit Solutions HoldCo, LLC, a Delaware limited liability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Credit Solutions,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Digital, LLC, a Utah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Holdings, LLC, a Utah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Leasing Canada, Ltd., an Ontario Canada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Acima Operaciones Mexico S. de R.L. de C.V., a México S. de R.L. de C.V.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Braveheart Acquisition, LLC, a Delaware limited liability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 IT,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Get It Now,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Legacy Insurance Co., Ltd., a Bermuda limited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Acceptance East,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Mexico Holdings I,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RAC Mexico Holdings II, LLC, a Delaware limited liability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LLC, a Delaware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East,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Franchising International, Inc., a Texas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International,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Texas, L.L.C., a Nevada limited liability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Texas, L.P., a Texas limited partnership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Rent-A-Center West, Inc., a Delaware corporation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Upbound Mexico, S. de R.L. de C.V., a México S. de R.L. de C.V.</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Upbound Mexico Operaciones S. de R.L. de C.V., a México S. de R.L. de C.V.</w:t>
      </w:r>
    </w:p>
    <w:p>
      <w:pPr>
        <w:sectPr>
          <w:pgSz w:w="11900" w:h="16838" w:orient="portrait"/>
          <w:cols w:equalWidth="0" w:num="1">
            <w:col w:w="11280"/>
          </w:cols>
          <w:pgMar w:left="300" w:top="359"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6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consent to the incorporation by reference in Registration Statement Nos. 333-32296, 333-40958, 333-62582, 333-136615, 333-139792, 333-145121, 333-171926, 333-211859, 333-256927 and 333-272494 on Form S-8 of our reports dated February 23, 2026, relating to the financial statements of Upbound Group, Inc. and the effectiveness of Upbound Group Inc.’s internal control over financial reporting, appearing in the Annual Report on Form 10-K for the year ended December 31, 2025.</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2026</w:t>
      </w:r>
    </w:p>
    <w:p>
      <w:pPr>
        <w:sectPr>
          <w:pgSz w:w="11900" w:h="16838" w:orient="portrait"/>
          <w:cols w:equalWidth="0" w:num="1">
            <w:col w:w="11280"/>
          </w:cols>
          <w:pgMar w:left="300" w:top="320"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306" w:lineRule="exact"/>
        <w:rPr>
          <w:sz w:val="20"/>
          <w:szCs w:val="20"/>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333-32296) pertaining to the Rent-A-Center, Inc. 401(k) Retirement Savings Plan,</w:t>
      </w:r>
    </w:p>
    <w:p>
      <w:pPr>
        <w:spacing w:after="0" w:line="25"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333-40958) pertaining to Amended and Restated Rent-A-Center, Inc. Long-Term Incentive Plan,</w:t>
      </w:r>
    </w:p>
    <w:p>
      <w:pPr>
        <w:spacing w:after="0" w:line="204"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333-62582) pertaining to Amended and Restated Rent-A-Center, Inc. Long-Term Incentive Plan,</w:t>
      </w:r>
    </w:p>
    <w:p>
      <w:pPr>
        <w:spacing w:after="0" w:line="199"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333-136615) pertaining to Rent-A-Center, Inc. 2006 Long-Term Incentive Plan,</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333-139792) pertaining to Rent-A-Center, Inc. 2006 Equity Incentive Plan,</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333-145121) pertaining to Rent-A-Center, Inc. Deferred Compensation Plan,</w:t>
      </w:r>
    </w:p>
    <w:p>
      <w:pPr>
        <w:spacing w:after="0" w:line="199"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333-171926) pertaining to Rent-A-Center East, Inc. Retirement Savings Plan for Puerto Rico Employees,</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333-211859) pertaining to Rent-A-Center, Inc. 2016 Long-Term Incentive Plan,</w:t>
      </w:r>
    </w:p>
    <w:p>
      <w:pPr>
        <w:spacing w:after="0" w:line="210"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No.333-256927) pertaining to Rent-A-Center, Inc. 2021 Long-Term Incentive Plan</w:t>
      </w:r>
    </w:p>
    <w:p>
      <w:pPr>
        <w:spacing w:after="0" w:line="199" w:lineRule="exact"/>
        <w:rPr>
          <w:rFonts w:ascii="Arial" w:cs="Arial" w:eastAsia="Arial" w:hAnsi="Arial"/>
          <w:sz w:val="14"/>
          <w:szCs w:val="14"/>
          <w:color w:val="auto"/>
        </w:rPr>
      </w:pPr>
    </w:p>
    <w:p>
      <w:pPr>
        <w:ind w:left="760" w:hanging="500"/>
        <w:spacing w:after="0"/>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333-272494) pertaining to Upbound Group, Inc. Amended 2021 Long-Term Incentive Plan; and</w:t>
      </w:r>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of our report dated February 25, 2025, with respect to the consolidated financial statements of Upbound Group, Inc. included in this Annual Report (Form 10-K) of Upbound Group, Inc. for the year ended December 31, 2025.</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2026</w:t>
      </w:r>
    </w:p>
    <w:p>
      <w:pPr>
        <w:sectPr>
          <w:pgSz w:w="11900" w:h="16838" w:orient="portrait"/>
          <w:cols w:equalWidth="0" w:num="1">
            <w:col w:w="11280"/>
          </w:cols>
          <w:pgMar w:left="300" w:top="129"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Fahmi Karam, certify that:</w:t>
      </w:r>
    </w:p>
    <w:p>
      <w:pPr>
        <w:spacing w:after="0" w:line="179" w:lineRule="exact"/>
        <w:rPr>
          <w:sz w:val="20"/>
          <w:szCs w:val="20"/>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Upbound Group,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2026</w:t>
      </w:r>
    </w:p>
    <w:p>
      <w:pPr>
        <w:spacing w:after="0" w:line="1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u w:val="single" w:color="auto"/>
          <w:color w:val="auto"/>
        </w:rPr>
        <w:t>/s/ Fahmi Karam</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Fahmi Karam</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Chief Executive Officer and Director</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129"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Hal Khouri, certify that:</w:t>
      </w:r>
    </w:p>
    <w:p>
      <w:pPr>
        <w:spacing w:after="0" w:line="179" w:lineRule="exact"/>
        <w:rPr>
          <w:sz w:val="20"/>
          <w:szCs w:val="20"/>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Upbound Group,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2026</w:t>
      </w:r>
    </w:p>
    <w:p>
      <w:pPr>
        <w:spacing w:after="0" w:line="1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u w:val="single" w:color="auto"/>
          <w:color w:val="auto"/>
        </w:rPr>
        <w:t>/s/ Hal Khouri</w:t>
      </w:r>
    </w:p>
    <w:p>
      <w:pPr>
        <w:spacing w:after="0" w:line="2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Hal Khouri</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EVP, Chief Financial Officer</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ectPr>
          <w:pgSz w:w="11900" w:h="16838" w:orient="portrait"/>
          <w:cols w:equalWidth="0" w:num="1">
            <w:col w:w="11280"/>
          </w:cols>
          <w:pgMar w:left="300" w:top="129"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Upbound Group,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 the period ended December 31, 2025, as filed with the Securities and Exchange Commission on the date hereof (the "</w:t>
      </w:r>
      <w:r>
        <w:rPr>
          <w:rFonts w:ascii="Times New Roman" w:cs="Times New Roman" w:eastAsia="Times New Roman" w:hAnsi="Times New Roman"/>
          <w:sz w:val="17"/>
          <w:szCs w:val="17"/>
          <w:b w:val="1"/>
          <w:bCs w:val="1"/>
          <w:i w:val="1"/>
          <w:iCs w:val="1"/>
          <w:color w:val="auto"/>
        </w:rPr>
        <w:t>Report</w:t>
      </w:r>
      <w:r>
        <w:rPr>
          <w:rFonts w:ascii="Times New Roman" w:cs="Times New Roman" w:eastAsia="Times New Roman" w:hAnsi="Times New Roman"/>
          <w:sz w:val="17"/>
          <w:szCs w:val="17"/>
          <w:color w:val="auto"/>
        </w:rPr>
        <w:t>"), I, Fahmi Karam, Chief Executive Officer and Director of the Company, hereby certify, pursuant to 18 U.S.C. Section 1350, as adopted pursuant to Section 906 of the Sarbanes-Oxley Act of 2002, that, to the best of my knowledge:</w:t>
      </w:r>
    </w:p>
    <w:p>
      <w:pPr>
        <w:spacing w:after="0" w:line="155" w:lineRule="exact"/>
        <w:rPr>
          <w:sz w:val="20"/>
          <w:szCs w:val="20"/>
          <w:color w:val="auto"/>
        </w:rPr>
      </w:pPr>
    </w:p>
    <w:p>
      <w:pPr>
        <w:ind w:left="380" w:hanging="375"/>
        <w:spacing w:after="0"/>
        <w:tabs>
          <w:tab w:leader="none" w:pos="3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u w:val="single" w:color="auto"/>
          <w:color w:val="auto"/>
        </w:rPr>
        <w:t>/s/ Fahmi Karam</w:t>
      </w:r>
    </w:p>
    <w:p>
      <w:pPr>
        <w:spacing w:after="0" w:line="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Fahmi Karam</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23, 2026</w:t>
      </w:r>
    </w:p>
    <w:p>
      <w:pPr>
        <w:spacing w:after="0" w:line="3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29"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7"/>
          <w:szCs w:val="17"/>
          <w:u w:val="single" w:color="auto"/>
          <w:color w:val="auto"/>
        </w:rPr>
        <w:t>Exhibit 32.2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jc w:val="both"/>
        <w:ind w:firstLine="237"/>
        <w:spacing w:after="0" w:line="264" w:lineRule="auto"/>
        <w:rPr>
          <w:sz w:val="20"/>
          <w:szCs w:val="20"/>
          <w:color w:val="auto"/>
        </w:rPr>
      </w:pPr>
      <w:r>
        <w:rPr>
          <w:rFonts w:ascii="Times New Roman" w:cs="Times New Roman" w:eastAsia="Times New Roman" w:hAnsi="Times New Roman"/>
          <w:sz w:val="17"/>
          <w:szCs w:val="17"/>
          <w:color w:val="auto"/>
        </w:rPr>
        <w:t>In connection with the Annual Report on Form 10-K of Upbound Group,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 the period ended December 31, 2025, as filed with the Securities and Exchange Commission on the date hereof (the "</w:t>
      </w:r>
      <w:r>
        <w:rPr>
          <w:rFonts w:ascii="Times New Roman" w:cs="Times New Roman" w:eastAsia="Times New Roman" w:hAnsi="Times New Roman"/>
          <w:sz w:val="17"/>
          <w:szCs w:val="17"/>
          <w:b w:val="1"/>
          <w:bCs w:val="1"/>
          <w:i w:val="1"/>
          <w:iCs w:val="1"/>
          <w:color w:val="auto"/>
        </w:rPr>
        <w:t>Report</w:t>
      </w:r>
      <w:r>
        <w:rPr>
          <w:rFonts w:ascii="Times New Roman" w:cs="Times New Roman" w:eastAsia="Times New Roman" w:hAnsi="Times New Roman"/>
          <w:sz w:val="17"/>
          <w:szCs w:val="17"/>
          <w:color w:val="auto"/>
        </w:rPr>
        <w:t>"), I, Hal Khouri, Chief Financial Officer of the Company, hereby certify, pursuant to 18 U.S.C. Section 1350, as adopted pursuant to Section 906 of the Sarbanes-Oxley Act of 2002, that, to the best of my knowledge:</w:t>
      </w:r>
    </w:p>
    <w:p>
      <w:pPr>
        <w:spacing w:after="0" w:line="155" w:lineRule="exact"/>
        <w:rPr>
          <w:sz w:val="20"/>
          <w:szCs w:val="20"/>
          <w:color w:val="auto"/>
        </w:rPr>
      </w:pPr>
    </w:p>
    <w:p>
      <w:pPr>
        <w:ind w:left="380" w:hanging="375"/>
        <w:spacing w:after="0"/>
        <w:tabs>
          <w:tab w:leader="none" w:pos="3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7"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u w:val="single" w:color="auto"/>
          <w:color w:val="auto"/>
        </w:rPr>
        <w:t>/s/ Hal Khouri</w:t>
      </w:r>
    </w:p>
    <w:p>
      <w:pPr>
        <w:spacing w:after="0" w:line="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Hal Khouri</w:t>
      </w:r>
    </w:p>
    <w:p>
      <w:pPr>
        <w:spacing w:after="0" w:line="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color w:val="auto"/>
        </w:rPr>
        <w:t>EVP, Chief Financial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23, 2026</w:t>
      </w:r>
    </w:p>
    <w:p>
      <w:pPr>
        <w:spacing w:after="0" w:line="3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
      <w:numFmt w:val="bullet"/>
      <w:start w:val="1"/>
    </w:lvl>
    <w:lvl w:ilvl="1">
      <w:lvlJc w:val="left"/>
      <w:lvlText w:val="◦"/>
      <w:numFmt w:val="bullet"/>
      <w:start w:val="1"/>
    </w:lvl>
  </w:abstractNum>
  <w:abstractNum w:abstractNumId="27">
    <w:nsid w:val="57E4CCAF"/>
    <w:multiLevelType w:val="hybridMultilevel"/>
    <w:lvl w:ilvl="0">
      <w:lvlJc w:val="left"/>
      <w:lvlText w:val="(%1)"/>
      <w:numFmt w:val="decimal"/>
      <w:start w:val="2"/>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decimal"/>
      <w:start w:val="97"/>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79"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95"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199" Type="http://schemas.openxmlformats.org/officeDocument/2006/relationships/image" Target="media/image138.png"/><Relationship Id="rId200" Type="http://schemas.openxmlformats.org/officeDocument/2006/relationships/image" Target="media/image139.png"/><Relationship Id="rId201" Type="http://schemas.openxmlformats.org/officeDocument/2006/relationships/image" Target="media/image140.png"/><Relationship Id="rId202" Type="http://schemas.openxmlformats.org/officeDocument/2006/relationships/image" Target="media/image141.png"/><Relationship Id="rId203" Type="http://schemas.openxmlformats.org/officeDocument/2006/relationships/image" Target="media/image142.png"/><Relationship Id="rId204" Type="http://schemas.openxmlformats.org/officeDocument/2006/relationships/image" Target="media/image143.png"/><Relationship Id="rId205" Type="http://schemas.openxmlformats.org/officeDocument/2006/relationships/image" Target="media/image144.png"/><Relationship Id="rId206" Type="http://schemas.openxmlformats.org/officeDocument/2006/relationships/image" Target="media/image145.png"/><Relationship Id="rId207" Type="http://schemas.openxmlformats.org/officeDocument/2006/relationships/image" Target="media/image146.png"/><Relationship Id="rId208"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2" Type="http://schemas.openxmlformats.org/officeDocument/2006/relationships/image" Target="media/image151.png"/><Relationship Id="rId213" Type="http://schemas.openxmlformats.org/officeDocument/2006/relationships/image" Target="media/image152.png"/><Relationship Id="rId214" Type="http://schemas.openxmlformats.org/officeDocument/2006/relationships/image" Target="media/image153.png"/><Relationship Id="rId215" Type="http://schemas.openxmlformats.org/officeDocument/2006/relationships/image" Target="media/image154.png"/><Relationship Id="rId59" Type="http://schemas.openxmlformats.org/officeDocument/2006/relationships/hyperlink" Target="https://www.sec.gov/ix?doc=/Archives/edgar/data/0000933036/000093303625000042/upbd-20241231.htm" TargetMode="External"/><Relationship Id="rId122" Type="http://schemas.openxmlformats.org/officeDocument/2006/relationships/hyperlink" Target="https://www.sec.gov/Archives/edgar/data/933036/000110465924128068/tm2430553d1_ex2-1.htm" TargetMode="External"/><Relationship Id="rId123" Type="http://schemas.openxmlformats.org/officeDocument/2006/relationships/hyperlink" Target="https://www.sec.gov/Archives/edgar/data/933036/000110465925015482/tm256884d2_ex3-1.htm" TargetMode="External"/><Relationship Id="rId124" Type="http://schemas.openxmlformats.org/officeDocument/2006/relationships/hyperlink" Target="https://www.sec.gov/Archives/edgar/data/933036/000110465924068516/tm2415591d1_10-3.htm" TargetMode="External"/><Relationship Id="rId125" Type="http://schemas.openxmlformats.org/officeDocument/2006/relationships/hyperlink" Target="https://www.sec.gov/Archives/edgar/data/933036/000110465924068516/tm2415591d1_10-2.htm" TargetMode="External"/><Relationship Id="rId126" Type="http://schemas.openxmlformats.org/officeDocument/2006/relationships/hyperlink" Target="https://www.sec.gov/Archives/edgar/data/933036/000110465925015482/tm256884d2_ex4-1.htm" TargetMode="External"/><Relationship Id="rId127" Type="http://schemas.openxmlformats.org/officeDocument/2006/relationships/hyperlink" Target="https://www.sec.gov/Archives/edgar/data/933036/000093303617000033/ex-41_q12017.htm" TargetMode="External"/><Relationship Id="rId128" Type="http://schemas.openxmlformats.org/officeDocument/2006/relationships/hyperlink" Target="https://www.sec.gov/Archives/edgar/data/933036/000110465921024846/tm216741d1_ex4-1.htm" TargetMode="External"/><Relationship Id="rId129" Type="http://schemas.openxmlformats.org/officeDocument/2006/relationships/hyperlink" Target="https://www.sec.gov/Archives/edgar/data/933036/000093303619000039/exhibit1044tlbguaranteea.htm" TargetMode="External"/><Relationship Id="rId130" Type="http://schemas.openxmlformats.org/officeDocument/2006/relationships/hyperlink" Target="https://www.sec.gov/Archives/edgar/data/933036/000093303619000039/exhibit1045ablguaranteea.htm" TargetMode="External"/><Relationship Id="rId133" Type="http://schemas.openxmlformats.org/officeDocument/2006/relationships/hyperlink" Target="https://www.sec.gov/Archives/edgar/data/933036/000110465921024846/tm216741d1_ex10-3.htm" TargetMode="External"/><Relationship Id="rId134" Type="http://schemas.openxmlformats.org/officeDocument/2006/relationships/hyperlink" Target="https://www.sec.gov/Archives/edgar/data/0000933036/000110465921117907/tm2128048d1_10-1.htm" TargetMode="External"/><Relationship Id="rId135" Type="http://schemas.openxmlformats.org/officeDocument/2006/relationships/hyperlink" Target="https://www.sec.gov/Archives/edgar/data/933036/000093303623000141/rcii-secondamendmentexec.htm" TargetMode="External"/><Relationship Id="rId136" Type="http://schemas.openxmlformats.org/officeDocument/2006/relationships/hyperlink" Target="https://www.sec.gov/Archives/edgar/data/933036/000110465924065830/tm2415723d1_ex10-1.htm" TargetMode="External"/><Relationship Id="rId137" Type="http://schemas.openxmlformats.org/officeDocument/2006/relationships/hyperlink" Target="https://www.sec.gov/Archives/edgar/data/933036/000110465925080284/tm2523851d1_ex10-1.htm" TargetMode="External"/><Relationship Id="rId138" Type="http://schemas.openxmlformats.org/officeDocument/2006/relationships/hyperlink" Target="https://www.sec.gov/Archives/edgar/data/933036/000110465921024846/tm216741d1_ex10-2.htm" TargetMode="External"/><Relationship Id="rId139" Type="http://schemas.openxmlformats.org/officeDocument/2006/relationships/hyperlink" Target="https://www.sec.gov/Archives/edgar/data/933036/000093303622000178/rac-firstamendmenttoablc.htm" TargetMode="External"/><Relationship Id="rId140" Type="http://schemas.openxmlformats.org/officeDocument/2006/relationships/hyperlink" Target="https://www.sec.gov/Archives/edgar/data/933036/000110465924069873/tm2416761d1_ex10-1.htm" TargetMode="External"/><Relationship Id="rId141" Type="http://schemas.openxmlformats.org/officeDocument/2006/relationships/hyperlink" Target="https://www.sec.gov/Archives/edgar/data/933036/000093303625000167/ex-102_thirdamendmenttoa.htm" TargetMode="External"/><Relationship Id="rId142" Type="http://schemas.openxmlformats.org/officeDocument/2006/relationships/hyperlink" Target="https://www.sec.gov/Archives/edgar/data/933036/000110465913036953/a13-11511_1ex10d1.htm" TargetMode="External"/><Relationship Id="rId143" Type="http://schemas.openxmlformats.org/officeDocument/2006/relationships/hyperlink" Target="https://www.sec.gov/Archives/edgar/data/933036/000093303620000006/a101consentagreementdate.htm" TargetMode="External"/><Relationship Id="rId144" Type="http://schemas.openxmlformats.org/officeDocument/2006/relationships/hyperlink" Target="https://www.sec.gov/Archives/edgar/data/933036/000110465925015439/tm256882d1_ex10-1.htm" TargetMode="External"/><Relationship Id="rId145" Type="http://schemas.openxmlformats.org/officeDocument/2006/relationships/hyperlink" Target="https://www.sec.gov/Archives/edgar/data/933036/000093303624000048/ex-1013_q4x2024.htm" TargetMode="External"/><Relationship Id="rId148" Type="http://schemas.openxmlformats.org/officeDocument/2006/relationships/hyperlink" Target="https://www.sec.gov/Archives/edgar/data/933036/000093303619000011/ex-101_20198xkfadelamend.htm" TargetMode="External"/><Relationship Id="rId149" Type="http://schemas.openxmlformats.org/officeDocument/2006/relationships/hyperlink" Target="https://www.sec.gov/Archives/edgar/data/933036/000093303625000042/ex-1018_q4x2024.htm" TargetMode="External"/><Relationship Id="rId150" Type="http://schemas.openxmlformats.org/officeDocument/2006/relationships/hyperlink" Target="https://www.sec.gov/Archives/edgar/data/933036/000093303624000101/ex-101_q1x2024.htm" TargetMode="External"/><Relationship Id="rId151" Type="http://schemas.openxmlformats.org/officeDocument/2006/relationships/hyperlink" Target="https://www.sec.gov/Archives/edgar/data/0000933036/000110465925015439/tm256882d1_ex10-1.htm" TargetMode="External"/><Relationship Id="rId152" Type="http://schemas.openxmlformats.org/officeDocument/2006/relationships/hyperlink" Target="https://www.sec.gov/Archives/edgar/data/933036/000095013403014447/d10151exv10w1.txt" TargetMode="External"/><Relationship Id="rId153" Type="http://schemas.openxmlformats.org/officeDocument/2006/relationships/hyperlink" Target="https://www.sec.gov/Archives/edgar/data/933036/000095013405004635/d23167exv10w20.htm" TargetMode="External"/><Relationship Id="rId154" Type="http://schemas.openxmlformats.org/officeDocument/2006/relationships/hyperlink" Target="https://www.sec.gov/Archives/edgar/data/933036/000095013406004738/d32968exv10w15.htm" TargetMode="External"/><Relationship Id="rId155" Type="http://schemas.openxmlformats.org/officeDocument/2006/relationships/hyperlink" Target="https://www.sec.gov/Archives/edgar/data/933036/000095013406004738/d32968exv10w16.htm" TargetMode="External"/><Relationship Id="rId156" Type="http://schemas.openxmlformats.org/officeDocument/2006/relationships/hyperlink" Target="https://www.sec.gov/Archives/edgar/data/933036/000095013406014316/d38165exv10w17.htm" TargetMode="External"/><Relationship Id="rId157" Type="http://schemas.openxmlformats.org/officeDocument/2006/relationships/hyperlink" Target="https://www.sec.gov/Archives/edgar/data/933036/000095013406014316/d38165exv10w18.htm" TargetMode="External"/><Relationship Id="rId158" Type="http://schemas.openxmlformats.org/officeDocument/2006/relationships/hyperlink" Target="https://www.sec.gov/Archives/edgar/data/933036/000095013407004543/d43717exv10w20.htm" TargetMode="External"/><Relationship Id="rId159" Type="http://schemas.openxmlformats.org/officeDocument/2006/relationships/hyperlink" Target="https://www.sec.gov/Archives/edgar/data/933036/000095013407004543/d43717exv10w23.htm" TargetMode="External"/><Relationship Id="rId160" Type="http://schemas.openxmlformats.org/officeDocument/2006/relationships/hyperlink" Target="https://www.sec.gov/Archives/edgar/data/933036/000095013407004543/d43717exv10w24.htm" TargetMode="External"/><Relationship Id="rId161" Type="http://schemas.openxmlformats.org/officeDocument/2006/relationships/hyperlink" Target="https://www.sec.gov/Archives/edgar/data/933036/000095012311018066/d78805exv10w23.htm" TargetMode="External"/><Relationship Id="rId162" Type="http://schemas.openxmlformats.org/officeDocument/2006/relationships/hyperlink" Target="https://www.sec.gov/Archives/edgar/data/933036/000095013407004543/d43717exv10w19.htm" TargetMode="External"/><Relationship Id="rId165" Type="http://schemas.openxmlformats.org/officeDocument/2006/relationships/hyperlink" Target="https://www.sec.gov/Archives/edgar/data/933036/000095013407004543/d43717exv10w22.htm" TargetMode="External"/><Relationship Id="rId166" Type="http://schemas.openxmlformats.org/officeDocument/2006/relationships/hyperlink" Target="https://www.sec.gov/Archives/edgar/data/933036/000095013407000078/d42373exv4w5.htm" TargetMode="External"/><Relationship Id="rId167" Type="http://schemas.openxmlformats.org/officeDocument/2006/relationships/hyperlink" Target="https://www.sec.gov/Archives/edgar/data/933036/000093303616000050/ex1036rac2016long-termince.htm" TargetMode="External"/><Relationship Id="rId168" Type="http://schemas.openxmlformats.org/officeDocument/2006/relationships/hyperlink" Target="https://www.sec.gov/Archives/edgar/data/933036/000093303616000050/ex1037optionagreement-2016.htm" TargetMode="External"/><Relationship Id="rId169" Type="http://schemas.openxmlformats.org/officeDocument/2006/relationships/hyperlink" Target="https://www.sec.gov/Archives/edgar/data/933036/000093303616000050/ex1038rsuagreement-2016ltip.htm" TargetMode="External"/><Relationship Id="rId170" Type="http://schemas.openxmlformats.org/officeDocument/2006/relationships/hyperlink" Target="https://www.sec.gov/Archives/edgar/data/933036/000093303616000050/ex1039psuagreement-2016ltip.htm" TargetMode="External"/><Relationship Id="rId171" Type="http://schemas.openxmlformats.org/officeDocument/2006/relationships/hyperlink" Target="https://www.sec.gov/Archives/edgar/data/0000933036/000110465921078652/tm2119045d1_ex10-2.htm" TargetMode="External"/><Relationship Id="rId172" Type="http://schemas.openxmlformats.org/officeDocument/2006/relationships/hyperlink" Target="https://www.sec.gov/Archives/edgar/data/0000933036/000110465921078652/tm2119045d1_ex10-3.htm" TargetMode="External"/><Relationship Id="rId173" Type="http://schemas.openxmlformats.org/officeDocument/2006/relationships/hyperlink" Target="https://www.sec.gov/Archives/edgar/data/0000933036/000110465921078652/tm2119045d1_ex10-4.htm" TargetMode="External"/><Relationship Id="rId174" Type="http://schemas.openxmlformats.org/officeDocument/2006/relationships/hyperlink" Target="https://www.sec.gov/Archives/edgar/data/0000933036/000110465921078652/tm2119045d1_ex10-5.htm" TargetMode="External"/><Relationship Id="rId175" Type="http://schemas.openxmlformats.org/officeDocument/2006/relationships/hyperlink" Target="https://www.sec.gov/Archives/edgar/data/933036/000110465923049300/tm237684d2_def14a.htm" TargetMode="External"/><Relationship Id="rId176" Type="http://schemas.openxmlformats.org/officeDocument/2006/relationships/hyperlink" Target="https://www.sec.gov/Archives/edgar/data/933036/000095013407016769/d48725exv10w28.htm" TargetMode="External"/><Relationship Id="rId177" Type="http://schemas.openxmlformats.org/officeDocument/2006/relationships/hyperlink" Target="https://www.sec.gov/Archives/edgar/data/933036/000095013409003883/d66311exv10w30.htm" TargetMode="External"/><Relationship Id="rId178" Type="http://schemas.openxmlformats.org/officeDocument/2006/relationships/hyperlink" Target="https://www.sec.gov/Archives/edgar/data/933036/000095012311006540/d79301exv99w1.htm" TargetMode="External"/><Relationship Id="rId180" Type="http://schemas.openxmlformats.org/officeDocument/2006/relationships/hyperlink" Target="https://www.sec.gov/Archives/edgar/data/933036/000093303625000057/exhibit161letterfromey.htm" TargetMode="External"/><Relationship Id="rId181" Type="http://schemas.openxmlformats.org/officeDocument/2006/relationships/hyperlink" Target="https://www.sec.gov/Archives/edgar/data/933036/000093303624000048/ex-97_q4x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2026-02-23T06:20:02Z</dcterms:created>
  <dcterms:modified xsi:type="dcterms:W3CDTF">2026-02-23T06:20:02Z</dcterms:modified>
</cp:coreProperties>
</file>