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700" w:hanging="674"/>
        <w:spacing w:after="0" w:line="180" w:lineRule="auto"/>
        <w:tabs>
          <w:tab w:leader="none" w:pos="700" w:val="left"/>
        </w:tabs>
        <w:numPr>
          <w:ilvl w:val="0"/>
          <w:numId w:val="1"/>
        </w:numPr>
        <w:rPr>
          <w:rFonts w:ascii="MS PGothic" w:cs="MS PGothic" w:eastAsia="MS PGothic" w:hAnsi="MS PGothic"/>
          <w:sz w:val="41"/>
          <w:szCs w:val="41"/>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ind w:left="720" w:hanging="681"/>
        <w:spacing w:after="0" w:line="180" w:lineRule="auto"/>
        <w:tabs>
          <w:tab w:leader="none" w:pos="72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59"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001-38047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Rent-A-Center,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84" w:right="339" w:bottom="1440" w:gutter="0" w:footer="0" w:header="0"/>
        </w:sectPr>
      </w:pPr>
    </w:p>
    <w:p>
      <w:pPr>
        <w:spacing w:after="0" w:line="43"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45-0491516</w:t>
      </w:r>
    </w:p>
    <w:p>
      <w:pPr>
        <w:spacing w:after="0" w:line="82" w:lineRule="exact"/>
        <w:rPr>
          <w:sz w:val="24"/>
          <w:szCs w:val="24"/>
          <w:color w:val="auto"/>
        </w:rPr>
      </w:pPr>
    </w:p>
    <w:p>
      <w:pPr>
        <w:sectPr>
          <w:pgSz w:w="11900" w:h="16838" w:orient="portrait"/>
          <w:cols w:equalWidth="0" w:num="2">
            <w:col w:w="7280" w:space="720"/>
            <w:col w:w="3240"/>
          </w:cols>
          <w:pgMar w:left="320" w:top="1084" w:right="339" w:bottom="1440" w:gutter="0" w:footer="0" w:header="0"/>
          <w:type w:val="continuous"/>
        </w:sect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spacing w:after="0" w:line="53" w:lineRule="exact"/>
        <w:rPr>
          <w:sz w:val="24"/>
          <w:szCs w:val="24"/>
          <w:color w:val="auto"/>
        </w:rPr>
      </w:pP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38" w:lineRule="exact"/>
        <w:rPr>
          <w:sz w:val="24"/>
          <w:szCs w:val="24"/>
          <w:color w:val="auto"/>
        </w:rPr>
      </w:pPr>
    </w:p>
    <w:p>
      <w:pPr>
        <w:sectPr>
          <w:pgSz w:w="11900" w:h="16838" w:orient="portrait"/>
          <w:cols w:equalWidth="0" w:num="2">
            <w:col w:w="7160" w:space="720"/>
            <w:col w:w="3360"/>
          </w:cols>
          <w:pgMar w:left="320" w:top="1084"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Plano, Texas 75024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972-801-1100</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084" w:right="339" w:bottom="1440" w:gutter="0" w:footer="0" w:header="0"/>
          <w:type w:val="continuous"/>
        </w:sectPr>
      </w:pPr>
    </w:p>
    <w:p>
      <w:pPr>
        <w:spacing w:after="0" w:line="63" w:lineRule="exact"/>
        <w:rPr>
          <w:sz w:val="24"/>
          <w:szCs w:val="24"/>
          <w:color w:val="auto"/>
        </w:rPr>
      </w:pPr>
    </w:p>
    <w:p>
      <w:pPr>
        <w:ind w:left="15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838" w:orient="portrait"/>
          <w:cols w:equalWidth="0" w:num="3">
            <w:col w:w="4280" w:space="720"/>
            <w:col w:w="1600" w:space="720"/>
            <w:col w:w="3920"/>
          </w:cols>
          <w:pgMar w:left="320" w:top="1084" w:right="339" w:bottom="1440" w:gutter="0" w:footer="0" w:header="0"/>
          <w:type w:val="continuous"/>
        </w:sectPr>
      </w:pPr>
    </w:p>
    <w:p>
      <w:pPr>
        <w:ind w:left="1080"/>
        <w:spacing w:after="0"/>
        <w:rPr>
          <w:sz w:val="20"/>
          <w:szCs w:val="20"/>
          <w:color w:val="auto"/>
        </w:rPr>
      </w:pPr>
      <w:r>
        <w:rPr>
          <w:rFonts w:ascii="Arial" w:cs="Arial" w:eastAsia="Arial" w:hAnsi="Arial"/>
          <w:sz w:val="16"/>
          <w:szCs w:val="16"/>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Arial" w:cs="Arial" w:eastAsia="Arial" w:hAnsi="Arial"/>
          <w:sz w:val="18"/>
          <w:szCs w:val="18"/>
          <w:b w:val="1"/>
          <w:bCs w:val="1"/>
          <w:color w:val="auto"/>
        </w:rPr>
        <w:t>RCII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w:t>
      </w:r>
    </w:p>
    <w:p>
      <w:pPr>
        <w:spacing w:after="0" w:line="175" w:lineRule="exact"/>
        <w:rPr>
          <w:sz w:val="24"/>
          <w:szCs w:val="24"/>
          <w:color w:val="auto"/>
        </w:rPr>
      </w:pPr>
    </w:p>
    <w:p>
      <w:pPr>
        <w:sectPr>
          <w:pgSz w:w="11900" w:h="16838" w:orient="portrait"/>
          <w:cols w:equalWidth="0" w:num="3">
            <w:col w:w="4700" w:space="720"/>
            <w:col w:w="1840" w:space="720"/>
            <w:col w:w="3260"/>
          </w:cols>
          <w:pgMar w:left="320" w:top="1084" w:right="339" w:bottom="1440" w:gutter="0" w:footer="0" w:header="0"/>
          <w:type w:val="continuous"/>
        </w:sectPr>
      </w:pPr>
    </w:p>
    <w:p>
      <w:pPr>
        <w:jc w:val="center"/>
        <w:ind w:left="340"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5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0"/>
        </w:trPr>
        <w:tc>
          <w:tcPr>
            <w:tcW w:w="25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2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25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7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700" w:type="dxa"/>
            <w:vAlign w:val="bottom"/>
          </w:tcPr>
          <w:p>
            <w:pPr>
              <w:ind w:left="20"/>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3540" w:type="dxa"/>
            <w:vAlign w:val="bottom"/>
          </w:tcPr>
          <w:p>
            <w:pPr>
              <w:ind w:left="3120"/>
              <w:spacing w:after="0" w:line="161" w:lineRule="exact"/>
              <w:rPr>
                <w:sz w:val="20"/>
                <w:szCs w:val="20"/>
                <w:color w:val="auto"/>
              </w:rPr>
            </w:pPr>
            <w:r>
              <w:rPr>
                <w:rFonts w:ascii="MS PGothic" w:cs="MS PGothic" w:eastAsia="MS PGothic" w:hAnsi="MS PGothic"/>
                <w:sz w:val="16"/>
                <w:szCs w:val="16"/>
                <w:color w:val="auto"/>
              </w:rPr>
              <w:t>☐</w:t>
            </w:r>
          </w:p>
        </w:tc>
      </w:tr>
      <w:tr>
        <w:trPr>
          <w:trHeight w:val="238"/>
        </w:trPr>
        <w:tc>
          <w:tcPr>
            <w:tcW w:w="7700" w:type="dxa"/>
            <w:vAlign w:val="bottom"/>
          </w:tcPr>
          <w:p>
            <w:pPr>
              <w:spacing w:after="0"/>
              <w:rPr>
                <w:sz w:val="20"/>
                <w:szCs w:val="20"/>
                <w:color w:val="auto"/>
              </w:rPr>
            </w:pPr>
            <w:r>
              <w:rPr>
                <w:rFonts w:ascii="Arial" w:cs="Arial" w:eastAsia="Arial" w:hAnsi="Arial"/>
                <w:sz w:val="16"/>
                <w:szCs w:val="16"/>
                <w:color w:val="auto"/>
                <w:w w:val="96"/>
              </w:rPr>
              <w:t>Indicate by check mark whether the registrant is a shell company (as defined in Rule 12b-2 of the Exchange Act).</w:t>
            </w:r>
          </w:p>
        </w:tc>
        <w:tc>
          <w:tcPr>
            <w:tcW w:w="3540" w:type="dxa"/>
            <w:vAlign w:val="bottom"/>
          </w:tcPr>
          <w:p>
            <w:pPr>
              <w:spacing w:after="0"/>
              <w:rPr>
                <w:sz w:val="20"/>
                <w:szCs w:val="20"/>
                <w:color w:val="auto"/>
              </w:rPr>
            </w:pPr>
          </w:p>
        </w:tc>
      </w:tr>
      <w:tr>
        <w:trPr>
          <w:trHeight w:val="254"/>
        </w:trPr>
        <w:tc>
          <w:tcPr>
            <w:tcW w:w="77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540" w:type="dxa"/>
            <w:vAlign w:val="bottom"/>
          </w:tcPr>
          <w:p>
            <w:pPr>
              <w:spacing w:after="0"/>
              <w:rPr>
                <w:sz w:val="22"/>
                <w:szCs w:val="22"/>
                <w:color w:val="auto"/>
              </w:rPr>
            </w:pPr>
          </w:p>
        </w:tc>
      </w:tr>
      <w:tr>
        <w:trPr>
          <w:trHeight w:val="279"/>
        </w:trPr>
        <w:tc>
          <w:tcPr>
            <w:tcW w:w="7700" w:type="dxa"/>
            <w:vAlign w:val="bottom"/>
          </w:tcPr>
          <w:p>
            <w:pPr>
              <w:spacing w:after="0"/>
              <w:rPr>
                <w:sz w:val="20"/>
                <w:szCs w:val="20"/>
                <w:color w:val="auto"/>
              </w:rPr>
            </w:pPr>
            <w:r>
              <w:rPr>
                <w:rFonts w:ascii="Arial" w:cs="Arial" w:eastAsia="Arial" w:hAnsi="Arial"/>
                <w:sz w:val="16"/>
                <w:szCs w:val="16"/>
                <w:color w:val="auto"/>
                <w:w w:val="97"/>
              </w:rPr>
              <w:t>Indicate the number of shares outstanding of each of the issuer’s classes of common stock, as of July 29, 2020:</w:t>
            </w:r>
          </w:p>
        </w:tc>
        <w:tc>
          <w:tcPr>
            <w:tcW w:w="3540" w:type="dxa"/>
            <w:vAlign w:val="bottom"/>
          </w:tcPr>
          <w:p>
            <w:pPr>
              <w:spacing w:after="0"/>
              <w:rPr>
                <w:sz w:val="24"/>
                <w:szCs w:val="24"/>
                <w:color w:val="auto"/>
              </w:rPr>
            </w:pPr>
          </w:p>
        </w:tc>
      </w:tr>
      <w:tr>
        <w:trPr>
          <w:trHeight w:val="243"/>
        </w:trPr>
        <w:tc>
          <w:tcPr>
            <w:tcW w:w="7700" w:type="dxa"/>
            <w:vAlign w:val="bottom"/>
          </w:tcPr>
          <w:p>
            <w:pPr>
              <w:ind w:left="2600"/>
              <w:spacing w:after="0"/>
              <w:rPr>
                <w:sz w:val="20"/>
                <w:szCs w:val="20"/>
                <w:color w:val="auto"/>
              </w:rPr>
            </w:pPr>
            <w:r>
              <w:rPr>
                <w:rFonts w:ascii="Arial" w:cs="Arial" w:eastAsia="Arial" w:hAnsi="Arial"/>
                <w:sz w:val="16"/>
                <w:szCs w:val="16"/>
                <w:color w:val="auto"/>
              </w:rPr>
              <w:t>Class</w:t>
            </w:r>
          </w:p>
        </w:tc>
        <w:tc>
          <w:tcPr>
            <w:tcW w:w="3540" w:type="dxa"/>
            <w:vAlign w:val="bottom"/>
          </w:tcPr>
          <w:p>
            <w:pPr>
              <w:jc w:val="center"/>
              <w:ind w:right="1979"/>
              <w:spacing w:after="0"/>
              <w:rPr>
                <w:sz w:val="20"/>
                <w:szCs w:val="20"/>
                <w:color w:val="auto"/>
              </w:rPr>
            </w:pPr>
            <w:r>
              <w:rPr>
                <w:rFonts w:ascii="Arial" w:cs="Arial" w:eastAsia="Arial" w:hAnsi="Arial"/>
                <w:sz w:val="16"/>
                <w:szCs w:val="16"/>
                <w:color w:val="auto"/>
                <w:w w:val="92"/>
              </w:rPr>
              <w:t>Outstanding</w:t>
            </w:r>
          </w:p>
        </w:tc>
      </w:tr>
      <w:tr>
        <w:trPr>
          <w:trHeight w:val="256"/>
        </w:trPr>
        <w:tc>
          <w:tcPr>
            <w:tcW w:w="7700" w:type="dxa"/>
            <w:vAlign w:val="bottom"/>
          </w:tcPr>
          <w:p>
            <w:pPr>
              <w:ind w:left="1780"/>
              <w:spacing w:after="0"/>
              <w:rPr>
                <w:sz w:val="20"/>
                <w:szCs w:val="20"/>
                <w:color w:val="auto"/>
              </w:rPr>
            </w:pPr>
            <w:r>
              <w:rPr>
                <w:rFonts w:ascii="Arial" w:cs="Arial" w:eastAsia="Arial" w:hAnsi="Arial"/>
                <w:sz w:val="16"/>
                <w:szCs w:val="16"/>
                <w:color w:val="auto"/>
              </w:rPr>
              <w:t>Common stock, $.01 par value</w:t>
            </w:r>
          </w:p>
        </w:tc>
        <w:tc>
          <w:tcPr>
            <w:tcW w:w="3540" w:type="dxa"/>
            <w:vAlign w:val="bottom"/>
          </w:tcPr>
          <w:p>
            <w:pPr>
              <w:jc w:val="right"/>
              <w:ind w:right="2359"/>
              <w:spacing w:after="0"/>
              <w:rPr>
                <w:sz w:val="20"/>
                <w:szCs w:val="20"/>
                <w:color w:val="auto"/>
              </w:rPr>
            </w:pPr>
            <w:r>
              <w:rPr>
                <w:rFonts w:ascii="Arial" w:cs="Arial" w:eastAsia="Arial" w:hAnsi="Arial"/>
                <w:sz w:val="16"/>
                <w:szCs w:val="16"/>
                <w:color w:val="auto"/>
              </w:rPr>
              <w:t>53,825,727</w:t>
            </w:r>
          </w:p>
        </w:tc>
      </w:tr>
      <w:tr>
        <w:trPr>
          <w:trHeight w:val="1390"/>
        </w:trPr>
        <w:tc>
          <w:tcPr>
            <w:tcW w:w="7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16"/>
        </w:trPr>
        <w:tc>
          <w:tcPr>
            <w:tcW w:w="860" w:type="dxa"/>
            <w:vAlign w:val="bottom"/>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w:t>
              </w:r>
            </w:hyperlink>
          </w:p>
        </w:tc>
        <w:tc>
          <w:tcPr>
            <w:tcW w:w="9440" w:type="dxa"/>
            <w:vAlign w:val="bottom"/>
          </w:tcPr>
          <w:p>
            <w:pPr>
              <w:ind w:left="160"/>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FINANCIAL INFORMATION</w:t>
              </w:r>
            </w:hyperlink>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2">
              <w:r>
                <w:rPr>
                  <w:rFonts w:ascii="Arial" w:cs="Arial" w:eastAsia="Arial" w:hAnsi="Arial"/>
                  <w:sz w:val="18"/>
                  <w:szCs w:val="18"/>
                  <w:color w:val="auto"/>
                </w:rPr>
                <w:t>Item 1.</w:t>
              </w:r>
            </w:hyperlink>
          </w:p>
        </w:tc>
        <w:tc>
          <w:tcPr>
            <w:tcW w:w="9440" w:type="dxa"/>
            <w:vAlign w:val="bottom"/>
          </w:tcPr>
          <w:p>
            <w:pPr>
              <w:ind w:left="160"/>
              <w:spacing w:after="0"/>
              <w:rPr>
                <w:rFonts w:ascii="Arial" w:cs="Arial" w:eastAsia="Arial" w:hAnsi="Arial"/>
                <w:sz w:val="18"/>
                <w:szCs w:val="18"/>
                <w:color w:val="auto"/>
              </w:rPr>
            </w:pPr>
            <w:hyperlink w:anchor="page2">
              <w:r>
                <w:rPr>
                  <w:rFonts w:ascii="Arial" w:cs="Arial" w:eastAsia="Arial" w:hAnsi="Arial"/>
                  <w:sz w:val="18"/>
                  <w:szCs w:val="18"/>
                  <w:color w:val="auto"/>
                </w:rPr>
                <w:t>Condensed Consolidated Financial Statements</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60" w:type="dxa"/>
            <w:vAlign w:val="bottom"/>
          </w:tcPr>
          <w:p>
            <w:pPr>
              <w:spacing w:after="0"/>
              <w:rPr>
                <w:sz w:val="24"/>
                <w:szCs w:val="24"/>
                <w:color w:val="auto"/>
              </w:rPr>
            </w:pPr>
          </w:p>
        </w:tc>
        <w:tc>
          <w:tcPr>
            <w:tcW w:w="9440" w:type="dxa"/>
            <w:vAlign w:val="bottom"/>
          </w:tcPr>
          <w:p>
            <w:pPr>
              <w:ind w:left="16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 xml:space="preserve">Condensed Consolidated Statements of Operations for the three-month and </w:t>
              </w:r>
            </w:hyperlink>
            <w:r>
              <w:rPr>
                <w:rFonts w:ascii="Arial" w:cs="Arial" w:eastAsia="Arial" w:hAnsi="Arial"/>
                <w:sz w:val="18"/>
                <w:szCs w:val="18"/>
                <w:color w:val="auto"/>
                <w:w w:val="92"/>
              </w:rPr>
              <w:t xml:space="preserve">six-month </w:t>
            </w:r>
            <w:hyperlink w:anchor="page3">
              <w:r>
                <w:rPr>
                  <w:rFonts w:ascii="Arial" w:cs="Arial" w:eastAsia="Arial" w:hAnsi="Arial"/>
                  <w:sz w:val="18"/>
                  <w:szCs w:val="18"/>
                  <w:color w:val="auto"/>
                  <w:w w:val="92"/>
                </w:rPr>
                <w:t xml:space="preserve">periods ended </w:t>
              </w:r>
            </w:hyperlink>
            <w:r>
              <w:rPr>
                <w:rFonts w:ascii="Arial" w:cs="Arial" w:eastAsia="Arial" w:hAnsi="Arial"/>
                <w:sz w:val="18"/>
                <w:szCs w:val="18"/>
                <w:color w:val="auto"/>
                <w:w w:val="92"/>
              </w:rPr>
              <w:t xml:space="preserve">June 30, 2020 </w:t>
            </w:r>
            <w:hyperlink w:anchor="page3">
              <w:r>
                <w:rPr>
                  <w:rFonts w:ascii="Arial" w:cs="Arial" w:eastAsia="Arial" w:hAnsi="Arial"/>
                  <w:sz w:val="18"/>
                  <w:szCs w:val="18"/>
                  <w:color w:val="auto"/>
                  <w:w w:val="92"/>
                </w:rPr>
                <w:t xml:space="preserve">and </w:t>
              </w:r>
            </w:hyperlink>
            <w:r>
              <w:rPr>
                <w:rFonts w:ascii="Arial" w:cs="Arial" w:eastAsia="Arial" w:hAnsi="Arial"/>
                <w:sz w:val="18"/>
                <w:szCs w:val="18"/>
                <w:color w:val="auto"/>
                <w:w w:val="92"/>
              </w:rPr>
              <w:t>2019</w:t>
            </w:r>
          </w:p>
        </w:tc>
        <w:tc>
          <w:tcPr>
            <w:tcW w:w="8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440" w:type="dxa"/>
            <w:vAlign w:val="bottom"/>
          </w:tcPr>
          <w:p>
            <w:pPr>
              <w:ind w:left="160"/>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 xml:space="preserve">Condensed Consolidated Statements of Comprehensive Income for the three-month and </w:t>
              </w:r>
            </w:hyperlink>
            <w:r>
              <w:rPr>
                <w:rFonts w:ascii="Arial" w:cs="Arial" w:eastAsia="Arial" w:hAnsi="Arial"/>
                <w:sz w:val="18"/>
                <w:szCs w:val="18"/>
                <w:color w:val="auto"/>
                <w:w w:val="90"/>
              </w:rPr>
              <w:t xml:space="preserve">six-month </w:t>
            </w:r>
            <w:hyperlink w:anchor="page3">
              <w:r>
                <w:rPr>
                  <w:rFonts w:ascii="Arial" w:cs="Arial" w:eastAsia="Arial" w:hAnsi="Arial"/>
                  <w:sz w:val="18"/>
                  <w:szCs w:val="18"/>
                  <w:color w:val="auto"/>
                  <w:w w:val="90"/>
                </w:rPr>
                <w:t xml:space="preserve">periods ended </w:t>
              </w:r>
            </w:hyperlink>
            <w:r>
              <w:rPr>
                <w:rFonts w:ascii="Arial" w:cs="Arial" w:eastAsia="Arial" w:hAnsi="Arial"/>
                <w:sz w:val="18"/>
                <w:szCs w:val="18"/>
                <w:color w:val="auto"/>
                <w:w w:val="90"/>
              </w:rPr>
              <w:t>June 30, 2020</w:t>
            </w:r>
          </w:p>
        </w:tc>
        <w:tc>
          <w:tcPr>
            <w:tcW w:w="86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9440" w:type="dxa"/>
            <w:vAlign w:val="bottom"/>
          </w:tcPr>
          <w:p>
            <w:pPr>
              <w:ind w:left="160"/>
              <w:spacing w:after="0"/>
              <w:rPr>
                <w:rFonts w:ascii="Arial" w:cs="Arial" w:eastAsia="Arial" w:hAnsi="Arial"/>
                <w:sz w:val="18"/>
                <w:szCs w:val="18"/>
                <w:color w:val="auto"/>
              </w:rPr>
            </w:pPr>
            <w:hyperlink w:anchor="page3">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9440" w:type="dxa"/>
            <w:vAlign w:val="bottom"/>
          </w:tcPr>
          <w:p>
            <w:pPr>
              <w:ind w:left="160"/>
              <w:spacing w:after="0"/>
              <w:rPr>
                <w:rFonts w:ascii="Arial" w:cs="Arial" w:eastAsia="Arial" w:hAnsi="Arial"/>
                <w:sz w:val="18"/>
                <w:szCs w:val="18"/>
                <w:color w:val="auto"/>
              </w:rPr>
            </w:pPr>
            <w:hyperlink w:anchor="page4">
              <w:r>
                <w:rPr>
                  <w:rFonts w:ascii="Arial" w:cs="Arial" w:eastAsia="Arial" w:hAnsi="Arial"/>
                  <w:sz w:val="18"/>
                  <w:szCs w:val="18"/>
                  <w:color w:val="auto"/>
                </w:rPr>
                <w:t xml:space="preserve">Condensed Consolidated Balance Sheets as of </w:t>
              </w:r>
            </w:hyperlink>
            <w:r>
              <w:rPr>
                <w:rFonts w:ascii="Arial" w:cs="Arial" w:eastAsia="Arial" w:hAnsi="Arial"/>
                <w:sz w:val="18"/>
                <w:szCs w:val="18"/>
                <w:color w:val="auto"/>
              </w:rPr>
              <w:t xml:space="preserve">June 30, 2020 </w:t>
            </w:r>
            <w:hyperlink w:anchor="page4">
              <w:r>
                <w:rPr>
                  <w:rFonts w:ascii="Arial" w:cs="Arial" w:eastAsia="Arial" w:hAnsi="Arial"/>
                  <w:sz w:val="18"/>
                  <w:szCs w:val="18"/>
                  <w:color w:val="auto"/>
                </w:rPr>
                <w:t xml:space="preserve">and </w:t>
              </w:r>
            </w:hyperlink>
            <w:r>
              <w:rPr>
                <w:rFonts w:ascii="Arial" w:cs="Arial" w:eastAsia="Arial" w:hAnsi="Arial"/>
                <w:sz w:val="18"/>
                <w:szCs w:val="18"/>
                <w:color w:val="auto"/>
              </w:rPr>
              <w:t>December 31, 2019</w:t>
            </w:r>
          </w:p>
        </w:tc>
        <w:tc>
          <w:tcPr>
            <w:tcW w:w="8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84"/>
        </w:trPr>
        <w:tc>
          <w:tcPr>
            <w:tcW w:w="860" w:type="dxa"/>
            <w:vAlign w:val="bottom"/>
          </w:tcPr>
          <w:p>
            <w:pPr>
              <w:spacing w:after="0"/>
              <w:rPr>
                <w:sz w:val="24"/>
                <w:szCs w:val="24"/>
                <w:color w:val="auto"/>
              </w:rPr>
            </w:pPr>
          </w:p>
        </w:tc>
        <w:tc>
          <w:tcPr>
            <w:tcW w:w="9440" w:type="dxa"/>
            <w:vAlign w:val="bottom"/>
          </w:tcPr>
          <w:p>
            <w:pPr>
              <w:ind w:left="160"/>
              <w:spacing w:after="0"/>
              <w:rPr>
                <w:rFonts w:ascii="Arial" w:cs="Arial" w:eastAsia="Arial" w:hAnsi="Arial"/>
                <w:sz w:val="18"/>
                <w:szCs w:val="18"/>
                <w:color w:val="auto"/>
                <w:w w:val="98"/>
              </w:rPr>
            </w:pPr>
            <w:hyperlink w:anchor="page5">
              <w:r>
                <w:rPr>
                  <w:rFonts w:ascii="Arial" w:cs="Arial" w:eastAsia="Arial" w:hAnsi="Arial"/>
                  <w:sz w:val="18"/>
                  <w:szCs w:val="18"/>
                  <w:color w:val="auto"/>
                  <w:w w:val="98"/>
                </w:rPr>
                <w:t xml:space="preserve">Condensed Consolidated Statement of Stockholders' Equity for the </w:t>
              </w:r>
            </w:hyperlink>
            <w:r>
              <w:rPr>
                <w:rFonts w:ascii="Arial" w:cs="Arial" w:eastAsia="Arial" w:hAnsi="Arial"/>
                <w:sz w:val="18"/>
                <w:szCs w:val="18"/>
                <w:color w:val="auto"/>
                <w:w w:val="98"/>
              </w:rPr>
              <w:t xml:space="preserve">six-month </w:t>
            </w:r>
            <w:hyperlink w:anchor="page5">
              <w:r>
                <w:rPr>
                  <w:rFonts w:ascii="Arial" w:cs="Arial" w:eastAsia="Arial" w:hAnsi="Arial"/>
                  <w:sz w:val="18"/>
                  <w:szCs w:val="18"/>
                  <w:color w:val="auto"/>
                  <w:w w:val="98"/>
                </w:rPr>
                <w:t xml:space="preserve">periods ending </w:t>
              </w:r>
            </w:hyperlink>
            <w:r>
              <w:rPr>
                <w:rFonts w:ascii="Arial" w:cs="Arial" w:eastAsia="Arial" w:hAnsi="Arial"/>
                <w:sz w:val="18"/>
                <w:szCs w:val="18"/>
                <w:color w:val="auto"/>
                <w:w w:val="98"/>
              </w:rPr>
              <w:t xml:space="preserve">June 30, 2020 </w:t>
            </w:r>
            <w:hyperlink w:anchor="page5">
              <w:r>
                <w:rPr>
                  <w:rFonts w:ascii="Arial" w:cs="Arial" w:eastAsia="Arial" w:hAnsi="Arial"/>
                  <w:sz w:val="18"/>
                  <w:szCs w:val="18"/>
                  <w:color w:val="auto"/>
                  <w:w w:val="98"/>
                </w:rPr>
                <w:t xml:space="preserve">and </w:t>
              </w:r>
            </w:hyperlink>
            <w:r>
              <w:rPr>
                <w:rFonts w:ascii="Arial" w:cs="Arial" w:eastAsia="Arial" w:hAnsi="Arial"/>
                <w:sz w:val="18"/>
                <w:szCs w:val="18"/>
                <w:color w:val="auto"/>
                <w:w w:val="98"/>
              </w:rPr>
              <w:t>2019</w:t>
            </w:r>
          </w:p>
        </w:tc>
        <w:tc>
          <w:tcPr>
            <w:tcW w:w="8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9440" w:type="dxa"/>
            <w:vAlign w:val="bottom"/>
          </w:tcPr>
          <w:p>
            <w:pPr>
              <w:ind w:left="160"/>
              <w:spacing w:after="0"/>
              <w:rPr>
                <w:rFonts w:ascii="Arial" w:cs="Arial" w:eastAsia="Arial" w:hAnsi="Arial"/>
                <w:sz w:val="18"/>
                <w:szCs w:val="18"/>
                <w:color w:val="auto"/>
              </w:rPr>
            </w:pPr>
            <w:hyperlink w:anchor="page7">
              <w:r>
                <w:rPr>
                  <w:rFonts w:ascii="Arial" w:cs="Arial" w:eastAsia="Arial" w:hAnsi="Arial"/>
                  <w:sz w:val="18"/>
                  <w:szCs w:val="18"/>
                  <w:color w:val="auto"/>
                </w:rPr>
                <w:t xml:space="preserve">Condensed Consolidated Statements of Cash Flows for the </w:t>
              </w:r>
            </w:hyperlink>
            <w:r>
              <w:rPr>
                <w:rFonts w:ascii="Arial" w:cs="Arial" w:eastAsia="Arial" w:hAnsi="Arial"/>
                <w:sz w:val="18"/>
                <w:szCs w:val="18"/>
                <w:color w:val="auto"/>
              </w:rPr>
              <w:t xml:space="preserve">six-month </w:t>
            </w:r>
            <w:hyperlink w:anchor="page7">
              <w:r>
                <w:rPr>
                  <w:rFonts w:ascii="Arial" w:cs="Arial" w:eastAsia="Arial" w:hAnsi="Arial"/>
                  <w:sz w:val="18"/>
                  <w:szCs w:val="18"/>
                  <w:color w:val="auto"/>
                </w:rPr>
                <w:t xml:space="preserve">periods ended </w:t>
              </w:r>
            </w:hyperlink>
            <w:r>
              <w:rPr>
                <w:rFonts w:ascii="Arial" w:cs="Arial" w:eastAsia="Arial" w:hAnsi="Arial"/>
                <w:sz w:val="18"/>
                <w:szCs w:val="18"/>
                <w:color w:val="auto"/>
              </w:rPr>
              <w:t xml:space="preserve">June 30, 2020 </w:t>
            </w:r>
            <w:hyperlink w:anchor="page7">
              <w:r>
                <w:rPr>
                  <w:rFonts w:ascii="Arial" w:cs="Arial" w:eastAsia="Arial" w:hAnsi="Arial"/>
                  <w:sz w:val="18"/>
                  <w:szCs w:val="18"/>
                  <w:color w:val="auto"/>
                </w:rPr>
                <w:t xml:space="preserve">and </w:t>
              </w:r>
            </w:hyperlink>
            <w:r>
              <w:rPr>
                <w:rFonts w:ascii="Arial" w:cs="Arial" w:eastAsia="Arial" w:hAnsi="Arial"/>
                <w:sz w:val="18"/>
                <w:szCs w:val="18"/>
                <w:color w:val="auto"/>
              </w:rPr>
              <w:t>2019</w:t>
            </w:r>
          </w:p>
        </w:tc>
        <w:tc>
          <w:tcPr>
            <w:tcW w:w="8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9440" w:type="dxa"/>
            <w:vAlign w:val="bottom"/>
          </w:tcPr>
          <w:p>
            <w:pPr>
              <w:ind w:left="16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9440" w:type="dxa"/>
            <w:vAlign w:val="bottom"/>
          </w:tcPr>
          <w:p>
            <w:pPr>
              <w:ind w:left="16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4">
              <w:r>
                <w:rPr>
                  <w:rFonts w:ascii="Arial" w:cs="Arial" w:eastAsia="Arial" w:hAnsi="Arial"/>
                  <w:sz w:val="18"/>
                  <w:szCs w:val="18"/>
                  <w:color w:val="auto"/>
                </w:rPr>
                <w:t>Item 3.</w:t>
              </w:r>
            </w:hyperlink>
          </w:p>
        </w:tc>
        <w:tc>
          <w:tcPr>
            <w:tcW w:w="9440" w:type="dxa"/>
            <w:vAlign w:val="bottom"/>
          </w:tcPr>
          <w:p>
            <w:pPr>
              <w:ind w:left="160"/>
              <w:spacing w:after="0"/>
              <w:rPr>
                <w:rFonts w:ascii="Arial" w:cs="Arial" w:eastAsia="Arial" w:hAnsi="Arial"/>
                <w:sz w:val="18"/>
                <w:szCs w:val="18"/>
                <w:color w:val="auto"/>
              </w:rPr>
            </w:pPr>
            <w:hyperlink w:anchor="page34">
              <w:r>
                <w:rPr>
                  <w:rFonts w:ascii="Arial" w:cs="Arial" w:eastAsia="Arial" w:hAnsi="Arial"/>
                  <w:sz w:val="18"/>
                  <w:szCs w:val="18"/>
                  <w:color w:val="auto"/>
                </w:rPr>
                <w:t>Quantitative and Qualitative Disclosures About Market Risk</w:t>
              </w:r>
            </w:hyperlink>
          </w:p>
        </w:tc>
        <w:tc>
          <w:tcPr>
            <w:tcW w:w="86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84"/>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Controls and Procedures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PART II.</w:t>
              </w:r>
            </w:hyperlink>
          </w:p>
        </w:tc>
        <w:tc>
          <w:tcPr>
            <w:tcW w:w="9440" w:type="dxa"/>
            <w:vAlign w:val="bottom"/>
          </w:tcPr>
          <w:p>
            <w:pPr>
              <w:ind w:left="160"/>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Legal Proceedings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1A.</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Risk Factors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2.</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Unregistered Sales of Equity Securities and Use of Proceeds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9440" w:type="dxa"/>
            <w:vAlign w:val="bottom"/>
            <w:vMerge w:val="restart"/>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Defaults Upon Senior Securities</w:t>
              </w:r>
            </w:hyperlink>
          </w:p>
        </w:tc>
        <w:tc>
          <w:tcPr>
            <w:tcW w:w="860" w:type="dxa"/>
            <w:vAlign w:val="bottom"/>
            <w:vMerge w:val="restart"/>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4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Mine Safety Disclosures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3"/>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5.</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Other Information</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c>
          <w:tcPr>
            <w:tcW w:w="0" w:type="dxa"/>
            <w:vAlign w:val="bottom"/>
          </w:tcPr>
          <w:p>
            <w:pPr>
              <w:spacing w:after="0"/>
              <w:rPr>
                <w:sz w:val="1"/>
                <w:szCs w:val="1"/>
                <w:color w:val="auto"/>
              </w:rPr>
            </w:pPr>
          </w:p>
        </w:tc>
      </w:tr>
      <w:tr>
        <w:trPr>
          <w:trHeight w:val="284"/>
        </w:trPr>
        <w:tc>
          <w:tcPr>
            <w:tcW w:w="860" w:type="dxa"/>
            <w:vAlign w:val="bottom"/>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6.</w:t>
              </w:r>
            </w:hyperlink>
          </w:p>
        </w:tc>
        <w:tc>
          <w:tcPr>
            <w:tcW w:w="9440" w:type="dxa"/>
            <w:vAlign w:val="bottom"/>
          </w:tcPr>
          <w:p>
            <w:pPr>
              <w:ind w:left="160"/>
              <w:spacing w:after="0"/>
              <w:rPr>
                <w:rFonts w:ascii="Arial" w:cs="Arial" w:eastAsia="Arial" w:hAnsi="Arial"/>
                <w:sz w:val="18"/>
                <w:szCs w:val="18"/>
                <w:color w:val="auto"/>
              </w:rPr>
            </w:pPr>
            <w:hyperlink w:anchor="page35">
              <w:r>
                <w:rPr>
                  <w:rFonts w:ascii="Arial" w:cs="Arial" w:eastAsia="Arial" w:hAnsi="Arial"/>
                  <w:sz w:val="18"/>
                  <w:szCs w:val="18"/>
                  <w:color w:val="auto"/>
                </w:rPr>
                <w:t>Exhibits</w:t>
              </w:r>
            </w:hyperlink>
          </w:p>
        </w:tc>
        <w:tc>
          <w:tcPr>
            <w:tcW w:w="8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93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RENT-A-CENTER,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31" w:right="339" w:bottom="1440" w:gutter="0" w:footer="0" w:header="0"/>
        </w:sectPr>
      </w:pP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38100</wp:posOffset>
            </wp:positionV>
            <wp:extent cx="1920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8" w:lineRule="exact"/>
        <w:rPr>
          <w:sz w:val="20"/>
          <w:szCs w:val="20"/>
          <w:color w:val="auto"/>
        </w:rPr>
      </w:pPr>
    </w:p>
    <w:p>
      <w:pPr>
        <w:ind w:left="5500"/>
        <w:spacing w:after="0"/>
        <w:tabs>
          <w:tab w:leader="none" w:pos="70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38100</wp:posOffset>
            </wp:positionV>
            <wp:extent cx="1920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31115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8080" w:space="720"/>
            <w:col w:w="244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ind w:left="340"/>
              <w:spacing w:after="0"/>
              <w:rPr>
                <w:sz w:val="20"/>
                <w:szCs w:val="20"/>
                <w:color w:val="auto"/>
              </w:rPr>
            </w:pPr>
            <w:r>
              <w:rPr>
                <w:rFonts w:ascii="Arial" w:cs="Arial" w:eastAsia="Arial" w:hAnsi="Arial"/>
                <w:sz w:val="18"/>
                <w:szCs w:val="18"/>
                <w:color w:val="auto"/>
              </w:rPr>
              <w:t>Store</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Rentals and fees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551,680</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1,102,737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1,115,034</w:t>
            </w: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Merchandise sales</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108,080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70,842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209,460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175,312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Installment sales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17,270</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1,244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store revenues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661,235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641,036</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1,346,084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1,324,960</w:t>
            </w:r>
          </w:p>
        </w:tc>
        <w:tc>
          <w:tcPr>
            <w:tcW w:w="0" w:type="dxa"/>
            <w:vAlign w:val="bottom"/>
          </w:tcPr>
          <w:p>
            <w:pPr>
              <w:spacing w:after="0"/>
              <w:rPr>
                <w:sz w:val="1"/>
                <w:szCs w:val="1"/>
                <w:color w:val="auto"/>
              </w:rPr>
            </w:pPr>
          </w:p>
        </w:tc>
      </w:tr>
      <w:tr>
        <w:trPr>
          <w:trHeight w:val="243"/>
        </w:trPr>
        <w:tc>
          <w:tcPr>
            <w:tcW w:w="4900" w:type="dxa"/>
            <w:vAlign w:val="bottom"/>
          </w:tcPr>
          <w:p>
            <w:pPr>
              <w:ind w:left="340"/>
              <w:spacing w:after="0"/>
              <w:rPr>
                <w:sz w:val="20"/>
                <w:szCs w:val="20"/>
                <w:color w:val="auto"/>
              </w:rPr>
            </w:pPr>
            <w:r>
              <w:rPr>
                <w:rFonts w:ascii="Arial" w:cs="Arial" w:eastAsia="Arial" w:hAnsi="Arial"/>
                <w:sz w:val="18"/>
                <w:szCs w:val="18"/>
                <w:color w:val="auto"/>
              </w:rPr>
              <w:t>Franchise</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Merchandise sales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10,673</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Royalty income and fees</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4,216</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683,746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655,925</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1,385,685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1,352,619</w:t>
            </w: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Store</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Cost of rentals and fees</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157,124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155,658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322,579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311,030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Cost of merchandise sold</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102,960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76,034</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179,425</w:t>
            </w: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Cost of installment sales</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6,092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5,682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cost of store revenues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266,176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237,374</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501,061</w:t>
            </w:r>
          </w:p>
        </w:tc>
        <w:tc>
          <w:tcPr>
            <w:tcW w:w="0" w:type="dxa"/>
            <w:vAlign w:val="bottom"/>
          </w:tcPr>
          <w:p>
            <w:pPr>
              <w:spacing w:after="0"/>
              <w:rPr>
                <w:sz w:val="1"/>
                <w:szCs w:val="1"/>
                <w:color w:val="auto"/>
              </w:rPr>
            </w:pPr>
          </w:p>
        </w:tc>
      </w:tr>
      <w:tr>
        <w:trPr>
          <w:trHeight w:val="243"/>
        </w:trPr>
        <w:tc>
          <w:tcPr>
            <w:tcW w:w="4900" w:type="dxa"/>
            <w:vAlign w:val="bottom"/>
          </w:tcPr>
          <w:p>
            <w:pPr>
              <w:ind w:left="340"/>
              <w:spacing w:after="0"/>
              <w:rPr>
                <w:sz w:val="20"/>
                <w:szCs w:val="20"/>
                <w:color w:val="auto"/>
              </w:rPr>
            </w:pPr>
            <w:r>
              <w:rPr>
                <w:rFonts w:ascii="Arial" w:cs="Arial" w:eastAsia="Arial" w:hAnsi="Arial"/>
                <w:sz w:val="18"/>
                <w:szCs w:val="18"/>
                <w:color w:val="auto"/>
              </w:rPr>
              <w:t>Franchise cost of merchandise sold</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18,038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10,480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18,621</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cost of revenues</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284,214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247,854</w:t>
            </w: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565,975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519,682</w:t>
            </w:r>
          </w:p>
        </w:tc>
        <w:tc>
          <w:tcPr>
            <w:tcW w:w="0" w:type="dxa"/>
            <w:vAlign w:val="bottom"/>
          </w:tcPr>
          <w:p>
            <w:pPr>
              <w:spacing w:after="0"/>
              <w:rPr>
                <w:sz w:val="1"/>
                <w:szCs w:val="1"/>
                <w:color w:val="auto"/>
              </w:rPr>
            </w:pPr>
          </w:p>
        </w:tc>
      </w:tr>
      <w:tr>
        <w:trPr>
          <w:trHeight w:val="237"/>
        </w:trPr>
        <w:tc>
          <w:tcPr>
            <w:tcW w:w="4900" w:type="dxa"/>
            <w:vAlign w:val="bottom"/>
          </w:tcPr>
          <w:p>
            <w:pPr>
              <w:ind w:left="660"/>
              <w:spacing w:after="0"/>
              <w:rPr>
                <w:sz w:val="20"/>
                <w:szCs w:val="20"/>
                <w:color w:val="auto"/>
              </w:rPr>
            </w:pPr>
            <w:r>
              <w:rPr>
                <w:rFonts w:ascii="Arial" w:cs="Arial" w:eastAsia="Arial" w:hAnsi="Arial"/>
                <w:sz w:val="18"/>
                <w:szCs w:val="18"/>
                <w:color w:val="auto"/>
              </w:rPr>
              <w:t>Gross profit</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399,532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408,071</w:t>
            </w: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819,710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832,937</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40"/>
              <w:spacing w:after="0"/>
              <w:rPr>
                <w:sz w:val="20"/>
                <w:szCs w:val="20"/>
                <w:color w:val="auto"/>
              </w:rPr>
            </w:pPr>
            <w:r>
              <w:rPr>
                <w:rFonts w:ascii="Arial" w:cs="Arial" w:eastAsia="Arial" w:hAnsi="Arial"/>
                <w:sz w:val="18"/>
                <w:szCs w:val="18"/>
                <w:color w:val="auto"/>
              </w:rPr>
              <w:t>Store expenses</w:t>
            </w: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Labor</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129,929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152,899</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314,555</w:t>
            </w:r>
          </w:p>
        </w:tc>
        <w:tc>
          <w:tcPr>
            <w:tcW w:w="0" w:type="dxa"/>
            <w:vAlign w:val="bottom"/>
          </w:tcPr>
          <w:p>
            <w:pPr>
              <w:spacing w:after="0"/>
              <w:rPr>
                <w:sz w:val="1"/>
                <w:szCs w:val="1"/>
                <w:color w:val="auto"/>
              </w:rPr>
            </w:pPr>
          </w:p>
        </w:tc>
      </w:tr>
      <w:tr>
        <w:trPr>
          <w:trHeight w:val="243"/>
        </w:trPr>
        <w:tc>
          <w:tcPr>
            <w:tcW w:w="4900" w:type="dxa"/>
            <w:vAlign w:val="bottom"/>
          </w:tcPr>
          <w:p>
            <w:pPr>
              <w:ind w:left="660"/>
              <w:spacing w:after="0"/>
              <w:rPr>
                <w:sz w:val="20"/>
                <w:szCs w:val="20"/>
                <w:color w:val="auto"/>
              </w:rPr>
            </w:pPr>
            <w:r>
              <w:rPr>
                <w:rFonts w:ascii="Arial" w:cs="Arial" w:eastAsia="Arial" w:hAnsi="Arial"/>
                <w:sz w:val="18"/>
                <w:szCs w:val="18"/>
                <w:color w:val="auto"/>
              </w:rPr>
              <w:t>Other store expenses</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160,756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149,225</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322,474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313,019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38,534</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71,458</w:t>
            </w:r>
          </w:p>
        </w:tc>
        <w:tc>
          <w:tcPr>
            <w:tcW w:w="0" w:type="dxa"/>
            <w:vAlign w:val="bottom"/>
          </w:tcPr>
          <w:p>
            <w:pPr>
              <w:spacing w:after="0"/>
              <w:rPr>
                <w:sz w:val="1"/>
                <w:szCs w:val="1"/>
                <w:color w:val="auto"/>
              </w:rPr>
            </w:pPr>
          </w:p>
        </w:tc>
      </w:tr>
      <w:tr>
        <w:trPr>
          <w:trHeight w:val="243"/>
        </w:trPr>
        <w:tc>
          <w:tcPr>
            <w:tcW w:w="4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15,121</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30,894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charges and (gains)</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(77,537)</w:t>
            </w: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(44,167)</w:t>
            </w:r>
          </w:p>
        </w:tc>
        <w:tc>
          <w:tcPr>
            <w:tcW w:w="0" w:type="dxa"/>
            <w:vAlign w:val="bottom"/>
          </w:tcPr>
          <w:p>
            <w:pPr>
              <w:spacing w:after="0"/>
              <w:rPr>
                <w:sz w:val="1"/>
                <w:szCs w:val="1"/>
                <w:color w:val="auto"/>
              </w:rPr>
            </w:pPr>
          </w:p>
        </w:tc>
      </w:tr>
      <w:tr>
        <w:trPr>
          <w:trHeight w:val="237"/>
        </w:trPr>
        <w:tc>
          <w:tcPr>
            <w:tcW w:w="4900" w:type="dxa"/>
            <w:vAlign w:val="bottom"/>
          </w:tcPr>
          <w:p>
            <w:pPr>
              <w:ind w:left="110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345,897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278,242</w:t>
            </w: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717,200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685,759</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profit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53,635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129,829</w:t>
            </w: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147,178</w:t>
            </w:r>
          </w:p>
        </w:tc>
        <w:tc>
          <w:tcPr>
            <w:tcW w:w="0" w:type="dxa"/>
            <w:vAlign w:val="bottom"/>
          </w:tcPr>
          <w:p>
            <w:pPr>
              <w:spacing w:after="0"/>
              <w:rPr>
                <w:sz w:val="1"/>
                <w:szCs w:val="1"/>
                <w:color w:val="auto"/>
              </w:rPr>
            </w:pPr>
          </w:p>
        </w:tc>
      </w:tr>
      <w:tr>
        <w:trPr>
          <w:trHeight w:val="243"/>
        </w:trPr>
        <w:tc>
          <w:tcPr>
            <w:tcW w:w="49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10,092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19,481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(1,997)</w:t>
            </w: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37"/>
        </w:trPr>
        <w:tc>
          <w:tcPr>
            <w:tcW w:w="4900" w:type="dxa"/>
            <w:vAlign w:val="bottom"/>
          </w:tcPr>
          <w:p>
            <w:pPr>
              <w:ind w:left="660"/>
              <w:spacing w:after="0"/>
              <w:rPr>
                <w:sz w:val="20"/>
                <w:szCs w:val="20"/>
                <w:color w:val="auto"/>
              </w:rPr>
            </w:pPr>
            <w:r>
              <w:rPr>
                <w:rFonts w:ascii="Arial" w:cs="Arial" w:eastAsia="Arial" w:hAnsi="Arial"/>
                <w:sz w:val="18"/>
                <w:szCs w:val="18"/>
                <w:color w:val="auto"/>
              </w:rPr>
              <w:t>Earnings before income taxes</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49,739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121,734</w:t>
            </w:r>
          </w:p>
        </w:tc>
        <w:tc>
          <w:tcPr>
            <w:tcW w:w="2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94,311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130,568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11,246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27,279</w:t>
            </w:r>
          </w:p>
        </w:tc>
        <w:tc>
          <w:tcPr>
            <w:tcW w:w="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6"/>
        </w:trPr>
        <w:tc>
          <w:tcPr>
            <w:tcW w:w="4900" w:type="dxa"/>
            <w:vAlign w:val="bottom"/>
          </w:tcPr>
          <w:p>
            <w:pPr>
              <w:ind w:left="660"/>
              <w:spacing w:after="0"/>
              <w:rPr>
                <w:sz w:val="20"/>
                <w:szCs w:val="20"/>
                <w:color w:val="auto"/>
              </w:rPr>
            </w:pPr>
            <w:r>
              <w:rPr>
                <w:rFonts w:ascii="Arial" w:cs="Arial" w:eastAsia="Arial" w:hAnsi="Arial"/>
                <w:sz w:val="18"/>
                <w:szCs w:val="18"/>
                <w:color w:val="auto"/>
              </w:rPr>
              <w:t>Net earnings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38,493</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94,455</w:t>
            </w: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87,785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101,778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vMerge w:val="continue"/>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4" w:right="339" w:bottom="1440" w:gutter="0" w:footer="0" w:header="0"/>
        </w:sect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38100</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8" w:lineRule="exact"/>
        <w:rPr>
          <w:sz w:val="20"/>
          <w:szCs w:val="20"/>
          <w:color w:val="auto"/>
        </w:rPr>
      </w:pPr>
    </w:p>
    <w:p>
      <w:pPr>
        <w:ind w:left="5500"/>
        <w:spacing w:after="0"/>
        <w:tabs>
          <w:tab w:leader="none" w:pos="704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38100</wp:posOffset>
            </wp:positionV>
            <wp:extent cx="1920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23495</wp:posOffset>
            </wp:positionV>
            <wp:extent cx="1920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5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31115</wp:posOffset>
            </wp:positionV>
            <wp:extent cx="1920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8080" w:space="720"/>
            <w:col w:w="2440"/>
          </w:cols>
          <w:pgMar w:left="320" w:top="364" w:right="339" w:bottom="1440" w:gutter="0" w:footer="0" w:header="0"/>
          <w:type w:val="continuous"/>
        </w:sect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p>
      <w:pPr>
        <w:spacing w:after="0" w:line="57" w:lineRule="exact"/>
        <w:rPr>
          <w:sz w:val="20"/>
          <w:szCs w:val="20"/>
          <w:color w:val="auto"/>
        </w:rPr>
      </w:pPr>
    </w:p>
    <w:p>
      <w:pPr>
        <w:ind w:left="20"/>
        <w:spacing w:after="0"/>
        <w:tabs>
          <w:tab w:leader="none" w:pos="4900" w:val="left"/>
        </w:tabs>
        <w:rPr>
          <w:sz w:val="20"/>
          <w:szCs w:val="20"/>
          <w:color w:val="auto"/>
        </w:rPr>
      </w:pPr>
      <w:r>
        <w:rPr>
          <w:rFonts w:ascii="Arial" w:cs="Arial" w:eastAsia="Arial" w:hAnsi="Arial"/>
          <w:sz w:val="18"/>
          <w:szCs w:val="18"/>
          <w:color w:val="auto"/>
        </w:rPr>
        <w:t>Net earnings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50" w:lineRule="exact"/>
        <w:rPr>
          <w:sz w:val="20"/>
          <w:szCs w:val="20"/>
          <w:color w:val="auto"/>
        </w:rPr>
      </w:pPr>
    </w:p>
    <w:p>
      <w:pPr>
        <w:ind w:left="360" w:right="240"/>
        <w:spacing w:after="0" w:line="224" w:lineRule="auto"/>
        <w:rPr>
          <w:sz w:val="20"/>
          <w:szCs w:val="20"/>
          <w:color w:val="auto"/>
        </w:rPr>
      </w:pPr>
      <w:r>
        <w:rPr>
          <w:rFonts w:ascii="Arial" w:cs="Arial" w:eastAsia="Arial" w:hAnsi="Arial"/>
          <w:sz w:val="18"/>
          <w:szCs w:val="18"/>
          <w:color w:val="auto"/>
        </w:rPr>
        <w:t>Foreign currency translation adjustments, net of tax of $5 and $(57), $(1,034) and $81 for the three and six months ended June 30, 2020 and 2019, respectively</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38,493</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94,455</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ind w:left="340"/>
              <w:spacing w:after="0"/>
              <w:rPr>
                <w:sz w:val="20"/>
                <w:szCs w:val="20"/>
                <w:color w:val="auto"/>
              </w:rPr>
            </w:pPr>
            <w:r>
              <w:rPr>
                <w:rFonts w:ascii="Arial" w:cs="Arial" w:eastAsia="Arial" w:hAnsi="Arial"/>
                <w:sz w:val="18"/>
                <w:szCs w:val="18"/>
                <w:color w:val="auto"/>
              </w:rPr>
              <w:t>87,785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101,778</w:t>
            </w:r>
          </w:p>
        </w:tc>
      </w:tr>
      <w:tr>
        <w:trPr>
          <w:trHeight w:val="851"/>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(217)</w:t>
            </w:r>
          </w:p>
        </w:tc>
        <w:tc>
          <w:tcPr>
            <w:tcW w:w="66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(3,889)</w:t>
            </w: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-351155</wp:posOffset>
            </wp:positionV>
            <wp:extent cx="713232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020" w:space="700"/>
            <w:col w:w="55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49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304</w:t>
            </w:r>
          </w:p>
        </w:tc>
      </w:tr>
      <w:tr>
        <w:trPr>
          <w:trHeight w:val="295"/>
        </w:trPr>
        <w:tc>
          <w:tcPr>
            <w:tcW w:w="49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38,510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94,238</w:t>
            </w:r>
          </w:p>
        </w:tc>
        <w:tc>
          <w:tcPr>
            <w:tcW w:w="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83,896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102,082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par value data)</w:t>
            </w:r>
          </w:p>
        </w:tc>
        <w:tc>
          <w:tcPr>
            <w:tcW w:w="260" w:type="dxa"/>
            <w:vAlign w:val="bottom"/>
          </w:tcPr>
          <w:p>
            <w:pPr>
              <w:spacing w:after="0"/>
              <w:rPr>
                <w:sz w:val="17"/>
                <w:szCs w:val="17"/>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Unaudited</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206,426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70,494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Receivables, net of allowance for doubtful accounts of $8,238 and $5,601 in 2020 and 2019,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84,123</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33,853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46,043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merchandise, net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40"/>
              <w:spacing w:after="0"/>
              <w:rPr>
                <w:sz w:val="20"/>
                <w:szCs w:val="20"/>
                <w:color w:val="auto"/>
              </w:rPr>
            </w:pPr>
            <w:r>
              <w:rPr>
                <w:rFonts w:ascii="Arial" w:cs="Arial" w:eastAsia="Arial" w:hAnsi="Arial"/>
                <w:sz w:val="18"/>
                <w:szCs w:val="18"/>
                <w:color w:val="auto"/>
              </w:rPr>
              <w:t>On rent</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645,522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697,270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Held for rent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138,418</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Merchandise held for installment sale</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Property assets, net of accumulated depreciation of $538,774 and $522,826 in 2020 and 2019,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151,431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166,138</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273,143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281,566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14,889</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70,217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36"/>
        </w:trPr>
        <w:tc>
          <w:tcPr>
            <w:tcW w:w="778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1,576,628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1,582,798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145,870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168,120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275,777</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281,344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285,041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166,165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163,984</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Senior debt, net</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190,708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230,913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1,090,052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1,123,835</w:t>
            </w:r>
          </w:p>
        </w:tc>
        <w:tc>
          <w:tcPr>
            <w:tcW w:w="0" w:type="dxa"/>
            <w:vAlign w:val="bottom"/>
          </w:tcPr>
          <w:p>
            <w:pPr>
              <w:spacing w:after="0"/>
              <w:rPr>
                <w:sz w:val="1"/>
                <w:szCs w:val="1"/>
                <w:color w:val="auto"/>
              </w:rPr>
            </w:pPr>
          </w:p>
        </w:tc>
      </w:tr>
      <w:tr>
        <w:trPr>
          <w:trHeight w:val="243"/>
        </w:trPr>
        <w:tc>
          <w:tcPr>
            <w:tcW w:w="778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Common stock, $0.01 par value; 250,000,000 shares authorized; 111,711,051 and 111,166,229 shares</w:t>
            </w:r>
          </w:p>
        </w:tc>
        <w:tc>
          <w:tcPr>
            <w:tcW w:w="2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 in 2020 and 2019, respectively</w:t>
            </w:r>
          </w:p>
        </w:tc>
        <w:tc>
          <w:tcPr>
            <w:tcW w:w="2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871,915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869,617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1,003,599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947,875</w:t>
            </w:r>
          </w:p>
        </w:tc>
        <w:tc>
          <w:tcPr>
            <w:tcW w:w="0" w:type="dxa"/>
            <w:vAlign w:val="bottom"/>
          </w:tcPr>
          <w:p>
            <w:pPr>
              <w:spacing w:after="0"/>
              <w:rPr>
                <w:sz w:val="1"/>
                <w:szCs w:val="1"/>
                <w:color w:val="auto"/>
              </w:rPr>
            </w:pP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Treasury stock at cost, 57,889,659 and 56,428,482 shares in 2020 and 2019, respectively</w:t>
            </w:r>
          </w:p>
        </w:tc>
        <w:tc>
          <w:tcPr>
            <w:tcW w:w="2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(1,375,480)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(1,348,969)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37"/>
        </w:trPr>
        <w:tc>
          <w:tcPr>
            <w:tcW w:w="77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486,576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458,963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1,576,628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1,582,798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0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980" w:type="dxa"/>
            <w:vAlign w:val="bottom"/>
            <w:gridSpan w:val="2"/>
            <w:vMerge w:val="restart"/>
          </w:tcPr>
          <w:p>
            <w:pPr>
              <w:ind w:left="60"/>
              <w:spacing w:after="0" w:line="126"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1060" w:type="dxa"/>
            <w:vAlign w:val="bottom"/>
            <w:gridSpan w:val="2"/>
            <w:vMerge w:val="restart"/>
          </w:tcPr>
          <w:p>
            <w:pPr>
              <w:ind w:left="100"/>
              <w:spacing w:after="0" w:line="126"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869,617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947,875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(1,348,969)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458,963</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Adoption of ASU 2016-13</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49,292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49,292</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 of treasury stock</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23"/>
        </w:trPr>
        <w:tc>
          <w:tcPr>
            <w:tcW w:w="29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Vesting of restricted share units</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80" w:type="dxa"/>
            <w:vAlign w:val="bottom"/>
          </w:tcPr>
          <w:p>
            <w:pPr>
              <w:ind w:left="120"/>
              <w:spacing w:after="0"/>
              <w:rPr>
                <w:sz w:val="20"/>
                <w:szCs w:val="20"/>
                <w:color w:val="auto"/>
              </w:rPr>
            </w:pPr>
            <w:r>
              <w:rPr>
                <w:rFonts w:ascii="Arial" w:cs="Arial" w:eastAsia="Arial" w:hAnsi="Arial"/>
                <w:sz w:val="16"/>
                <w:szCs w:val="16"/>
                <w:color w:val="auto"/>
              </w:rPr>
              <w:t>Tax effect of stock awards vested and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120"/>
              <w:spacing w:after="0"/>
              <w:rPr>
                <w:sz w:val="20"/>
                <w:szCs w:val="20"/>
                <w:color w:val="auto"/>
              </w:rPr>
            </w:pPr>
            <w:r>
              <w:rPr>
                <w:rFonts w:ascii="Arial" w:cs="Arial" w:eastAsia="Arial" w:hAnsi="Arial"/>
                <w:sz w:val="16"/>
                <w:szCs w:val="16"/>
                <w:color w:val="auto"/>
              </w:rPr>
              <w:t>options exercised</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3,043</w:t>
            </w: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111,669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868,580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996,398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(1,375,480)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(14,576)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476,023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38,493</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ind w:left="86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declared</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(31,292)</w:t>
            </w: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111,711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871,915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98"/>
              </w:rPr>
              <w:t>1,003,599</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(1,375,480)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486,576</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64" w:right="3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0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4"/>
                <w:szCs w:val="4"/>
                <w:color w:val="auto"/>
              </w:rPr>
            </w:pPr>
          </w:p>
        </w:tc>
        <w:tc>
          <w:tcPr>
            <w:tcW w:w="980" w:type="dxa"/>
            <w:vAlign w:val="bottom"/>
            <w:gridSpan w:val="2"/>
            <w:vMerge w:val="restart"/>
          </w:tcPr>
          <w:p>
            <w:pPr>
              <w:ind w:left="60"/>
              <w:spacing w:after="0" w:line="126"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1060" w:type="dxa"/>
            <w:vAlign w:val="bottom"/>
            <w:gridSpan w:val="2"/>
            <w:vMerge w:val="restart"/>
          </w:tcPr>
          <w:p>
            <w:pPr>
              <w:ind w:left="100"/>
              <w:spacing w:after="0" w:line="126"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838,436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805,924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(1,347,677)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286,517</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ASC 842 adoption</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earnings</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223"/>
        </w:trPr>
        <w:tc>
          <w:tcPr>
            <w:tcW w:w="298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2,892</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Vesting of restricted share units</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effect of stock awards vested and</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options exercised</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110,412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840,298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811,271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(1,347,677)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294,252</w:t>
            </w:r>
          </w:p>
        </w:tc>
        <w:tc>
          <w:tcPr>
            <w:tcW w:w="0" w:type="dxa"/>
            <w:vAlign w:val="bottom"/>
          </w:tcPr>
          <w:p>
            <w:pPr>
              <w:spacing w:after="0"/>
              <w:rPr>
                <w:sz w:val="1"/>
                <w:szCs w:val="1"/>
                <w:color w:val="auto"/>
              </w:rPr>
            </w:pPr>
          </w:p>
        </w:tc>
      </w:tr>
      <w:tr>
        <w:trPr>
          <w:trHeight w:val="223"/>
        </w:trPr>
        <w:tc>
          <w:tcPr>
            <w:tcW w:w="298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94,455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loss</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24"/>
        </w:trPr>
        <w:tc>
          <w:tcPr>
            <w:tcW w:w="2980" w:type="dxa"/>
            <w:vAlign w:val="bottom"/>
          </w:tcPr>
          <w:p>
            <w:pPr>
              <w:ind w:left="1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Vesting of restricted share units</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9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110,562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843,697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905,726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(1,347,677)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391,890</w:t>
            </w:r>
          </w:p>
        </w:tc>
        <w:tc>
          <w:tcPr>
            <w:tcW w:w="0" w:type="dxa"/>
            <w:vAlign w:val="bottom"/>
          </w:tcPr>
          <w:p>
            <w:pPr>
              <w:spacing w:after="0"/>
              <w:rPr>
                <w:sz w:val="1"/>
                <w:szCs w:val="1"/>
                <w:color w:val="auto"/>
              </w:rPr>
            </w:pPr>
          </w:p>
        </w:tc>
      </w:tr>
      <w:tr>
        <w:trPr>
          <w:trHeight w:val="33"/>
        </w:trPr>
        <w:tc>
          <w:tcPr>
            <w:tcW w:w="29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64"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183"/>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87,785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101,778</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Depreciation of rental merchandise</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310,810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309,211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5,978</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5,892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2,691</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Depreciation of property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30,809</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Loss on sale or disposal of property assets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1,472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Amortization of financing fees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1,958</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10,814</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Rental merchandise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(253,259)</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(2,995)</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15,384</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Operating lease right-of-use assets and lease liabilities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4,726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5,868</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 – trade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(18,182)</w:t>
            </w:r>
          </w:p>
        </w:tc>
      </w:tr>
      <w:tr>
        <w:trPr>
          <w:trHeight w:val="243"/>
        </w:trPr>
        <w:tc>
          <w:tcPr>
            <w:tcW w:w="8180" w:type="dxa"/>
            <w:vAlign w:val="bottom"/>
          </w:tcPr>
          <w:p>
            <w:pPr>
              <w:ind w:left="6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27,543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(26,194)</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254,719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185,418</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property assets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Proceeds from sale of property assets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13,792</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Hurricane insurance recovery proceeds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995</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Acquisitions of businesses</w:t>
            </w:r>
          </w:p>
        </w:tc>
        <w:tc>
          <w:tcPr>
            <w:tcW w:w="3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w:t>
            </w:r>
          </w:p>
        </w:tc>
      </w:tr>
      <w:tr>
        <w:trPr>
          <w:trHeight w:val="27"/>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9,544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4,310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withheld for payment of employee tax withholdings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(157)</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debt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5,400</w:t>
            </w:r>
          </w:p>
        </w:tc>
      </w:tr>
      <w:tr>
        <w:trPr>
          <w:trHeight w:val="243"/>
        </w:trPr>
        <w:tc>
          <w:tcPr>
            <w:tcW w:w="8180" w:type="dxa"/>
            <w:vAlign w:val="bottom"/>
          </w:tcPr>
          <w:p>
            <w:pPr>
              <w:ind w:left="340"/>
              <w:spacing w:after="0"/>
              <w:rPr>
                <w:sz w:val="20"/>
                <w:szCs w:val="20"/>
                <w:color w:val="auto"/>
              </w:rPr>
            </w:pPr>
            <w:r>
              <w:rPr>
                <w:rFonts w:ascii="Arial" w:cs="Arial" w:eastAsia="Arial" w:hAnsi="Arial"/>
                <w:sz w:val="18"/>
                <w:szCs w:val="18"/>
                <w:color w:val="auto"/>
              </w:rPr>
              <w:t>Repayments of debt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(5,400)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180" w:type="dxa"/>
            <w:vAlign w:val="bottom"/>
          </w:tcPr>
          <w:p>
            <w:pPr>
              <w:ind w:left="86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(102,653)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2,420</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366</w:t>
            </w:r>
          </w:p>
        </w:tc>
      </w:tr>
      <w:tr>
        <w:trPr>
          <w:trHeight w:val="236"/>
        </w:trPr>
        <w:tc>
          <w:tcPr>
            <w:tcW w:w="8180" w:type="dxa"/>
            <w:vAlign w:val="bottom"/>
          </w:tcPr>
          <w:p>
            <w:pPr>
              <w:ind w:left="86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135,932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197,748</w:t>
            </w: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155,391</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206,426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353,139</w:t>
            </w:r>
          </w:p>
        </w:tc>
      </w:tr>
      <w:tr>
        <w:trPr>
          <w:trHeight w:val="27"/>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interim condensed consolidated financial statements of Rent-A-Center,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2019.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first quarter of 2020, the respiratory disease caused by a novel coronavirus (“COVID-19”) began to spread worldwide causing the World Health Organization to declare the outbreak a pandemic, and resulting in significant disruptions to the U.S. and world economies. In response to the issuance of U.S. federal guidelines to contain the spread of the COVID-19 virus, state and local jurisdictions implemented various containment measures, including temporary shelter-in-place orders and closure of non-essential businesses. The effects of these containment measures negatively impacted our operations resulting in the temporary or partial closure of certain locations in all of our U.S. operating segments during the first half of 2020. In addition, certain of our Mexico locations were also temporarily closed in accordance with jurisdictional ordinances issued in Mexico. In response to these restrictions and negative impacts to our operations, we implemented certain measures to reduce operating expenses and cash flow uses in order to mitigate these effects. In addition, we implemented additional electronic payment methods for our Rent-A-Center Business customers.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pandemic is ongoing and uncertainties remain that may not allow us to accurately predict the full impact that COVID-19 will ultimately have on our business, as of June 30, 2020, all locations in our Rent-A-Center Business, Franchising and Mexico operating segments, and staffed Preferred Lease locations temporarily or partially closed at the onset of the pandemic have reopened and are fully operational.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of the COVID-19 pandemic, may affect certain estimates and assumptions inherent in the financial reporting process, which may impact reported amounts of assets and liabilities in future periods and cause actual results to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“we,” “us” and “our” refer to the consolidated business operations of Rent-A-Center and any or all of its direct and indirect subsidiaries. We report four operating segments: Rent-A-Center Business, Preferred Lease, Mexico and Franchising.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Preferred Lease segment, which operates in the United States and Puerto Rico, and includes the operations of Merchants Preferred (as defined in Note 2 below) acquired in August 2019, generally offers the lease-to-own transaction to consumers who do not qualify for financing from the traditional retailer through kiosks located within such retailer's locations, including staffed options, unstaffed or virtual options, or a combination of the two (the hybrid model). The hybrid model can be staffed by a Preferred Lease employee (staffed locations) or employ a virtual solution where customers, either directly or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assistance of a representative of the third-party retailer, initiate the lease-to-own transaction online in the retailers' locations using our virtual solutions (virtual locations).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Rent-A-Center Franchising International, Inc., an indirect, wholly owned subsidiary of Rent-A-Center, is a franchisor of lease-to-own stores.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xml:space="preserve"> which requires immediate recognition of estimated current expected credit losses, rather than recognition when incurred. We adopted ASU 2016-13 and all related amendments, including ASU 2020-02 and ASU 2020-03, beginning January 1, 2020, using a modified retrospective approach. Under such approach, we recognized a cumulative-effect of the guidance as an adjustment to the opening balance of retained earnings for the quarter ended March 31, 2020. The application of this new methodology is limited to our installment notes receivables and trade receivables with our franchisees, primarily related to merchandise sales. The comparative information has not been restated and continues to be reported under the accounting standards in effect for periods ending prior to January 1, 2020.</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 as of January 1, 2020 resulting from the adoption of ASU 2016-13 and related amendments was a net decrease to opening retained earnings in our condensed consolidated balance sheet of $0.8 million. See Note 4 for additional information regarding our trade and note receivables and related allowances for doubtful accounts.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simplifies the subsequent measurement of goodwill by eliminating the hypothetical purchase price allocation and instead using the difference between the carrying amount and the fair value of the reporting unit. We adopted ASU 2017-04 beginning January 1, 2020, using a prospective approach. There was no impact on our financial statements for the six months ended June 30, 2020 resulting from the adoption of this ASU.</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which removes, modifies, and adds certain disclosure requirements in ASC 820, to improve the effectiveness of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disclosures. We adopted ASU 2018-13 beginning January 1, 2020, using a prospective approach. There was no impact on our financial statements for the six months ended June 30, 2020 resulting from the adoption of this ASU.</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w:t>
      </w:r>
      <w:r>
        <w:rPr>
          <w:rFonts w:ascii="Arial" w:cs="Arial" w:eastAsia="Arial" w:hAnsi="Arial"/>
          <w:sz w:val="18"/>
          <w:szCs w:val="18"/>
          <w:color w:val="auto"/>
        </w:rPr>
        <w:t>which requires implementation costs incurred by customers in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to be deferred and recognized over the term of the arrangement, if those costs would be capitalized by the customer in a software licensing agreement under the internal-use software guidance in ASC 350-40. We adopted ASU 2018-15 beginning January 1, 2020, using a prospective approach. Impacts to our financial statements resulting from the adoption of this ASU were immaterial to our financial statements for the six months ended June 30,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13, 2019, we completed the acquisition of substantially all of the assets of C/C Financial Corp. dba Merchants Preferred ("Merchants Preferred"), a nationwide provider of virtual lease-to-own services. The aggregate purchase price was approximately $46.4 million, including net cash consideration of approximately $28.0 million, and 701,918 shares of our common stock valued at $27.31 per share, as of the date of closing, less working capital adjustments of approximately $0.9 million.</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final estimated fair values of the identifiable assets acquired and liabilities assumed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August 13, 2019</w:t>
            </w: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1,813</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154</w:t>
            </w: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merchandise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17,904</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4,300</w:t>
            </w: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404</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8,900</w:t>
            </w:r>
          </w:p>
        </w:tc>
      </w:tr>
      <w:tr>
        <w:trPr>
          <w:trHeight w:val="27"/>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13,403</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(487)</w:t>
            </w:r>
          </w:p>
        </w:tc>
      </w:tr>
      <w:tr>
        <w:trPr>
          <w:trHeight w:val="27"/>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9"/>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identifiable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46,391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measurements were primarily based on significant unobservable inputs (level 3) developed using company-specific information. Certain fair value estimates were determined based on an independent valuation of the net assets acquired, including identifiable intangible assets, relating to dealer relationships of $8.9 million, and software of $4.3 million. The fair value for dealer relationships and software were estimated using common industry valuation methods for similar asset types, based primarily on cost inputs and projected cash flows. The dealer relationships and software assets were both assigned remaining lives of 10 years.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recorded goodwill of $13.4 million, which consists of the excess of the net purchase price over the fair value of the net assets acquired. The goodwill is not deductible for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for the periods ended June 30, 2020 and 2019:</w:t>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23495</wp:posOffset>
            </wp:positionV>
            <wp:extent cx="4594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9486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Mexico</w:t>
            </w:r>
          </w:p>
        </w:tc>
        <w:tc>
          <w:tcPr>
            <w:tcW w:w="22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14"/>
                <w:szCs w:val="14"/>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385,338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139,440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9,959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534,737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51,690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108,080</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17,643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459,192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191,243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661,235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18,047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459,192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191,243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22,700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683,746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14"/>
              <w:spacing w:after="0"/>
              <w:rPr>
                <w:sz w:val="20"/>
                <w:szCs w:val="20"/>
                <w:color w:val="auto"/>
              </w:rPr>
            </w:pPr>
            <w:r>
              <w:rPr>
                <w:rFonts w:ascii="Arial" w:cs="Arial" w:eastAsia="Arial" w:hAnsi="Arial"/>
                <w:sz w:val="14"/>
                <w:szCs w:val="14"/>
                <w:b w:val="1"/>
                <w:bCs w:val="1"/>
                <w:color w:val="auto"/>
                <w:w w:val="92"/>
              </w:rPr>
              <w:t>Six Months Ended June 30, 2020</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320" w:type="dxa"/>
            <w:vAlign w:val="bottom"/>
          </w:tcPr>
          <w:p>
            <w:pPr>
              <w:spacing w:after="0"/>
              <w:rPr>
                <w:sz w:val="21"/>
                <w:szCs w:val="2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778,503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301,438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22,796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1,102,737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105,678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209,460</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32,390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32,390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914,157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407,370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1,346,084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63"/>
        </w:trPr>
        <w:tc>
          <w:tcPr>
            <w:tcW w:w="40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914,157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407,370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40,001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1,385,685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34"/>
              <w:spacing w:after="0"/>
              <w:rPr>
                <w:sz w:val="20"/>
                <w:szCs w:val="20"/>
                <w:color w:val="auto"/>
              </w:rPr>
            </w:pPr>
            <w:r>
              <w:rPr>
                <w:rFonts w:ascii="Arial" w:cs="Arial" w:eastAsia="Arial" w:hAnsi="Arial"/>
                <w:sz w:val="14"/>
                <w:szCs w:val="14"/>
                <w:b w:val="1"/>
                <w:bCs w:val="1"/>
                <w:color w:val="auto"/>
                <w:w w:val="93"/>
              </w:rPr>
              <w:t>Three Months Ended June 30, 2019</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320" w:type="dxa"/>
            <w:vAlign w:val="bottom"/>
          </w:tcPr>
          <w:p>
            <w:pPr>
              <w:spacing w:after="0"/>
              <w:rPr>
                <w:sz w:val="21"/>
                <w:szCs w:val="2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399,799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139,104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12,777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551,680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70,842</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17,270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17,270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451,096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176,389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641,036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10,673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64"/>
        </w:trPr>
        <w:tc>
          <w:tcPr>
            <w:tcW w:w="40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451,096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176,389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14,889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655,925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4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814"/>
              <w:spacing w:after="0"/>
              <w:rPr>
                <w:sz w:val="20"/>
                <w:szCs w:val="20"/>
                <w:color w:val="auto"/>
              </w:rPr>
            </w:pPr>
            <w:r>
              <w:rPr>
                <w:rFonts w:ascii="Arial" w:cs="Arial" w:eastAsia="Arial" w:hAnsi="Arial"/>
                <w:sz w:val="14"/>
                <w:szCs w:val="14"/>
                <w:b w:val="1"/>
                <w:bCs w:val="1"/>
                <w:color w:val="auto"/>
                <w:w w:val="92"/>
              </w:rPr>
              <w:t>Six Months Ended June 30, 2019</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21"/>
                <w:szCs w:val="2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80" w:type="dxa"/>
            <w:vAlign w:val="bottom"/>
          </w:tcPr>
          <w:p>
            <w:pPr>
              <w:spacing w:after="0"/>
              <w:rPr>
                <w:sz w:val="21"/>
                <w:szCs w:val="21"/>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Mexico</w:t>
            </w:r>
          </w:p>
        </w:tc>
        <w:tc>
          <w:tcPr>
            <w:tcW w:w="320" w:type="dxa"/>
            <w:vAlign w:val="bottom"/>
          </w:tcPr>
          <w:p>
            <w:pPr>
              <w:spacing w:after="0"/>
              <w:rPr>
                <w:sz w:val="21"/>
                <w:szCs w:val="2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21"/>
                <w:szCs w:val="2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807,379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282,297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25,358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1,115,034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90,296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175,312</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32,706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8"/>
                <w:szCs w:val="18"/>
                <w:color w:val="auto"/>
              </w:rPr>
              <w:t>Total store revenues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925,153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372,911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26,896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1,324,960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19,129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Royalty income and fees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63"/>
        </w:trPr>
        <w:tc>
          <w:tcPr>
            <w:tcW w:w="400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925,153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372,911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26,896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27,659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1,352,619</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Rental payments received at our Rent-A-Center Business, Preferred Lease (excluding virtual) and Mexico locations must be prepaid in advance of the next rental term. Under the virtual business model, revenues are earned prior to the rental payment due date. Therefore, virtual business revenue is accrued prior to receipt of the rental payment, net of estimated returns and uncollectible renewal payments. Under both models, rental revenue is recognized over the rental term. See Note 4 for additional information regarding accrued rental revenue and the related allowances for returns and uncollectible payments.</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received for rental payments, including fees, prior to the period in which it should be recognized, is deferred and recognized according to the rental term. At June 30, 2020 and December 31, 2019, we had $42.5 million and $39.9 million, respectively, in deferred revenue included in accrued liabilities related to our rental purchase agreements. Revenue related to various payment, reinstatement or late fees is recognized when paid by the customer at the point service is provided. Rental merchandise is depreciated using the income forecasting method and is recognized in cost of sales over the rental term.</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Installment Sales. </w:t>
      </w:r>
      <w:r>
        <w:rPr>
          <w:rFonts w:ascii="Arial" w:cs="Arial" w:eastAsia="Arial" w:hAnsi="Arial"/>
          <w:sz w:val="16"/>
          <w:szCs w:val="16"/>
          <w:color w:val="auto"/>
        </w:rPr>
        <w:t>Revenue from the sale of merchandise in our retail installment stores is recognized when the installment note is signed and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has passed to the customer. The cost of merchandise sold through installment agreements is recognized in cost of sales at the time of the transaction. We offer extended service plans with our installment 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both June 30, 2020 and December 31, 2019, we had $2.9 million in deferred revenue included in accrued liabilities related to extended service plans.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primarily consists of other miscellaneous product plans offered to our rental and installment customers. Revenue for other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30, 2020 and December 31, 2019, we had $4.2 million and $4.5 million, respectively, in deferred revenue included in accrued liabilities related to franchise fees.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and Allowance for Doubtful Accounts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six months ended June 30, 2020 was $5.6 million.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and notes receivables consist primarily of amounts owed from our franchisees for inventory purchases, earned royalties and other obligations; and other corporate related receivables. Credit is extended based on an evaluation of a franchisee’s financial condition and collateral is generally not required. Trade receivables are generally due within 30 days.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Installment sales receivables</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56,687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56,370</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Trade and notes receivables</w:t>
            </w:r>
          </w:p>
        </w:tc>
        <w:tc>
          <w:tcPr>
            <w:tcW w:w="260" w:type="dxa"/>
            <w:vAlign w:val="bottom"/>
          </w:tcPr>
          <w:p>
            <w:pPr>
              <w:spacing w:after="0"/>
              <w:rPr>
                <w:sz w:val="19"/>
                <w:szCs w:val="19"/>
                <w:color w:val="auto"/>
              </w:rPr>
            </w:pPr>
          </w:p>
        </w:tc>
        <w:tc>
          <w:tcPr>
            <w:tcW w:w="1400" w:type="dxa"/>
            <w:vAlign w:val="bottom"/>
          </w:tcPr>
          <w:p>
            <w:pPr>
              <w:ind w:left="820"/>
              <w:spacing w:after="0"/>
              <w:rPr>
                <w:sz w:val="20"/>
                <w:szCs w:val="20"/>
                <w:color w:val="auto"/>
              </w:rPr>
            </w:pPr>
            <w:r>
              <w:rPr>
                <w:rFonts w:ascii="Arial" w:cs="Arial" w:eastAsia="Arial" w:hAnsi="Arial"/>
                <w:sz w:val="16"/>
                <w:szCs w:val="16"/>
                <w:color w:val="auto"/>
              </w:rPr>
              <w:t>28,534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ind w:left="900"/>
              <w:spacing w:after="0"/>
              <w:rPr>
                <w:sz w:val="20"/>
                <w:szCs w:val="20"/>
                <w:color w:val="auto"/>
              </w:rPr>
            </w:pPr>
            <w:r>
              <w:rPr>
                <w:rFonts w:ascii="Arial" w:cs="Arial" w:eastAsia="Arial" w:hAnsi="Arial"/>
                <w:sz w:val="16"/>
                <w:szCs w:val="16"/>
                <w:color w:val="auto"/>
              </w:rPr>
              <w:t>33,354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receivables</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85,221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89,724</w:t>
            </w:r>
          </w:p>
        </w:tc>
      </w:tr>
      <w:tr>
        <w:trPr>
          <w:trHeight w:val="224"/>
        </w:trPr>
        <w:tc>
          <w:tcPr>
            <w:tcW w:w="778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260" w:type="dxa"/>
            <w:vAlign w:val="bottom"/>
          </w:tcPr>
          <w:p>
            <w:pPr>
              <w:spacing w:after="0"/>
              <w:rPr>
                <w:sz w:val="19"/>
                <w:szCs w:val="19"/>
                <w:color w:val="auto"/>
              </w:rPr>
            </w:pPr>
          </w:p>
        </w:tc>
        <w:tc>
          <w:tcPr>
            <w:tcW w:w="1400" w:type="dxa"/>
            <w:vAlign w:val="bottom"/>
          </w:tcPr>
          <w:p>
            <w:pPr>
              <w:ind w:left="820"/>
              <w:spacing w:after="0"/>
              <w:rPr>
                <w:sz w:val="20"/>
                <w:szCs w:val="20"/>
                <w:color w:val="auto"/>
              </w:rPr>
            </w:pPr>
            <w:r>
              <w:rPr>
                <w:rFonts w:ascii="Arial" w:cs="Arial" w:eastAsia="Arial" w:hAnsi="Arial"/>
                <w:sz w:val="16"/>
                <w:szCs w:val="16"/>
                <w:color w:val="auto"/>
              </w:rPr>
              <w:t>(8,238)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ind w:left="920"/>
              <w:spacing w:after="0"/>
              <w:rPr>
                <w:sz w:val="20"/>
                <w:szCs w:val="20"/>
                <w:color w:val="auto"/>
              </w:rPr>
            </w:pPr>
            <w:r>
              <w:rPr>
                <w:rFonts w:ascii="Arial" w:cs="Arial" w:eastAsia="Arial" w:hAnsi="Arial"/>
                <w:sz w:val="16"/>
                <w:szCs w:val="16"/>
                <w:color w:val="auto"/>
              </w:rPr>
              <w:t>(5,601)</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2"/>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receivables, net of allowance for doubtful accounts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76,983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84,123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doubtful accounts related to trade and notes receivable was $1.4 million and $1.5 million at June 30, 2020 and December 31, 2019, respectively. The allowance for doubtful accounts related to installment sales receivable was $6.8 million and $4.1 million at June 30, 2020 and December 31,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June 30, 2020</w:t>
            </w:r>
          </w:p>
        </w:tc>
      </w:tr>
      <w:tr>
        <w:trPr>
          <w:trHeight w:val="236"/>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5,601</w:t>
            </w:r>
          </w:p>
        </w:tc>
      </w:tr>
      <w:tr>
        <w:trPr>
          <w:trHeight w:val="256"/>
        </w:trPr>
        <w:tc>
          <w:tcPr>
            <w:tcW w:w="9580" w:type="dxa"/>
            <w:vAlign w:val="bottom"/>
          </w:tcPr>
          <w:p>
            <w:pPr>
              <w:ind w:left="140"/>
              <w:spacing w:after="0"/>
              <w:rPr>
                <w:sz w:val="20"/>
                <w:szCs w:val="20"/>
                <w:color w:val="auto"/>
              </w:rPr>
            </w:pPr>
            <w:r>
              <w:rPr>
                <w:rFonts w:ascii="Arial" w:cs="Arial" w:eastAsia="Arial" w:hAnsi="Arial"/>
                <w:sz w:val="16"/>
                <w:szCs w:val="16"/>
                <w:color w:val="auto"/>
              </w:rPr>
              <w:t xml:space="preserve">Bad debt expense </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7,900</w:t>
            </w:r>
          </w:p>
        </w:tc>
      </w:tr>
      <w:tr>
        <w:trPr>
          <w:trHeight w:val="237"/>
        </w:trPr>
        <w:tc>
          <w:tcPr>
            <w:tcW w:w="9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written off</w:t>
            </w: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(5,620)</w:t>
            </w:r>
          </w:p>
        </w:tc>
      </w:tr>
      <w:tr>
        <w:trPr>
          <w:trHeight w:val="223"/>
        </w:trPr>
        <w:tc>
          <w:tcPr>
            <w:tcW w:w="9580" w:type="dxa"/>
            <w:vAlign w:val="bottom"/>
          </w:tcPr>
          <w:p>
            <w:pPr>
              <w:ind w:left="120"/>
              <w:spacing w:after="0"/>
              <w:rPr>
                <w:sz w:val="20"/>
                <w:szCs w:val="20"/>
                <w:color w:val="auto"/>
              </w:rPr>
            </w:pPr>
            <w:r>
              <w:rPr>
                <w:rFonts w:ascii="Arial" w:cs="Arial" w:eastAsia="Arial" w:hAnsi="Arial"/>
                <w:sz w:val="16"/>
                <w:szCs w:val="16"/>
                <w:color w:val="auto"/>
              </w:rPr>
              <w:t>Recoveries</w:t>
            </w:r>
          </w:p>
        </w:tc>
        <w:tc>
          <w:tcPr>
            <w:tcW w:w="260" w:type="dxa"/>
            <w:vAlign w:val="bottom"/>
          </w:tcPr>
          <w:p>
            <w:pPr>
              <w:spacing w:after="0"/>
              <w:rPr>
                <w:sz w:val="19"/>
                <w:szCs w:val="19"/>
                <w:color w:val="auto"/>
              </w:rPr>
            </w:pP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357</w:t>
            </w:r>
          </w:p>
        </w:tc>
      </w:tr>
      <w:tr>
        <w:trPr>
          <w:trHeight w:val="33"/>
        </w:trPr>
        <w:tc>
          <w:tcPr>
            <w:tcW w:w="9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2"/>
        </w:trPr>
        <w:tc>
          <w:tcPr>
            <w:tcW w:w="9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Ending allowance for doubtful accounts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8,238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Uncollectible installment payments, franchisee obligations, and other corporate receivables are recognized in other store operating expenses in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We evaluate all leases to determine if it is likely that we will exercise future renewal options and in most cases we are not reasonably certain of exercise due to competing market rental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lack of significant penalty or business disruption incurred by not exercising the renewal options. We include month-to-month leases in operating lease right-of-use assets and operating lease liabilities in our condensed consolidated balance sheet. In certain situations involving the sale of a Rent-A-Center Business corporate store to a franchisee, we enter into lease a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2022 with rental rates adjusted periodically for inflation. Finally, we have a minimal number of equipment leases, primarily related to temporary storage and certain back office technology hardware assets.</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all of the leases described above, we have elected not to separate the lease and non-lease components and account for these as a single component. We have also elected to use the practical expedients that remove the requirement to reassess whether expired or existing contracts contain leases and the requirement to reassess the lease classification for any existing leases prior to our adoption of ASU 2016-02.</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6"/>
                <w:szCs w:val="16"/>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09"/>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18"/>
                <w:szCs w:val="18"/>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June 30, 2019</w:t>
            </w:r>
          </w:p>
        </w:tc>
        <w:tc>
          <w:tcPr>
            <w:tcW w:w="200" w:type="dxa"/>
            <w:vAlign w:val="bottom"/>
          </w:tcPr>
          <w:p>
            <w:pPr>
              <w:spacing w:after="0"/>
              <w:rPr>
                <w:sz w:val="18"/>
                <w:szCs w:val="18"/>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8"/>
                <w:szCs w:val="18"/>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61"/>
        </w:trPr>
        <w:tc>
          <w:tcPr>
            <w:tcW w:w="39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Operating lease cost included in other store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shd w:val="clear" w:color="auto" w:fill="CCEEFF"/>
          </w:tcPr>
          <w:p>
            <w:pPr>
              <w:jc w:val="right"/>
              <w:ind w:right="76"/>
              <w:spacing w:after="0"/>
              <w:rPr>
                <w:sz w:val="20"/>
                <w:szCs w:val="20"/>
                <w:color w:val="auto"/>
              </w:rPr>
            </w:pPr>
            <w:r>
              <w:rPr>
                <w:rFonts w:ascii="Arial" w:cs="Arial" w:eastAsia="Arial" w:hAnsi="Arial"/>
                <w:sz w:val="18"/>
                <w:szCs w:val="18"/>
                <w:color w:val="auto"/>
              </w:rPr>
              <w:t>34,438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38,232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71,877</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74,785</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(1)</w:t>
            </w:r>
          </w:p>
        </w:tc>
        <w:tc>
          <w:tcPr>
            <w:tcW w:w="16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Operating lease cost included in other charges</w:t>
            </w:r>
          </w:p>
        </w:tc>
        <w:tc>
          <w:tcPr>
            <w:tcW w:w="160" w:type="dxa"/>
            <w:vAlign w:val="bottom"/>
          </w:tcPr>
          <w:p>
            <w:pPr>
              <w:spacing w:after="0"/>
              <w:rPr>
                <w:sz w:val="21"/>
                <w:szCs w:val="21"/>
                <w:color w:val="auto"/>
              </w:rPr>
            </w:pPr>
          </w:p>
        </w:tc>
        <w:tc>
          <w:tcPr>
            <w:tcW w:w="1600" w:type="dxa"/>
            <w:vAlign w:val="bottom"/>
          </w:tcPr>
          <w:p>
            <w:pPr>
              <w:jc w:val="right"/>
              <w:ind w:right="7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6"/>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57"/>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receipts</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8"/>
                <w:szCs w:val="18"/>
                <w:color w:val="auto"/>
              </w:rPr>
              <w:t>Total operating lease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32,485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41,525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rPr>
              <w:t>68,376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78,543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Includes short-term lease costs, which are not significant.</w:t>
            </w: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39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3920" w:type="dxa"/>
            <w:vAlign w:val="bottom"/>
          </w:tcPr>
          <w:p>
            <w:pPr>
              <w:spacing w:after="0"/>
              <w:rPr>
                <w:sz w:val="20"/>
                <w:szCs w:val="20"/>
                <w:color w:val="auto"/>
              </w:rPr>
            </w:pPr>
            <w:r>
              <w:rPr>
                <w:rFonts w:ascii="Arial" w:cs="Arial" w:eastAsia="Arial" w:hAnsi="Arial"/>
                <w:sz w:val="18"/>
                <w:szCs w:val="18"/>
                <w:color w:val="auto"/>
                <w:w w:val="91"/>
              </w:rPr>
              <w:t>Supplemental cash flow information related to leases: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Pr>
          <w:p>
            <w:pPr>
              <w:spacing w:after="0"/>
              <w:rPr>
                <w:sz w:val="18"/>
                <w:szCs w:val="18"/>
                <w:color w:val="auto"/>
              </w:rPr>
            </w:pPr>
          </w:p>
        </w:tc>
        <w:tc>
          <w:tcPr>
            <w:tcW w:w="154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08"/>
        </w:trPr>
        <w:tc>
          <w:tcPr>
            <w:tcW w:w="3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June 30, 2020</w:t>
            </w:r>
          </w:p>
        </w:tc>
        <w:tc>
          <w:tcPr>
            <w:tcW w:w="220" w:type="dxa"/>
            <w:vAlign w:val="bottom"/>
          </w:tcPr>
          <w:p>
            <w:pPr>
              <w:spacing w:after="0"/>
              <w:rPr>
                <w:sz w:val="18"/>
                <w:szCs w:val="18"/>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49"/>
        </w:trPr>
        <w:tc>
          <w:tcPr>
            <w:tcW w:w="57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4"/>
              </w:rPr>
              <w:t>Cash paid for amounts included in measurement of operating lease liabilities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57,639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61,333</w:t>
            </w:r>
          </w:p>
        </w:tc>
        <w:tc>
          <w:tcPr>
            <w:tcW w:w="0" w:type="dxa"/>
            <w:vAlign w:val="bottom"/>
          </w:tcPr>
          <w:p>
            <w:pPr>
              <w:spacing w:after="0"/>
              <w:rPr>
                <w:sz w:val="1"/>
                <w:szCs w:val="1"/>
                <w:color w:val="auto"/>
              </w:rPr>
            </w:pPr>
          </w:p>
        </w:tc>
      </w:tr>
      <w:tr>
        <w:trPr>
          <w:trHeight w:val="243"/>
        </w:trPr>
        <w:tc>
          <w:tcPr>
            <w:tcW w:w="5980" w:type="dxa"/>
            <w:vAlign w:val="bottom"/>
            <w:gridSpan w:val="5"/>
          </w:tcPr>
          <w:p>
            <w:pPr>
              <w:ind w:left="20"/>
              <w:spacing w:after="0"/>
              <w:rPr>
                <w:sz w:val="20"/>
                <w:szCs w:val="20"/>
                <w:color w:val="auto"/>
              </w:rPr>
            </w:pPr>
            <w:r>
              <w:rPr>
                <w:rFonts w:ascii="Arial" w:cs="Arial" w:eastAsia="Arial" w:hAnsi="Arial"/>
                <w:sz w:val="18"/>
                <w:szCs w:val="18"/>
                <w:color w:val="auto"/>
                <w:w w:val="90"/>
              </w:rPr>
              <w:t>Cash paid for short-term operating leases not included in operating lease liabilities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12,071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77"/>
              <w:spacing w:after="0"/>
              <w:rPr>
                <w:sz w:val="20"/>
                <w:szCs w:val="20"/>
                <w:color w:val="auto"/>
              </w:rPr>
            </w:pPr>
            <w:r>
              <w:rPr>
                <w:rFonts w:ascii="Arial" w:cs="Arial" w:eastAsia="Arial" w:hAnsi="Arial"/>
                <w:sz w:val="18"/>
                <w:szCs w:val="18"/>
                <w:color w:val="auto"/>
              </w:rPr>
              <w:t>14,451</w:t>
            </w:r>
          </w:p>
        </w:tc>
        <w:tc>
          <w:tcPr>
            <w:tcW w:w="0" w:type="dxa"/>
            <w:vAlign w:val="bottom"/>
          </w:tcPr>
          <w:p>
            <w:pPr>
              <w:spacing w:after="0"/>
              <w:rPr>
                <w:sz w:val="1"/>
                <w:szCs w:val="1"/>
                <w:color w:val="auto"/>
              </w:rPr>
            </w:pPr>
          </w:p>
        </w:tc>
      </w:tr>
      <w:tr>
        <w:trPr>
          <w:trHeight w:val="27"/>
        </w:trPr>
        <w:tc>
          <w:tcPr>
            <w:tcW w:w="57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Right-of-use assets obtained in exchange for new operating lease liabilities</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47,285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10,540</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2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 2020</w:t>
            </w:r>
          </w:p>
        </w:tc>
        <w:tc>
          <w:tcPr>
            <w:tcW w:w="180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 2019</w:t>
            </w:r>
          </w:p>
        </w:tc>
      </w:tr>
      <w:tr>
        <w:trPr>
          <w:trHeight w:val="26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r>
              <w:rPr>
                <w:rFonts w:ascii="Arial" w:cs="Arial" w:eastAsia="Arial" w:hAnsi="Arial"/>
                <w:sz w:val="23"/>
                <w:szCs w:val="23"/>
                <w:color w:val="auto"/>
                <w:vertAlign w:val="superscript"/>
              </w:rPr>
              <w:t>(1)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Borders>
              <w:top w:val="single" w:sz="8" w:color="CCEEFF"/>
            </w:tcBorders>
            <w:shd w:val="clear" w:color="auto" w:fill="CCEEFF"/>
          </w:tcPr>
          <w:p>
            <w:pPr>
              <w:spacing w:after="0"/>
              <w:rPr>
                <w:sz w:val="23"/>
                <w:szCs w:val="23"/>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3"/>
          <w:szCs w:val="13"/>
          <w:color w:val="auto"/>
          <w:vertAlign w:val="superscript"/>
        </w:rPr>
      </w:pPr>
      <w:r>
        <w:rPr>
          <w:rFonts w:ascii="Arial" w:cs="Arial" w:eastAsia="Arial" w:hAnsi="Arial"/>
          <w:sz w:val="10"/>
          <w:szCs w:val="10"/>
          <w:color w:val="auto"/>
        </w:rPr>
        <w:t>January 1, 2019 incremental borrowing rate was used for leases in existence at the time of adoption of ASU 2016-02.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5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9"/>
              </w:rPr>
              <w:t>RENT-A-CENTER, INC. AND SUBSIDIARIES</w:t>
            </w:r>
          </w:p>
        </w:tc>
        <w:tc>
          <w:tcPr>
            <w:tcW w:w="2060" w:type="dxa"/>
            <w:vAlign w:val="bottom"/>
          </w:tcPr>
          <w:p>
            <w:pPr>
              <w:spacing w:after="0"/>
              <w:rPr>
                <w:sz w:val="18"/>
                <w:szCs w:val="18"/>
                <w:color w:val="auto"/>
              </w:rPr>
            </w:pPr>
          </w:p>
        </w:tc>
      </w:tr>
      <w:tr>
        <w:trPr>
          <w:trHeight w:val="216"/>
        </w:trPr>
        <w:tc>
          <w:tcPr>
            <w:tcW w:w="9180" w:type="dxa"/>
            <w:vAlign w:val="bottom"/>
            <w:gridSpan w:val="3"/>
          </w:tcPr>
          <w:p>
            <w:pPr>
              <w:jc w:val="center"/>
              <w:ind w:left="1978"/>
              <w:spacing w:after="0"/>
              <w:rPr>
                <w:sz w:val="20"/>
                <w:szCs w:val="20"/>
                <w:color w:val="auto"/>
              </w:rPr>
            </w:pPr>
            <w:r>
              <w:rPr>
                <w:rFonts w:ascii="Arial" w:cs="Arial" w:eastAsia="Arial" w:hAnsi="Arial"/>
                <w:sz w:val="18"/>
                <w:szCs w:val="18"/>
                <w:b w:val="1"/>
                <w:bCs w:val="1"/>
                <w:color w:val="auto"/>
                <w:w w:val="98"/>
              </w:rPr>
              <w:t>NOTES TO CONDENSED CONSOLIDATED FINANCIAL STATEMENTS - (Continued)</w:t>
            </w:r>
          </w:p>
        </w:tc>
        <w:tc>
          <w:tcPr>
            <w:tcW w:w="206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5700" w:type="dxa"/>
            <w:vAlign w:val="bottom"/>
            <w:gridSpan w:val="2"/>
          </w:tcPr>
          <w:p>
            <w:pPr>
              <w:jc w:val="center"/>
              <w:ind w:right="1420"/>
              <w:spacing w:after="0"/>
              <w:rPr>
                <w:sz w:val="20"/>
                <w:szCs w:val="20"/>
                <w:color w:val="auto"/>
              </w:rPr>
            </w:pPr>
            <w:r>
              <w:rPr>
                <w:rFonts w:ascii="Arial" w:cs="Arial" w:eastAsia="Arial" w:hAnsi="Arial"/>
                <w:sz w:val="18"/>
                <w:szCs w:val="18"/>
                <w:b w:val="1"/>
                <w:bCs w:val="1"/>
                <w:color w:val="auto"/>
                <w:w w:val="91"/>
              </w:rPr>
              <w:t>(Unaudited)</w:t>
            </w:r>
          </w:p>
        </w:tc>
        <w:tc>
          <w:tcPr>
            <w:tcW w:w="2060" w:type="dxa"/>
            <w:vAlign w:val="bottom"/>
          </w:tcPr>
          <w:p>
            <w:pPr>
              <w:spacing w:after="0"/>
              <w:rPr>
                <w:sz w:val="20"/>
                <w:szCs w:val="20"/>
                <w:color w:val="auto"/>
              </w:rPr>
            </w:pPr>
          </w:p>
        </w:tc>
      </w:tr>
      <w:tr>
        <w:trPr>
          <w:trHeight w:val="648"/>
        </w:trPr>
        <w:tc>
          <w:tcPr>
            <w:tcW w:w="9180" w:type="dxa"/>
            <w:vAlign w:val="bottom"/>
            <w:gridSpan w:val="3"/>
          </w:tcPr>
          <w:p>
            <w:pPr>
              <w:spacing w:after="0"/>
              <w:rPr>
                <w:sz w:val="20"/>
                <w:szCs w:val="20"/>
                <w:color w:val="auto"/>
              </w:rPr>
            </w:pPr>
            <w:r>
              <w:rPr>
                <w:rFonts w:ascii="Arial" w:cs="Arial" w:eastAsia="Arial" w:hAnsi="Arial"/>
                <w:sz w:val="18"/>
                <w:szCs w:val="18"/>
                <w:color w:val="auto"/>
                <w:w w:val="96"/>
              </w:rPr>
              <w:t>Reconciliation of undiscounted operating lease liabilities to the present value operating lease liabilities at June 30, 2020:</w:t>
            </w:r>
          </w:p>
        </w:tc>
        <w:tc>
          <w:tcPr>
            <w:tcW w:w="2060" w:type="dxa"/>
            <w:vAlign w:val="bottom"/>
          </w:tcPr>
          <w:p>
            <w:pPr>
              <w:spacing w:after="0"/>
              <w:rPr>
                <w:sz w:val="24"/>
                <w:szCs w:val="24"/>
                <w:color w:val="auto"/>
              </w:rPr>
            </w:pPr>
          </w:p>
        </w:tc>
      </w:tr>
      <w:tr>
        <w:trPr>
          <w:trHeight w:val="22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8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w w:val="96"/>
              </w:rPr>
              <w:t>Operating Leases</w:t>
            </w: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570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67,972</w:t>
            </w: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color w:val="auto"/>
              </w:rPr>
              <w:t>2021</w:t>
            </w:r>
          </w:p>
        </w:tc>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jc w:val="right"/>
              <w:ind w:right="60"/>
              <w:spacing w:after="0"/>
              <w:rPr>
                <w:sz w:val="20"/>
                <w:szCs w:val="20"/>
                <w:color w:val="auto"/>
              </w:rPr>
            </w:pPr>
            <w:r>
              <w:rPr>
                <w:rFonts w:ascii="Arial" w:cs="Arial" w:eastAsia="Arial" w:hAnsi="Arial"/>
                <w:sz w:val="16"/>
                <w:szCs w:val="16"/>
                <w:color w:val="auto"/>
              </w:rPr>
              <w:t>95,500</w:t>
            </w:r>
          </w:p>
        </w:tc>
      </w:tr>
      <w:tr>
        <w:trPr>
          <w:trHeight w:val="33"/>
        </w:trPr>
        <w:tc>
          <w:tcPr>
            <w:tcW w:w="3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67,476</w:t>
            </w:r>
          </w:p>
        </w:tc>
      </w:tr>
      <w:tr>
        <w:trPr>
          <w:trHeight w:val="223"/>
        </w:trPr>
        <w:tc>
          <w:tcPr>
            <w:tcW w:w="3480" w:type="dxa"/>
            <w:vAlign w:val="bottom"/>
          </w:tcPr>
          <w:p>
            <w:pPr>
              <w:ind w:left="20"/>
              <w:spacing w:after="0"/>
              <w:rPr>
                <w:sz w:val="20"/>
                <w:szCs w:val="20"/>
                <w:color w:val="auto"/>
              </w:rPr>
            </w:pPr>
            <w:r>
              <w:rPr>
                <w:rFonts w:ascii="Arial" w:cs="Arial" w:eastAsia="Arial" w:hAnsi="Arial"/>
                <w:sz w:val="16"/>
                <w:szCs w:val="16"/>
                <w:color w:val="auto"/>
              </w:rPr>
              <w:t>2023</w:t>
            </w:r>
          </w:p>
        </w:tc>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jc w:val="right"/>
              <w:ind w:right="60"/>
              <w:spacing w:after="0"/>
              <w:rPr>
                <w:sz w:val="20"/>
                <w:szCs w:val="20"/>
                <w:color w:val="auto"/>
              </w:rPr>
            </w:pPr>
            <w:r>
              <w:rPr>
                <w:rFonts w:ascii="Arial" w:cs="Arial" w:eastAsia="Arial" w:hAnsi="Arial"/>
                <w:sz w:val="16"/>
                <w:szCs w:val="16"/>
                <w:color w:val="auto"/>
              </w:rPr>
              <w:t>42,722</w:t>
            </w:r>
          </w:p>
        </w:tc>
      </w:tr>
      <w:tr>
        <w:trPr>
          <w:trHeight w:val="33"/>
        </w:trPr>
        <w:tc>
          <w:tcPr>
            <w:tcW w:w="3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26,790</w:t>
            </w: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jc w:val="right"/>
              <w:ind w:right="60"/>
              <w:spacing w:after="0"/>
              <w:rPr>
                <w:sz w:val="20"/>
                <w:szCs w:val="20"/>
                <w:color w:val="auto"/>
              </w:rPr>
            </w:pPr>
            <w:r>
              <w:rPr>
                <w:rFonts w:ascii="Arial" w:cs="Arial" w:eastAsia="Arial" w:hAnsi="Arial"/>
                <w:sz w:val="16"/>
                <w:szCs w:val="16"/>
                <w:color w:val="auto"/>
              </w:rPr>
              <w:t>29,323</w:t>
            </w:r>
          </w:p>
        </w:tc>
      </w:tr>
      <w:tr>
        <w:trPr>
          <w:trHeight w:val="33"/>
        </w:trPr>
        <w:tc>
          <w:tcPr>
            <w:tcW w:w="34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undiscounted operating lease liabilities</w:t>
            </w:r>
          </w:p>
        </w:tc>
        <w:tc>
          <w:tcPr>
            <w:tcW w:w="48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329,783</w:t>
            </w:r>
          </w:p>
        </w:tc>
      </w:tr>
      <w:tr>
        <w:trPr>
          <w:trHeight w:val="223"/>
        </w:trPr>
        <w:tc>
          <w:tcPr>
            <w:tcW w:w="348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4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60" w:type="dxa"/>
            <w:vAlign w:val="bottom"/>
          </w:tcPr>
          <w:p>
            <w:pPr>
              <w:jc w:val="right"/>
              <w:ind w:right="20"/>
              <w:spacing w:after="0"/>
              <w:rPr>
                <w:sz w:val="20"/>
                <w:szCs w:val="20"/>
                <w:color w:val="auto"/>
              </w:rPr>
            </w:pPr>
            <w:r>
              <w:rPr>
                <w:rFonts w:ascii="Arial" w:cs="Arial" w:eastAsia="Arial" w:hAnsi="Arial"/>
                <w:sz w:val="16"/>
                <w:szCs w:val="16"/>
                <w:color w:val="auto"/>
              </w:rPr>
              <w:t>(48,439)</w:t>
            </w:r>
          </w:p>
        </w:tc>
      </w:tr>
      <w:tr>
        <w:trPr>
          <w:trHeight w:val="33"/>
        </w:trPr>
        <w:tc>
          <w:tcPr>
            <w:tcW w:w="34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7"/>
        </w:trPr>
        <w:tc>
          <w:tcPr>
            <w:tcW w:w="3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present value of operating lease liabilities</w:t>
            </w:r>
          </w:p>
        </w:tc>
        <w:tc>
          <w:tcPr>
            <w:tcW w:w="57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281,344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the COVID-19 pandemic and related government restrictions negatively impacting our operations, we renegotiated certain store lease agreements in the second quarter to obtain rent relief in the near term, in order to help offset the negative financial impacts of COVID-19. As of June 30, 2020, we have renegotiated approximately 500 lease agreements, receiving near term rent abatements of approximately $2.3 million and rent deferrals of approximately $2.2 million. On April 10, 2020, the Financial Accounting Standards Board ("FASB") staff issued a question-and-answer document providing guidance for lease concessions provided to lessees in response to the effects of COVID-19. Such guidance allows lessees to make an election not to evaluate whether a lease concession provided by a lessor should be accounted for as a lease modification in the event the concession does not result in a substantial increase in the rights of the lessor or the obligations of the lessee. We elected this practical expedient in our accounting for any lease concessions provided in connection with our renegotiated lease agreements that did not result in a substantial increase in the rights of or obligations to the lessor. As a result of this election we recognized rent abatement credits of approximately $0.6 million for the three-months ended June 30, 2020 in our condensed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which includes modifications to the limitation on business interest expense deductions and net operating loss provisions. The effective tax rate was 6.9% for the six months ended June 30, 2020, compared to 22.0% in 2019, primarily as a result of the tax benefit of net operating loss carrybacks at a 35% tax rate that became available as a result of the CARES Act.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Debt, net</w:t>
      </w:r>
    </w:p>
    <w:p>
      <w:pPr>
        <w:spacing w:after="0" w:line="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5, 2019, we entered into a new Term Loan Credit Agreement (the “Term Loan Credit Agreement”) providing for a seven-year $200 million senior secured term loan facility and an Asset Based Loan Credit Agreement (the “ABL Credit Agreement”) providing a five-year asset-based revolving credit facility (the “ABL Credit Facility”) with commitments of up to $300 million, the proceeds of which were used for the redemption of all of our outstanding senior notes.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outstanding under the Term Loan Credit Agreement was $198.5 million at June 30, 2020. We had no amounts outstanding under our ABL Credit Agreement at June 30, 2020 and had $211.2 million available.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Proceeds from the Term Loan Credit Agreement were net of original issue discount of $2.0 million upon issuance from the lenders. In addition, in connection with the closing of the Term Loan Credit Agreement and the ABL Credit Agreement, we incurred approximately $6.3 million in debt issuance costs. The original issue discount and debt issuance costs will be amortized over the remaining terms of the respective credit agreements. As of June 30, 2020, the total unamortized balance of debt issuance costs relating to our senior debt and original issue discount reported in the condensed consolidated balance sheet were $6.1 million and $1.7 million, respectively.</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utilize the ABL Credit Facility for the issuance of letters of credit. As of June 30, 2020, we have issued letters of credit in the aggregate outstanding amount of $88.8 million primarily relating to workers compensation insurance claims.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 Loan Credit Agreement, which matures on August 5, 2026, amortizes in equal quarterly installments at a rate of 1.00% per annum of the original principal amount thereof, with the remaining balance due at final maturity. Interest on the Term Loan Credit Agreement will accrue at the Eurodollar rate plus an applicable margin equal to 4.50%. The margin on the Term Loan Credit Agreement was 4.69% at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Credit Agreement permits us to prepay the term loans, in whole or in part, without penalty on or after the six-month anniversary of the closing date of the Term Loan Credit Agreement. It also permits us to incur incremental term loans in an aggregate amount equal to $150 million plus the amount of voluntary prepayments of the term loans and an unlimited amount subject to a pro forma consolidated senior secured leverage ratio of not greater than 2.00 to 1.00, subject to certain other conditions.</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obligations under the Term Loan Credit Agreement are guaranteed by certain of our subsidiaries. The Term Loan Credit Agreement and the guarantees are secured on a first-priority basis by substantially all of our tangible and intangible assets, other than collateral subject to a first-priority lien under the ABL Credit Agreement, consisting of, among other things, accounts receivable, inventory and bank accounts (and funds on deposit therein), in which the Term Loan Credit Agreement and the guarantees have a second-priority security interest, in each case, subject to certain exceptions.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Credit Agreement contains covenants that are usual and customary for facilities and transactions of this type and that, among other things, restrict our ability to:</w:t>
      </w:r>
    </w:p>
    <w:p>
      <w:pPr>
        <w:spacing w:after="0" w:line="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certain liens and enter into certain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assume, incur or guarantee certain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 or merge with, or convey, transfer or lease all or substantially all of our assets, to another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make other distributions on, or repurchase or redeem, our capital stock or certain other debt;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other restricted 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covenants are subject to a number of limitations and exceptions set forth in the Term Loan Credit Agreement. We are currently permitted to pay dividends and repurchase our common stock without limitation.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Credit Agreement provides for customary events of default, including, but not limited to, failure to pay principal and interest, failure to comply with covenants, agreements or conditions, and certain events of bankruptcy or insolvency.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ABL Credit Facility will mature on August 5, 2024. The Borrowers (as defined in the ABL Credit Agreement) may borrow only up to the lesser of the level of the then-current Borrowing Base and the committed maximum borrowing capacity of $300 million. The Borrowing Base is tied to the Eligible Installment Sales Accounts, Inventory and Eligible Rental Contracts, reduced by Reserves, as defined in the ABL Credit Agreement. We provide to the Agent information necessary to calculate the Borrowing Base within 30 days of the end of each calendar month, unless liquidity is less than 15% of the maximum borrowing capacity of the ABL Credit Agreement or $45 million, in which case we must provide weekly information.</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is payable on the ABL Credit Facility at a fluctuating rate of interest determined by reference to the Eurodollar rate plus an applicable margin of 1.50% to 2.00%. The margin on the ABL Credit Facility was 1.69% at June 30, 2020. A commitment fee equal to 0.250% to 0.375% of the unused portion of the ABL Credit Facility fluctuates dependent upon average utilization for the prior month as defined by a pricing grid included in the ABL Credit Agreement. The commitment fee at June 30, 2020 was 0.250%. We paid $0.4 million of commitment fees during the second quarter of 2020.</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are limited to the lesser of (x) $150 million, subject to certain limitations, and (y) the aggregate unused availability then in effect.</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certain conditions, the ABL Credit Facility may be expanded by up to $100 million in additional commitments, subject to a pro forma fixed charge coverage ratio being greater than 1.10 to 1.00.</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obligations under the ABL Credit Agreement are guaranteed by us and certain of our subsidiaries. The ABL Credit Agreement and the guarantees are secured on a first-priority basis on all our and the guarantors’ accounts receivable, inventory and bank accounts (and funds on deposit therein) and a second-priority basis on all of the tangible and intangible assets (second in priority to the liens securing the Term Loan Credit Agreement) of such persons, in each case, subject to certain exceptions.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Credit Agreement contains covenants that are usual and customary for facilities and transactions of this type and are substantially the same as covenants in the Term Loan Credit Agreement. The ABL Credit Facility also requires the maintenance of a Consolidated Fixed Charge Coverage Ratio (as defined in the ABL Credit Agreement) of 1.10 to 1.00 at the end of each fiscal quarter when either (i) certain specified events of default have occurred and are continuing or (ii) availability is less than or equal to the greater of $33.75 million and 15% of the line cap then in effect. The Fixed Charge Coverage Ratio as of June 30, 2020 was 1.52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ABL Credit Agreement provides for customary events of default that are substantially the same as events of default in the Term Loan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scheduled maturity dates of our outstanding debt at June 30, 2020 for each of the years ending December 31: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Term Loan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24"/>
        </w:trPr>
        <w:tc>
          <w:tcPr>
            <w:tcW w:w="7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189,500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189,500</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senior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198,500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198,500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There were no changes in the methods and assumptions used in measuring fair value during the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include cash and cash equivalents, receivables, payables, and borrowings against our ABL Credit Facility and Term Loan Facility. The carrying amount of cash and cash equivalents, receivables and payables approximates fair value at June 30, 2020 and December 31, 2019, because of the short maturities of these instruments. In addition, the interest rates on our Term Loan Facility and ABL Credit Facility are variable and, therefore, the carrying value of outstanding borrowings approximates their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Charges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Store Consolidations. </w:t>
      </w:r>
      <w:r>
        <w:rPr>
          <w:rFonts w:ascii="Arial" w:cs="Arial" w:eastAsia="Arial" w:hAnsi="Arial"/>
          <w:sz w:val="16"/>
          <w:szCs w:val="16"/>
          <w:color w:val="auto"/>
        </w:rPr>
        <w:t>During the first six months of 2020, we closed 18 Rent-A-Center Business stores, resulting in pre-tax charges of $0.3 million in lease</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charges, $0.9 million in other miscellaneous shutdown and holding costs, and $0.1 million in disposal of fixed assets. During the first six months of 2019, we closed 66 Rent-A-Center Business stores, resulting in pre-tax charges of $2.3 million in lease impairment, $0.9 million in other miscellaneous shutdown and holding costs, $0.7 million in disposal of fixed assets, and $0.3 million in severance and other payroll-related costs.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Cost Savings Initiatives. </w:t>
      </w:r>
      <w:r>
        <w:rPr>
          <w:rFonts w:ascii="Arial" w:cs="Arial" w:eastAsia="Arial" w:hAnsi="Arial"/>
          <w:sz w:val="16"/>
          <w:szCs w:val="16"/>
          <w:color w:val="auto"/>
        </w:rPr>
        <w:t>During 2018, we began the execution of multiple cost savings initiatives, including reductions in overhead and supply chain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connection with these initiatives, we recorded pre-tax charges during the six months ended June 30, 2020 consisting of $1.0 million in severance and other payroll-related costs, $0.4 million in lease impairment charges, and $0.4 million in other miscellaneous shutdown and holding costs. Costs incurred during the first six months of 2019 related to these initiatives included pre-tax charges of $5.0 million in lease impairment charges, $2.8 million in severance and other payroll-related costs, $1.6 million in other miscellaneous shutdown costs, and $0.4 million in disposal of fixed assets.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March 2020, national efforts to contain the COVID-19 virus began to be implemented. In connection with COVID-19,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2020, we incurred approximately $0.8 million in sanitization cleaning and personal protective equipment expenses, $0.4 million in payroll-related costs, and $0.2 million in lease expense related to closed stores and idled vehicles, partially offset by real estate lease abatement credits of $0.6 million for our Rent-A-Center Business stores.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Social Unrest. </w:t>
      </w:r>
      <w:r>
        <w:rPr>
          <w:rFonts w:ascii="Arial" w:cs="Arial" w:eastAsia="Arial" w:hAnsi="Arial"/>
          <w:sz w:val="18"/>
          <w:szCs w:val="18"/>
          <w:color w:val="auto"/>
        </w:rPr>
        <w:t>During the second quarter of 2020, we incurred expenses resulting from certain civil unrest that occurred in connection with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institute law enforcement and other social and political reforms. In connection with this unrest, approximately 30 Rent-A-Center Business stores were looted and/or damaged, resulting in $0.6 million of inventory write-offs and $0.1 million in disposal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for the six months ended June 30, 2020 is summarized in the below table:</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Accrued Charges at</w:t>
            </w:r>
          </w:p>
        </w:tc>
        <w:tc>
          <w:tcPr>
            <w:tcW w:w="22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Payments &amp;</w:t>
            </w:r>
          </w:p>
        </w:tc>
        <w:tc>
          <w:tcPr>
            <w:tcW w:w="120" w:type="dxa"/>
            <w:vAlign w:val="bottom"/>
          </w:tcPr>
          <w:p>
            <w:pPr>
              <w:spacing w:after="0"/>
              <w:rPr>
                <w:sz w:val="14"/>
                <w:szCs w:val="14"/>
                <w:color w:val="auto"/>
              </w:rPr>
            </w:pPr>
          </w:p>
        </w:tc>
        <w:tc>
          <w:tcPr>
            <w:tcW w:w="1340" w:type="dxa"/>
            <w:vAlign w:val="bottom"/>
          </w:tcPr>
          <w:p>
            <w:pPr>
              <w:jc w:val="right"/>
              <w:ind w:right="16"/>
              <w:spacing w:after="0"/>
              <w:rPr>
                <w:sz w:val="20"/>
                <w:szCs w:val="20"/>
                <w:color w:val="auto"/>
              </w:rPr>
            </w:pPr>
            <w:r>
              <w:rPr>
                <w:rFonts w:ascii="Arial" w:cs="Arial" w:eastAsia="Arial" w:hAnsi="Arial"/>
                <w:sz w:val="14"/>
                <w:szCs w:val="14"/>
                <w:b w:val="1"/>
                <w:bCs w:val="1"/>
                <w:color w:val="auto"/>
                <w:w w:val="92"/>
              </w:rPr>
              <w:t>Accrued Charges at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1240" w:type="dxa"/>
            <w:vAlign w:val="bottom"/>
          </w:tcPr>
          <w:p>
            <w:pPr>
              <w:jc w:val="right"/>
              <w:ind w:right="25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6"/>
                <w:szCs w:val="16"/>
                <w:color w:val="auto"/>
              </w:rPr>
            </w:pPr>
          </w:p>
        </w:tc>
        <w:tc>
          <w:tcPr>
            <w:tcW w:w="1340" w:type="dxa"/>
            <w:vAlign w:val="bottom"/>
          </w:tcPr>
          <w:p>
            <w:pPr>
              <w:jc w:val="right"/>
              <w:ind w:right="236"/>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36"/>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charges:</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Labor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1,484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100"/>
              <w:spacing w:after="0"/>
              <w:rPr>
                <w:sz w:val="20"/>
                <w:szCs w:val="20"/>
                <w:color w:val="auto"/>
              </w:rPr>
            </w:pPr>
            <w:r>
              <w:rPr>
                <w:rFonts w:ascii="Arial" w:cs="Arial" w:eastAsia="Arial" w:hAnsi="Arial"/>
                <w:sz w:val="18"/>
                <w:szCs w:val="18"/>
                <w:color w:val="auto"/>
              </w:rPr>
              <w:t>Shutdown and holding costs</w:t>
            </w:r>
          </w:p>
        </w:tc>
        <w:tc>
          <w:tcPr>
            <w:tcW w:w="10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Non-cash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Rental merchandise losses</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120"/>
              <w:spacing w:after="0"/>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(3)</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20"/>
              <w:spacing w:after="0"/>
              <w:rPr>
                <w:sz w:val="20"/>
                <w:szCs w:val="20"/>
                <w:color w:val="auto"/>
              </w:rPr>
            </w:pPr>
            <w:r>
              <w:rPr>
                <w:rFonts w:ascii="Arial" w:cs="Arial" w:eastAsia="Arial" w:hAnsi="Arial"/>
                <w:sz w:val="18"/>
                <w:szCs w:val="18"/>
                <w:color w:val="auto"/>
              </w:rPr>
              <w:t>Total other charges</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Includes lease abatement credits related to renegotiated lease agreements in response to COVID-19</w:t>
      </w:r>
    </w:p>
    <w:p>
      <w:pPr>
        <w:ind w:left="140" w:hanging="132"/>
        <w:spacing w:after="0" w:line="193" w:lineRule="auto"/>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Looting related to social unrest</w:t>
      </w:r>
    </w:p>
    <w:p>
      <w:pPr>
        <w:ind w:right="220" w:firstLine="8"/>
        <w:spacing w:after="0" w:line="247" w:lineRule="auto"/>
        <w:tabs>
          <w:tab w:leader="none" w:pos="127" w:val="left"/>
        </w:tabs>
        <w:numPr>
          <w:ilvl w:val="0"/>
          <w:numId w:val="6"/>
        </w:numPr>
        <w:rPr>
          <w:rFonts w:ascii="Arial" w:cs="Arial" w:eastAsia="Arial" w:hAnsi="Arial"/>
          <w:sz w:val="14"/>
          <w:szCs w:val="14"/>
          <w:color w:val="auto"/>
          <w:vertAlign w:val="superscript"/>
        </w:rPr>
      </w:pPr>
      <w:r>
        <w:rPr>
          <w:rFonts w:ascii="Arial" w:cs="Arial" w:eastAsia="Arial" w:hAnsi="Arial"/>
          <w:sz w:val="11"/>
          <w:szCs w:val="11"/>
          <w:color w:val="auto"/>
        </w:rPr>
        <w:t>Asset impairments primarily includes impairments of operating lease right-of-use assets and other property assets related to the closure of Rent-A-Center Business stores and previously closed product service centers, damage related to social unrest, as well as a write-down of capitalized software in the first six months of 2020.</w:t>
      </w:r>
    </w:p>
    <w:p>
      <w:pPr>
        <w:spacing w:after="0" w:line="1" w:lineRule="exact"/>
        <w:rPr>
          <w:rFonts w:ascii="Arial" w:cs="Arial" w:eastAsia="Arial" w:hAnsi="Arial"/>
          <w:sz w:val="14"/>
          <w:szCs w:val="14"/>
          <w:color w:val="auto"/>
          <w:vertAlign w:val="superscript"/>
        </w:rPr>
      </w:pPr>
    </w:p>
    <w:p>
      <w:pPr>
        <w:ind w:left="140" w:hanging="132"/>
        <w:spacing w:after="0" w:line="209" w:lineRule="auto"/>
        <w:tabs>
          <w:tab w:leader="none" w:pos="140"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Other primarily includes legal settlement reserves, state tax audit assessment reserves, expenses related to COVID-19, partially offset by the receipt of insurance proceeds related to Hurricane Maria.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All operating segments offer merchandise from certain basic product categories: furniture, consumer electronics, appliances, computers, and accessories. Smartphones are also offered in our Rent-A-Center Business stores and franchise locations. In addition, in the Rent-A-Center Business segment, we have recently expanded into other product categories including, tires, tools, handbags, jewelry and other accessories.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June 30, 2020 and 2019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6"/>
                <w:szCs w:val="16"/>
                <w:color w:val="auto"/>
              </w:rPr>
            </w:pPr>
          </w:p>
        </w:tc>
        <w:tc>
          <w:tcPr>
            <w:tcW w:w="32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338"/>
        </w:trPr>
        <w:tc>
          <w:tcPr>
            <w:tcW w:w="3900" w:type="dxa"/>
            <w:vAlign w:val="bottom"/>
          </w:tcPr>
          <w:p>
            <w:pPr>
              <w:ind w:left="14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459,192</w:t>
            </w:r>
          </w:p>
        </w:tc>
        <w:tc>
          <w:tcPr>
            <w:tcW w:w="1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451,096</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914,157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925,153</w:t>
            </w: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191,243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407,370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372,911</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10,611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24,157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26,896</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22,700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14,889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40,001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27,659</w:t>
            </w:r>
          </w:p>
        </w:tc>
      </w:tr>
      <w:tr>
        <w:trPr>
          <w:trHeight w:val="263"/>
        </w:trPr>
        <w:tc>
          <w:tcPr>
            <w:tcW w:w="39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683,746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655,925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1,385,685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1,352,619</w:t>
            </w: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68"/>
        </w:trPr>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24"/>
                <w:szCs w:val="24"/>
                <w:color w:val="auto"/>
              </w:rPr>
            </w:pPr>
          </w:p>
        </w:tc>
        <w:tc>
          <w:tcPr>
            <w:tcW w:w="32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316,047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313,871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633,605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638,511</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71,391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159,706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166,708</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7,432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16,960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18,680</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9,439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9,038</w:t>
            </w:r>
          </w:p>
        </w:tc>
      </w:tr>
      <w:tr>
        <w:trPr>
          <w:trHeight w:val="263"/>
        </w:trPr>
        <w:tc>
          <w:tcPr>
            <w:tcW w:w="3900" w:type="dxa"/>
            <w:vAlign w:val="bottom"/>
          </w:tcPr>
          <w:p>
            <w:pPr>
              <w:ind w:left="220"/>
              <w:spacing w:after="0"/>
              <w:rPr>
                <w:sz w:val="20"/>
                <w:szCs w:val="20"/>
                <w:color w:val="auto"/>
              </w:rPr>
            </w:pPr>
            <w:r>
              <w:rPr>
                <w:rFonts w:ascii="Arial" w:cs="Arial" w:eastAsia="Arial" w:hAnsi="Arial"/>
                <w:sz w:val="18"/>
                <w:szCs w:val="18"/>
                <w:color w:val="auto"/>
              </w:rPr>
              <w:t>Total gross profit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399,532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408,071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819,710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832,937</w:t>
            </w:r>
          </w:p>
        </w:tc>
      </w:tr>
      <w:tr>
        <w:trPr>
          <w:trHeight w:val="21"/>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3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85,132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64,925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153,075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118,236</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44,247</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2,693</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3,581</w:t>
            </w:r>
          </w:p>
        </w:tc>
      </w:tr>
      <w:tr>
        <w:trPr>
          <w:trHeight w:val="237"/>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95,446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90,936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185,097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168,757</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(41,811)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38,893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(82,587)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(21,579)</w:t>
            </w:r>
          </w:p>
        </w:tc>
      </w:tr>
      <w:tr>
        <w:trPr>
          <w:trHeight w:val="263"/>
        </w:trPr>
        <w:tc>
          <w:tcPr>
            <w:tcW w:w="3900" w:type="dxa"/>
            <w:vAlign w:val="bottom"/>
          </w:tcPr>
          <w:p>
            <w:pPr>
              <w:ind w:left="220"/>
              <w:spacing w:after="0"/>
              <w:rPr>
                <w:sz w:val="20"/>
                <w:szCs w:val="20"/>
                <w:color w:val="auto"/>
              </w:rPr>
            </w:pPr>
            <w:r>
              <w:rPr>
                <w:rFonts w:ascii="Arial" w:cs="Arial" w:eastAsia="Arial" w:hAnsi="Arial"/>
                <w:sz w:val="18"/>
                <w:szCs w:val="18"/>
                <w:color w:val="auto"/>
              </w:rPr>
              <w:t>Total operating profit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53,635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129,829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102,510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147,178</w:t>
            </w: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68"/>
        </w:trPr>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33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9,833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10,582</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661</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235</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w:t>
            </w:r>
          </w:p>
        </w:tc>
      </w:tr>
      <w:tr>
        <w:trPr>
          <w:trHeight w:val="237"/>
        </w:trPr>
        <w:tc>
          <w:tcPr>
            <w:tcW w:w="390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11,035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11,517</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8,893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18,226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19,377</w:t>
            </w:r>
          </w:p>
        </w:tc>
      </w:tr>
      <w:tr>
        <w:trPr>
          <w:trHeight w:val="263"/>
        </w:trPr>
        <w:tc>
          <w:tcPr>
            <w:tcW w:w="3900" w:type="dxa"/>
            <w:vAlign w:val="bottom"/>
          </w:tcPr>
          <w:p>
            <w:pPr>
              <w:ind w:left="220"/>
              <w:spacing w:after="0"/>
              <w:rPr>
                <w:sz w:val="20"/>
                <w:szCs w:val="20"/>
                <w:color w:val="auto"/>
              </w:rPr>
            </w:pPr>
            <w:r>
              <w:rPr>
                <w:rFonts w:ascii="Arial" w:cs="Arial" w:eastAsia="Arial" w:hAnsi="Arial"/>
                <w:sz w:val="18"/>
                <w:szCs w:val="18"/>
                <w:color w:val="auto"/>
              </w:rPr>
              <w:t>Total depreciation and amortization</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15,121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30,894</w:t>
            </w: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68"/>
        </w:trPr>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334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1,465</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30</w:t>
            </w: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segments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1,596</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3,492</w:t>
            </w: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capital expenditures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5,088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49"/>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2019</w:t>
            </w:r>
          </w:p>
        </w:tc>
      </w:tr>
      <w:tr>
        <w:trPr>
          <w:trHeight w:val="23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 rent rental merchandise, net</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399,647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411,482</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232,373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268,845</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13,502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16,943</w:t>
            </w: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on rent rental merchandise, net</w:t>
            </w: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645,522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697,270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48"/>
        </w:trPr>
        <w:tc>
          <w:tcPr>
            <w:tcW w:w="3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December 31, 2019</w:t>
            </w:r>
          </w:p>
        </w:tc>
      </w:tr>
      <w:tr>
        <w:trPr>
          <w:trHeight w:val="23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Held for rent rental merchandise, net</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85,680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131,086</w:t>
            </w:r>
          </w:p>
        </w:tc>
      </w:tr>
      <w:tr>
        <w:trPr>
          <w:trHeight w:val="27"/>
        </w:trPr>
        <w:tc>
          <w:tcPr>
            <w:tcW w:w="3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1,254</w:t>
            </w:r>
          </w:p>
        </w:tc>
      </w:tr>
      <w:tr>
        <w:trPr>
          <w:trHeight w:val="243"/>
        </w:trPr>
        <w:tc>
          <w:tcPr>
            <w:tcW w:w="3900" w:type="dxa"/>
            <w:vAlign w:val="bottom"/>
          </w:tcPr>
          <w:p>
            <w:pPr>
              <w:ind w:left="120"/>
              <w:spacing w:after="0"/>
              <w:rPr>
                <w:sz w:val="20"/>
                <w:szCs w:val="20"/>
                <w:color w:val="auto"/>
              </w:rPr>
            </w:pPr>
            <w:r>
              <w:rPr>
                <w:rFonts w:ascii="Arial" w:cs="Arial" w:eastAsia="Arial" w:hAnsi="Arial"/>
                <w:sz w:val="18"/>
                <w:szCs w:val="18"/>
                <w:color w:val="auto"/>
              </w:rPr>
              <w:t>Mexico</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6,078</w:t>
            </w:r>
          </w:p>
        </w:tc>
      </w:tr>
      <w:tr>
        <w:trPr>
          <w:trHeight w:val="27"/>
        </w:trPr>
        <w:tc>
          <w:tcPr>
            <w:tcW w:w="3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held for rent rental merchandise, net</w:t>
            </w: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91,647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138,418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2019</w:t>
            </w:r>
          </w:p>
        </w:tc>
      </w:tr>
      <w:tr>
        <w:trPr>
          <w:trHeight w:val="236"/>
        </w:trPr>
        <w:tc>
          <w:tcPr>
            <w:tcW w:w="7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by segment</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620" w:type="dxa"/>
            <w:vAlign w:val="bottom"/>
          </w:tcPr>
          <w:p>
            <w:pPr>
              <w:ind w:left="120"/>
              <w:spacing w:after="0"/>
              <w:rPr>
                <w:sz w:val="20"/>
                <w:szCs w:val="20"/>
                <w:color w:val="auto"/>
              </w:rPr>
            </w:pPr>
            <w:r>
              <w:rPr>
                <w:rFonts w:ascii="Arial" w:cs="Arial" w:eastAsia="Arial" w:hAnsi="Arial"/>
                <w:sz w:val="18"/>
                <w:szCs w:val="18"/>
                <w:color w:val="auto"/>
              </w:rPr>
              <w:t>Rent-A-Center Business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866,198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953,151</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Preferred Lease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321,883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357,859</w:t>
            </w:r>
          </w:p>
        </w:tc>
      </w:tr>
      <w:tr>
        <w:trPr>
          <w:trHeight w:val="243"/>
        </w:trPr>
        <w:tc>
          <w:tcPr>
            <w:tcW w:w="7620" w:type="dxa"/>
            <w:vAlign w:val="bottom"/>
          </w:tcPr>
          <w:p>
            <w:pPr>
              <w:ind w:left="120"/>
              <w:spacing w:after="0"/>
              <w:rPr>
                <w:sz w:val="20"/>
                <w:szCs w:val="20"/>
                <w:color w:val="auto"/>
              </w:rPr>
            </w:pPr>
            <w:r>
              <w:rPr>
                <w:rFonts w:ascii="Arial" w:cs="Arial" w:eastAsia="Arial" w:hAnsi="Arial"/>
                <w:sz w:val="18"/>
                <w:szCs w:val="18"/>
                <w:color w:val="auto"/>
              </w:rPr>
              <w:t>Mexico</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29,056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33,707</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Franchising</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14,344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11,095</w:t>
            </w:r>
          </w:p>
        </w:tc>
      </w:tr>
      <w:tr>
        <w:trPr>
          <w:trHeight w:val="237"/>
        </w:trPr>
        <w:tc>
          <w:tcPr>
            <w:tcW w:w="7620" w:type="dxa"/>
            <w:vAlign w:val="bottom"/>
          </w:tcPr>
          <w:p>
            <w:pPr>
              <w:ind w:left="220"/>
              <w:spacing w:after="0"/>
              <w:rPr>
                <w:sz w:val="20"/>
                <w:szCs w:val="20"/>
                <w:color w:val="auto"/>
              </w:rPr>
            </w:pPr>
            <w:r>
              <w:rPr>
                <w:rFonts w:ascii="Arial" w:cs="Arial" w:eastAsia="Arial" w:hAnsi="Arial"/>
                <w:sz w:val="18"/>
                <w:szCs w:val="18"/>
                <w:color w:val="auto"/>
              </w:rPr>
              <w:t>Total segments</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1,231,481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1,355,812</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226,986</w:t>
            </w:r>
          </w:p>
        </w:tc>
      </w:tr>
      <w:tr>
        <w:trPr>
          <w:trHeight w:val="264"/>
        </w:trPr>
        <w:tc>
          <w:tcPr>
            <w:tcW w:w="76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1,576,628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1,582,798</w:t>
            </w:r>
          </w:p>
        </w:tc>
      </w:tr>
      <w:tr>
        <w:trPr>
          <w:trHeight w:val="20"/>
        </w:trPr>
        <w:tc>
          <w:tcPr>
            <w:tcW w:w="7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and Stock-Based Compensation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our Board of Directors authorized a stock repurchase program with respect to the purchase of up to an aggregate of $75 million of Rent-A-Center common stock, superseding our prior authorization. While the program was temporarily suspended due to the COVID-19 pandemic, $58.5 million remains available for repurchases from time to time, in the open market and privately negotiated transactions. During the six months ended June 30, 2020, we repurchased 1,461,177 shares of its common stock for an aggregate purchase price of $26.5 million, which includes shares with an aggregate purchase price of $16.5 million under the March 2020 authorization. No shares were repurchased during the six months ended June 30, 2019.</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recognized $2.9 million and $2.0 million in compensation expense related to stock options and restricted stock units during the three months ended June 30, 2020 and 2019, respectively, and $5.9 million and $2.7 million during the six months ended June 30, 2020 and 2019, respectively. During the six months ended June 30, 2020, we granted approximately 349,000 stock options, 269,000 market-based performance restricted stock units and 187,000 time-vesting restricted stock units. The stock options granted were valued using a Black-Scholes pricing model with the following assumptions: an expected volatility of 45.62% to 52.25%, a risk-free interest rate of 0.30% to 1.72%, an expected dividend yield of 4.02% to 8.20%, and an expected term of 3.50 to 5.75 years. The weighted-average exercise price of the options granted during the six months ended June 30, 2020 was $24.21 and the weighted-average grant-date fair value was $6.75. Performance-based restricted stock units are valued using a Monte Carlo simulation. Time-vesting restricted stock units are valued using the closing price on the trading day immediately preceding the day of the grant. The weighted-average grant date fair value of the market-based performance and time-vesting restricted stock units granted during the six months ended June 30, 2020 was $30.24 and $25.02,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a party to various legal proceedings and governmental inquiries arising in the ordinary course of business. We reserve for loss contingencies that are both probable and reasonably estimable. We regularly monitor developments related to these legal proceedings and inquiries, and review the adequacy of our legal reserves on a quarterly basis. We do not expect these losses to have a material impact on our condensed consolidated financial statements if and when such losses are incurred.</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unclaimed property audits by states in the ordinary course of business. The property subject to review in the audit process include unclaimed wages, vendor payments and customer refunds. State escheat laws generally require entities to 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(“CAG”) previously issued an investigative subpoena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Acceptance Now business practices (now part of the Preferred Lease segment). The request for documents and information was sought in connection with a broader investigation of the lease-to-own industry in California. Since receiving such demand, we have cooperated with the CAG in connection with its investigation and made several productions of requested documents. In March 2020, the CAG put forth proposed settlement terms to address alleged violations of California law. The proposed settlement terms include civil penalties, disgorgement of certain revenues, additional training requirements, and recommended changes to Acceptance Now business practices. We believe that our business practices are in compliance with California law and are continuing to discuss resolution of the inquiry with the CAG. At this point,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line="275" w:lineRule="auto"/>
        <w:rPr>
          <w:sz w:val="20"/>
          <w:szCs w:val="20"/>
          <w:color w:val="auto"/>
        </w:rPr>
      </w:pPr>
      <w:r>
        <w:rPr>
          <w:rFonts w:ascii="Arial" w:cs="Arial" w:eastAsia="Arial" w:hAnsi="Arial"/>
          <w:sz w:val="18"/>
          <w:szCs w:val="18"/>
          <w:b w:val="1"/>
          <w:bCs w:val="1"/>
          <w:color w:val="auto"/>
        </w:rPr>
        <w:t>RENT-A-CENTER,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cannot predict the ultimate outcome, we do not believe any such outcome will have a material impact on our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8"/>
                <w:szCs w:val="18"/>
                <w:color w:val="auto"/>
              </w:rPr>
              <w:t>Net earnings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38,493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94,455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87,785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101,778</w:t>
            </w:r>
          </w:p>
        </w:tc>
      </w:tr>
      <w:tr>
        <w:trPr>
          <w:trHeight w:val="27"/>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53,800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54,153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54,287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54,042</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Effect of dilutive stock awards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1,559</w:t>
            </w:r>
          </w:p>
        </w:tc>
      </w:tr>
      <w:tr>
        <w:trPr>
          <w:trHeight w:val="237"/>
        </w:trPr>
        <w:tc>
          <w:tcPr>
            <w:tcW w:w="4540" w:type="dxa"/>
            <w:vAlign w:val="bottom"/>
          </w:tcPr>
          <w:p>
            <w:pPr>
              <w:ind w:left="260"/>
              <w:spacing w:after="0"/>
              <w:rPr>
                <w:sz w:val="20"/>
                <w:szCs w:val="20"/>
                <w:color w:val="auto"/>
              </w:rPr>
            </w:pPr>
            <w:r>
              <w:rPr>
                <w:rFonts w:ascii="Arial" w:cs="Arial" w:eastAsia="Arial" w:hAnsi="Arial"/>
                <w:sz w:val="18"/>
                <w:szCs w:val="18"/>
                <w:color w:val="auto"/>
              </w:rPr>
              <w:t>Weighted-average dilutive shares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55,224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55,706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55,688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55,601</w:t>
            </w:r>
          </w:p>
        </w:tc>
      </w:tr>
      <w:tr>
        <w:trPr>
          <w:trHeight w:val="27"/>
        </w:trPr>
        <w:tc>
          <w:tcPr>
            <w:tcW w:w="45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1.88</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Anti-dilutive securities excluded from diluted loss per</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common share:</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Anti-dilutive restricted share units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260"/>
              <w:spacing w:after="0"/>
              <w:rPr>
                <w:sz w:val="20"/>
                <w:szCs w:val="20"/>
                <w:color w:val="auto"/>
              </w:rPr>
            </w:pPr>
            <w:r>
              <w:rPr>
                <w:rFonts w:ascii="Arial" w:cs="Arial" w:eastAsia="Arial" w:hAnsi="Arial"/>
                <w:sz w:val="18"/>
                <w:szCs w:val="18"/>
                <w:color w:val="auto"/>
              </w:rPr>
              <w:t>Anti-dilutive performance share units</w:t>
            </w:r>
          </w:p>
        </w:tc>
        <w:tc>
          <w:tcPr>
            <w:tcW w:w="3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263</w:t>
            </w: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Anti-dilutive stock options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1,123</w:t>
            </w:r>
          </w:p>
        </w:tc>
      </w:tr>
      <w:tr>
        <w:trPr>
          <w:trHeight w:val="27"/>
        </w:trPr>
        <w:tc>
          <w:tcPr>
            <w:tcW w:w="4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and includes statements regarding the potential effects of the COVID-19 pandemic on our business, operations, financial performance and prospects. 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5" w:lineRule="exact"/>
        <w:rPr>
          <w:sz w:val="20"/>
          <w:szCs w:val="20"/>
          <w:color w:val="auto"/>
        </w:rPr>
      </w:pPr>
    </w:p>
    <w:p>
      <w:pPr>
        <w:jc w:val="both"/>
        <w:ind w:left="660" w:hanging="166"/>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Preferred Lease retail partners, (iii) our customers and their willingness and ability to satisfy their lease obligations, (iv) our supplier's ability to satisfy our merchandise needs, (v) our coworkers,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retail preferred offering, Preferred Lease, including our ability to integrate our historic, retail partner business (Acceptance Now) and the Merchants Preferred business under the Preferred Lease offering and to successfully grow this business segment;</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Preferred Lease offering and potential for higher merchandise losses;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18" w:lineRule="exact"/>
        <w:rPr>
          <w:sz w:val="20"/>
          <w:szCs w:val="20"/>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and other competitors, including subprime lenders;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w:t>
      </w:r>
    </w:p>
    <w:p>
      <w:pPr>
        <w:spacing w:after="0" w:line="74" w:lineRule="exact"/>
        <w:rPr>
          <w:rFonts w:ascii="Arial" w:cs="Arial" w:eastAsia="Arial" w:hAnsi="Arial"/>
          <w:sz w:val="17"/>
          <w:szCs w:val="17"/>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enforcement of existing laws and regulations and the enactment of new laws and regulations adversely affecting our business;</w:t>
      </w:r>
    </w:p>
    <w:p>
      <w:pPr>
        <w:spacing w:after="0" w:line="86" w:lineRule="exact"/>
        <w:rPr>
          <w:rFonts w:ascii="Arial" w:cs="Arial" w:eastAsia="Arial" w:hAnsi="Arial"/>
          <w:sz w:val="16"/>
          <w:szCs w:val="16"/>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and employees;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Securities and Exchange Commission.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important factors that could cause our actual results to differ materially from our expectations are discussed under the section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2019 and in our Quarterly Report on Form 10-Q for the quarter ended March 31, 2020, and elsewhere in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an industry leading omni-channel lease-to-own provider for the credit-constrained customer. We focus on improving the quality of life of our customers by providing access and the opportunity to obtain ownership of high-quality, durable products via small payments over time under a flexible lease-purchase agreement and no long-term debt obligation. Preferred Lease provides virtual and staffed lease-to-own solutions to retail partners in stores and online enabling our partners to grow sales by expanding their customer base utilizing our differentiated offering. We were incorporated in the State of Delaware in 1986, and our common stock is traded on the Nasdaq Global Select Market under the ticker symbol "RCII."</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positive trends in our Rent-A-Center Business segment driven by accelerating e-commerce momentum, expanding product categories, and improving the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generating favorable EBITDA margin and strong free cash flow to fund strategic priorities and return capital to shareholders;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executing on large market opportunities using a virtual platform via our Preferred Lease offering and e-commerce.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acquisitions or dispositions or other transactions, although there can be no assurance that any such activities will be consummated.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COVID-19 Pandemic. </w:t>
      </w:r>
      <w:r>
        <w:rPr>
          <w:rFonts w:ascii="Arial" w:cs="Arial" w:eastAsia="Arial" w:hAnsi="Arial"/>
          <w:sz w:val="17"/>
          <w:szCs w:val="17"/>
          <w:color w:val="auto"/>
        </w:rPr>
        <w:t>Beginning in the latter half of March 2020, the worldwide spread of the respiratory disease caused by a novel coronavirus (“COVID-19”) caused significant disruptions to the U.S. and world economies. On March 11, 2020, the World Health Organization declared the COVID-19 outbreak a worldwide pandemic. On March 13, 2020, President Trump declared a national state of emergency for the United States. In response to the issuance of U.S. federal guidelines to contain the spread of the COVID-19 virus, U.S. state and local jurisdictions implemented various containment or mitigation measures, including temporary shelter-in-place orders and the temporary closure of non-essential businesses.</w:t>
      </w:r>
    </w:p>
    <w:p>
      <w:pPr>
        <w:spacing w:after="0" w:line="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"Trends and Uncertainties - COVID-19 Pandemic" below, and "Risk Factors" in Part II, Item 1A of our Quarterly Report on Form 10-Q for the quarter ended March 31, 2020 for an additional discussion of operational impacts to our business and additional risks associated with COVID-19.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June 30, 2020 included in Part I, Item I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COVID-19 and related jurisdictional ordinances implemented in the United States beginning in the latter half of March 2020 to contain the spread of COVID-19 or mitigate its effects, a significant number of Preferred Lease retail partner locations were temporarily closed, resulting in the initial closure of approximately 65% of our staffed Preferred Lease locations, which operated within those stores. In addition, with respect to our Rent-A-Center Business, we temporarily shut down operations at a small number of stores and partially closed approximately 24% of stores. Our partially closed locations operated with closed showrooms, conducting business only through e-commerce web orders. Franchise locations and stores in our Mexico operating segment were also temporarily closed due to COVID-19. In response to the negative impacts to our business resulting from COVID-19,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period of time, suspending further share repurchases.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onset of the pandemic, the jurisdictional ordinances directly impacting our operations have been withdrawn and, as of the date hereof, all of our staffed Preferred Lease locations and store operations in our Rent-A-Center Business, Mexico and Franchising operating segments are fully operational. Nonetheless, there are no assurances we will not be subject to future government actions negatively impacting our business as the pandemic progresses. In addition, while we may also be impacted by deteriorating worldwide economic conditions, including elevated unemployment rates throughout the United States, which could have a sustained impact on discretionary consumer spending, the lease-to-own transaction is a resilient model that provides credit constrained customers with a viable option to obtain merchandise they may not otherwise be able to obtain through other retailers offering financing options.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Business Model</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13, 2019, we completed the acquisition of substantially all of the assets of C/C Financial Corp. dba Merchants Preferred ("Merchants Preferred"), a nationwide provider of virtual lease-to-own services, accelerating our growth in the virtual lease-to-own industry. In January 2020, we announced plans for our new integrated retail partner offering under Preferred Lease, which combines our staffed and virtual lease-to-own business models to meet the needs and expectations of both our customers and retail partners. While we believe the acquisition of the Merchants Preferred virtual business model and rollout of our Preferred Lease integrated offering positions us for significant revenue and earnings growth, we are exposed to potential operating margin degradation due to the higher cost of merchandise in our retail partner business and potential for higher merchandise losses.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Savings Initiatives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2018, we initiated and executed multiple cost savings initiatives, resulting in reductions in overhead and supply chain costs. While these initiatives have led to significant decreases in operating expenses and corresponding improvement in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profit on a year-over-year basis in our 2018 and 2019 results of operations, we do not expect to continue to realize cost reduction benefits in future periods at the same annualized rate as past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six months ended June 30, 2020 as compared to the six months ended June 30, 2019.</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six months of 2020, consolidated revenues increased approximately $33.1 million, primarily driven by our Preferred Lease virtual solution and increases in same store sales, partially offset by refranchising of approximately 100 Rent-A-Center Business corporate stores during the preceding 18 months. Operating profit decreased approximately $44.7 million for the six months ended June 30, 2020, primarily due to our receipt during the second quarter of 2019 of $92.5 million in settlement of litigation relating to our termination of the merger agreement by and among Vintage Rodeo Parent, LLC, Vintage Rodeo Acquisition, Inc. and Rent-A-Center, Inc., of which we retained net pre-tax proceeds of approximately $80 million following payment of all remaining costs, fees and expenses relating to the termination (the "Vintage Settlement Proceeds").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in our Rent-A-Center Business segment decreased approximately $11.0 million for the six months ended June 30, 2020, driven primarily by the refranchising of approximately 100 Rent-A-Center Business corporate stores as described above and rationalization of our store base, partially offset by an increase in same store sales driven by higher merchandise sales. Gross profit as a percentage of revenue increased 0.3%. Operating profit increased $34.8 million for the six months ended June 30, 2020, primarily driven by decreased operating expenses.</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Lease segment revenues increased approximately $34.5 million for the six months ended June 30, 2020, primarily due to the implementation of the Preferred Lease virtual solution following the acquisition of Merchants Preferred in August 2019, in addition to growth in our staffed model, despite negative impacts related to the temporary closure of stores due to the COVID-19 pandemic. Gross profit as a percent of revenue decreased 5.5% and operating profit decreased approximately $19.8 million for the six months ended June 30, 2020 primarily due to a higher number of early payouts, higher merchandise losses primarily due to the COVID-19 pandemic, and higher mix of virtual locations.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Mexico segment revenues decreased by 10.2% for the six months ended June 30, 2020, driving a decrease in gross profit of 9.2%, or $1.7 million.</w:t>
      </w:r>
    </w:p>
    <w:p>
      <w:pPr>
        <w:spacing w:after="0" w:line="14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Revenues for the Franchising segment increased $12.3 million for the six months ended June 30, 2020, primarily due to higher store count resulting from the refranchising of approximately 60 Rent-A-Center Business corporate stores as described above and higher inventory purchases by our franchisees.</w:t>
      </w:r>
    </w:p>
    <w:p>
      <w:pPr>
        <w:spacing w:after="0" w:line="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 from operations was $254.7 million for the six months ended June 30, 2020. As of June 30, 2020, we held $206.4 million of cash and cash equivalents and outstanding indebtedness of $198.5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120"/>
              <w:spacing w:after="0"/>
              <w:rPr>
                <w:sz w:val="20"/>
                <w:szCs w:val="20"/>
                <w:color w:val="auto"/>
              </w:rPr>
            </w:pPr>
            <w:r>
              <w:rPr>
                <w:rFonts w:ascii="Arial" w:cs="Arial" w:eastAsia="Arial" w:hAnsi="Arial"/>
                <w:sz w:val="18"/>
                <w:szCs w:val="18"/>
                <w:color w:val="auto"/>
              </w:rPr>
              <w:t>Store</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Rentals and fees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534,737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551,680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(16,943)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1,102,737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9"/>
              </w:rPr>
              <w:t>1,115,034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(12,297)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108,080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70,842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209,460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175,312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34,148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Installment sales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store revenue</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661,235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641,036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1,346,084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9"/>
              </w:rPr>
              <w:t>1,324,960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460" w:type="dxa"/>
            <w:vAlign w:val="bottom"/>
          </w:tcPr>
          <w:p>
            <w:pPr>
              <w:ind w:left="120"/>
              <w:spacing w:after="0"/>
              <w:rPr>
                <w:sz w:val="20"/>
                <w:szCs w:val="20"/>
                <w:color w:val="auto"/>
              </w:rPr>
            </w:pPr>
            <w:r>
              <w:rPr>
                <w:rFonts w:ascii="Arial" w:cs="Arial" w:eastAsia="Arial" w:hAnsi="Arial"/>
                <w:sz w:val="18"/>
                <w:szCs w:val="18"/>
                <w:color w:val="auto"/>
              </w:rPr>
              <w:t>Franchise</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Merchandise sales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Royalty income and fees</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683,746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655,925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1,385,685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9"/>
              </w:rPr>
              <w:t>1,352,619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33,066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Store</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Cost of rentals and fees</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157,124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155,658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322,579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311,030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11,549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merchandise sold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102,960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201,717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Cost of installment sales</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6,092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Total cost of store revenues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266,176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237,374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535,413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460" w:type="dxa"/>
            <w:vAlign w:val="bottom"/>
          </w:tcPr>
          <w:p>
            <w:pPr>
              <w:ind w:left="140"/>
              <w:spacing w:after="0" w:line="176" w:lineRule="exact"/>
              <w:rPr>
                <w:sz w:val="20"/>
                <w:szCs w:val="20"/>
                <w:color w:val="auto"/>
              </w:rPr>
            </w:pPr>
            <w:r>
              <w:rPr>
                <w:rFonts w:ascii="Arial" w:cs="Arial" w:eastAsia="Arial" w:hAnsi="Arial"/>
                <w:sz w:val="18"/>
                <w:szCs w:val="18"/>
                <w:color w:val="auto"/>
                <w:w w:val="93"/>
              </w:rPr>
              <w:t>Franchise cost of merchandise</w:t>
            </w:r>
          </w:p>
        </w:tc>
        <w:tc>
          <w:tcPr>
            <w:tcW w:w="160" w:type="dxa"/>
            <w:vAlign w:val="bottom"/>
          </w:tcPr>
          <w:p>
            <w:pPr>
              <w:spacing w:after="0"/>
              <w:rPr>
                <w:sz w:val="15"/>
                <w:szCs w:val="15"/>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18,038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8"/>
                <w:szCs w:val="18"/>
                <w:color w:val="auto"/>
              </w:rPr>
              <w:t>10,480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8"/>
                <w:szCs w:val="18"/>
                <w:color w:val="auto"/>
              </w:rPr>
              <w:t>7,558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72.1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30,562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ind w:right="71"/>
              <w:spacing w:after="0"/>
              <w:rPr>
                <w:sz w:val="20"/>
                <w:szCs w:val="20"/>
                <w:color w:val="auto"/>
              </w:rPr>
            </w:pPr>
            <w:r>
              <w:rPr>
                <w:rFonts w:ascii="Arial" w:cs="Arial" w:eastAsia="Arial" w:hAnsi="Arial"/>
                <w:sz w:val="18"/>
                <w:szCs w:val="18"/>
                <w:color w:val="auto"/>
              </w:rPr>
              <w:t>18,621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8"/>
                <w:szCs w:val="18"/>
                <w:color w:val="auto"/>
              </w:rPr>
              <w:t>11,941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64.1</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sold</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revenues</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284,214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247,854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36,360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565,975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519,682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4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8"/>
              </w:rPr>
              <w:t>399,532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9"/>
              </w:rPr>
              <w:t>408,071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819,710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832,937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(13,227)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120"/>
              <w:spacing w:after="0"/>
              <w:rPr>
                <w:sz w:val="20"/>
                <w:szCs w:val="20"/>
                <w:color w:val="auto"/>
              </w:rPr>
            </w:pPr>
            <w:r>
              <w:rPr>
                <w:rFonts w:ascii="Arial" w:cs="Arial" w:eastAsia="Arial" w:hAnsi="Arial"/>
                <w:sz w:val="18"/>
                <w:szCs w:val="18"/>
                <w:color w:val="auto"/>
              </w:rPr>
              <w:t>Store expenses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129,929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152,899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(22,970)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314,555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(30,832)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460" w:type="dxa"/>
            <w:vAlign w:val="bottom"/>
          </w:tcPr>
          <w:p>
            <w:pPr>
              <w:ind w:left="220"/>
              <w:spacing w:after="0"/>
              <w:rPr>
                <w:sz w:val="20"/>
                <w:szCs w:val="20"/>
                <w:color w:val="auto"/>
              </w:rPr>
            </w:pPr>
            <w:r>
              <w:rPr>
                <w:rFonts w:ascii="Arial" w:cs="Arial" w:eastAsia="Arial" w:hAnsi="Arial"/>
                <w:sz w:val="18"/>
                <w:szCs w:val="18"/>
                <w:color w:val="auto"/>
              </w:rPr>
              <w:t>Other store expenses</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160,756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w w:val="89"/>
              </w:rPr>
              <w:t>149,225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322,474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313,019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9,455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32,943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38,534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(5,591)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72,118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71,458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14,348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15,121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29,261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30,894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charges and (gains)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(77,537)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85,458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9,624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4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8"/>
              </w:rPr>
              <w:t>345,897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89"/>
              </w:rPr>
              <w:t>278,242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67,655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717,200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685,759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31,441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89"/>
              </w:rPr>
              <w:t>129,829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(76,194)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(44,668)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Interest, net</w:t>
            </w:r>
          </w:p>
        </w:tc>
        <w:tc>
          <w:tcPr>
            <w:tcW w:w="160" w:type="dxa"/>
            <w:vAlign w:val="bottom"/>
          </w:tcPr>
          <w:p>
            <w:pPr>
              <w:spacing w:after="0"/>
              <w:rPr>
                <w:sz w:val="21"/>
                <w:szCs w:val="21"/>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3,896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51"/>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16,610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Earnings before income taxes</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49,739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89"/>
              </w:rPr>
              <w:t>121,734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(71,995)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94,311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130,568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(36,257)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0"/>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11,246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27,279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5"/>
              </w:rPr>
              <w:t>(16,033)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28,790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(22,264)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38,493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94,455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(55,962)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87,785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101,778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(13,993)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Three Months Ended June 30, 2019</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Store Revenue. </w:t>
      </w:r>
      <w:r>
        <w:rPr>
          <w:rFonts w:ascii="Arial" w:cs="Arial" w:eastAsia="Arial" w:hAnsi="Arial"/>
          <w:sz w:val="16"/>
          <w:szCs w:val="16"/>
          <w:color w:val="auto"/>
        </w:rPr>
        <w:t>Total store revenue increased by $20.2 million, or 3.2%, to $661.2 million for the three months ended June 30, 2020, from $641.0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2019. This increase was primarily due to increases of approximately $14.9 million and $8.1 million in revenues in the Preferred Lease and Rent-A-Center Business segments, respectively, as discussed further in the section "Segment Performance"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increased by $1.4 million, or 0.9%, to $157.1 million as compared to $155.7 million in 2019. This increase in cost of rentals and fees was primarily attributable to an increase of $6.4 million in the Preferred Lease segment, partially offset by a decrease of $4.1 million in the Rent-A-Center Business segment. Cost of rentals and fees expressed as a percentage of rentals and fees revenue was 29.4% for the three months ended June 30, 2020, as compared to 28.2% in 2019.</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$27.0 million, or 35.4%, to $103.0 million for the three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$76.0 million in 2019, primarily attributable to increases of $17.5 and $9.6 million in the Preferred Lease and Rent-A-Center Business segments, respectively, as discussed further in the section "Segment Performance" below. The gross margin percent of merchandise sales increased to 4.7% for the three months ended June 30, 2020, from (7.3)% in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$8.6 million, or 2.1%, to $399.5 million for the three months ended June 30, 2020, from $408.1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decreases of $9.0 million and $2.0 million in the Preferred Lease and Mexico segments, respectively, partially offset by an increase of $2.2 million in the Rent-A-Center Business segment, as discussed further in the section "Segment Performance" below. Gross profit as a percentage of total revenue decreased to 58.4% for the three months ended June 30, 2020, as compared to 62.2% in 2019.</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Store Labor. </w:t>
      </w:r>
      <w:r>
        <w:rPr>
          <w:rFonts w:ascii="Arial" w:cs="Arial" w:eastAsia="Arial" w:hAnsi="Arial"/>
          <w:sz w:val="17"/>
          <w:szCs w:val="17"/>
          <w:color w:val="auto"/>
        </w:rPr>
        <w:t>Store labor decreased by $23.0 million, or 15.0%, to $129.9 million, for the three months ended June 30, 2020, as compared to $152.9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2019, primarily due to decreases of $12.3 million and $10.1 million in the Preferred Lease and Rent-A-Center Business segments, respectively, as a result of a lower store base and cost savings initiatives, in addition to employee furloughs related to COVID-19. Store labor expressed as a percentage of total store revenue was 19.6% for the three months ended June 30, 2020, as compared to 23.9% in 2019.</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Store Expenses. </w:t>
      </w:r>
      <w:r>
        <w:rPr>
          <w:rFonts w:ascii="Arial" w:cs="Arial" w:eastAsia="Arial" w:hAnsi="Arial"/>
          <w:sz w:val="17"/>
          <w:szCs w:val="17"/>
          <w:color w:val="auto"/>
        </w:rPr>
        <w:t>Other store expenses increased by $11.6 million, or 7.7%, to $160.8 million for the three months ended June 30, 2020,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$149.2 million in 2019, primarily due to an increase of $18.2 million in the Preferred Lease segment, partially offset by a decrease of $5.9 million in the Rent-A-Center Business segment, as discussed further in the section "Segment Performance" below. Other store expenses expressed as a percentage of total store revenue were 24.3% for the three months ended June 30, 2020, compared to 23.3% in 2019.</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by $5.6 million, or 14.5%, to $32.9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as compared to $38.5 million in 2019, primarily due to cost savings initiatives implemented in response to the COVID-19 pandemic. General and administrative expenses expressed as a percentage of total revenue were 4.8% for the three months ended June 30, 2020, compared to 5.9% in 2019.</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Other Charges and (Gains). </w:t>
      </w:r>
      <w:r>
        <w:rPr>
          <w:rFonts w:ascii="Arial" w:cs="Arial" w:eastAsia="Arial" w:hAnsi="Arial"/>
          <w:sz w:val="18"/>
          <w:szCs w:val="18"/>
          <w:color w:val="auto"/>
        </w:rPr>
        <w:t>Other charges and (gains) increased by $85.4 million, to $7.9 million for the three months ended June 30, 2020,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$(77.5) million in 2019. Other charges for the three months ended June 30, 2020 primarily related to legal settlement and state sales tax assessment reserves, cost savings initiatives, inventory losses resulting from damage and looting related to social unrest, employee payroll and incremental sanitation costs in connection with COVID-19, and store closures impacts, partially offset by rent abatements and insurance proceeds, as discussed further in the section "Segment Performance" below. Other gains for the three months ended June 30, 2019 primarily related to the Vintage Settlement Proceeds and insurance proceeds related to the 2017 hurricanes, partially offset by associated merger termination legal and professional fees, store closures, state tax audit assessments, and cost savings initiatives.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decreased by $76.2 million, to $53.6 million for the three months ended June 30, 2020, as compared to $129.8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 the increase in other charges described above. Operating profit expressed as a percentage of total revenue was 7.8% for the three months ended June 30, 2020, compared to 19.8% in 2019.</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w:t>
      </w:r>
      <w:r>
        <w:rPr>
          <w:rFonts w:ascii="Arial" w:cs="Arial" w:eastAsia="Arial" w:hAnsi="Arial"/>
          <w:sz w:val="18"/>
          <w:szCs w:val="18"/>
          <w:color w:val="auto"/>
        </w:rPr>
        <w:t>Income tax expense for the three months ended June 30, 2020 was $11.2 million, as compared to $27.3 million in 2019. The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was 22.6% for the three months ended June 30, 2020, compared to 22.4% in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to Six Months Ended June 30, 2019</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Revenue. </w:t>
      </w:r>
      <w:r>
        <w:rPr>
          <w:rFonts w:ascii="Arial" w:cs="Arial" w:eastAsia="Arial" w:hAnsi="Arial"/>
          <w:sz w:val="18"/>
          <w:szCs w:val="18"/>
          <w:color w:val="auto"/>
        </w:rPr>
        <w:t>Total store revenue increased by $21.1 million, or 1.6%, to $1,346.1 million for the six months ended June 30, 2020, from $1,325.0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2019. This increase was primarily due to an increase of approximately $34.5 million in the Preferred Lease segment, partially offset by decreases of $11.0 million and $2.7 million in the Rent-A-Center Business and Mexico segments, respectively, as discussed further in the section "Segment Performance" below.</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increased by $11.6 million, or 3.7%, to $322.6 million as compared to $311.0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million in 2019. This increase in cost of rentals and fees was primarily attributable to an increase of $20.3 million in the Preferred Lease segment, partially offset by a decrease of $8.0 million in the Rent-A-Center Business segment. Cost of rentals and fees expressed as a percentage of rentals and fees revenue increased to 29.3% for the six months ended June 30, 2020 as compared to 27.9% in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increased by $22.3 million, or 12.4%, to $201.7 million for the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$179.4 million in 2019, primarily attributable to increases of $21.1 million and $1.4 million in the Preferred Lease and Rent-A-Center Business segments, respectively, as discussed further in the section "Segment Performance" below. The gross margin percent of merchandise sales increased to 3.7% for the six months ended June 30, 2020, from (2.3)% in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by $13.2 million, or 1.6%, to $819.7 million for the six months ended June 30, 2020, from $832.9 million in 2019,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decreases of $7.0 million and $4.9 million in the Preferred Lease and Rent-A-Center Business segments, respectively, as discussed further in the section "Segment Performance" below. Gross profit as a percentage of total revenue decreased to 59.2% for the six months ended June 30, 2020, as compared to 61.6% in 2019.</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decreased by $30.9 million, or 9.8%, to $283.7 million, for the six months ended June 30, 2020, as compared to $314.6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attributable to decreases of $16.5 million and $14.1 million in the Preferred Lease and Rent-A-Center Business segments, respectively, as discussed further in the section "Segment Performance" below. Store labor expressed as a percentage of total store revenue was 21.1% for the six months ended June 30, 2020, as compared to 23.7% in 2019.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Other Store Expenses. </w:t>
      </w:r>
      <w:r>
        <w:rPr>
          <w:rFonts w:ascii="Arial" w:cs="Arial" w:eastAsia="Arial" w:hAnsi="Arial"/>
          <w:sz w:val="18"/>
          <w:szCs w:val="18"/>
          <w:color w:val="auto"/>
        </w:rPr>
        <w:t>Other store expenses increased by $9.5 million, or 3.0%, to $322.5 million for the six months ended June 30,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$313.0 million in 2019, primarily attributable to an increase of $24.8 million in the Preferred Lease segment, partially offset by decreases of $13.9 million and $1.0 million in the Rent-A-Center Business Lease and Mexico segments, respectively, as discussed further in the section "Segment Performance" below. Other store expenses expressed as a percentage of total store revenue were 24.0% for the six months ended June 30, 2020, compared to 23.6% in 2019.</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by $0.6 million, or 0.9%, to $72.1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as compared to $71.5 million in 2019. General and administrative expenses expressed as a percentage of total revenue were 5.2% for the six months ended June 30, 2020, compared to 5.3% in 2019.</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Other Charges and (Gains). </w:t>
      </w:r>
      <w:r>
        <w:rPr>
          <w:rFonts w:ascii="Arial" w:cs="Arial" w:eastAsia="Arial" w:hAnsi="Arial"/>
          <w:sz w:val="16"/>
          <w:szCs w:val="16"/>
          <w:color w:val="auto"/>
        </w:rPr>
        <w:t>Other charges and (gains) increased by $53.8 million, to $9.6 million for the six months ended June 30, 2020,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$(44.2) million in 2019. Other charges for the six months ended June 30, 2020 primarily related to legal settlement and state sales tax assessment reserves, cost savings initiatives, inventory losses resulting from damage and looting related to social unrest, employee payroll and sanitation costs in connection with COVID-19, and store closure impacts, partially offset by rent abatements and insurance proceeds. Other gains for the six months ended June 30, 2019 primarily related to the Vintage Settlement Proceeds, and insurance proceeds related to the 2017 hurricanes, partially offset by the Blair class action settlement costs, associated merger termination legal and professional fees, store closures, state tax audit assessments, and cost savings initiatives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by $44.7 million, to $102.5 million for the six months ended June 30, 2020, as compared to $147.2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primarily due to the increase in other charges described above. Operating profit expressed as a percentage of total revenue was 7.4% for the six months ended June 30, 2020, compared to 10.9% in 2019. Excluding other charges and (gains), operating profit was $112.1 million, or 8.1% of revenue for the six months ended June 30, 2020, compared to $103.0 million, or 7.6% of revenue for the comparable period of 2019.</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w:t>
      </w:r>
      <w:r>
        <w:rPr>
          <w:rFonts w:ascii="Arial" w:cs="Arial" w:eastAsia="Arial" w:hAnsi="Arial"/>
          <w:sz w:val="18"/>
          <w:szCs w:val="18"/>
          <w:color w:val="auto"/>
        </w:rPr>
        <w:t>Income tax expense for the six months ended June 30, 2020 was $6.5 million, as compared to $28.8 million in 2019. The effective tax rate was</w:t>
      </w:r>
      <w:r>
        <w:rPr>
          <w:rFonts w:ascii="Arial" w:cs="Arial" w:eastAsia="Arial" w:hAnsi="Arial"/>
          <w:sz w:val="18"/>
          <w:szCs w:val="18"/>
          <w:i w:val="1"/>
          <w:iCs w:val="1"/>
          <w:color w:val="auto"/>
        </w:rPr>
        <w:t xml:space="preserve"> </w:t>
      </w:r>
      <w:r>
        <w:rPr>
          <w:rFonts w:ascii="Arial" w:cs="Arial" w:eastAsia="Arial" w:hAnsi="Arial"/>
          <w:sz w:val="18"/>
          <w:szCs w:val="18"/>
          <w:color w:val="auto"/>
        </w:rPr>
        <w:t>6.9% for the six months ended June 30, 2020, compared to 22.0% in 2019. The decrease in income tax expense for the six months ended June 30, 2020 compared to 2019 was primarily related to the tax benefit of net operating loss carrybacks at a 35% tax rate as a result of changes from the Coronavirus Aid, Relief, and Economic Security Act, enacted on March 27, 2020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tcPr>
          <w:p>
            <w:pPr>
              <w:spacing w:after="0"/>
              <w:rPr>
                <w:sz w:val="18"/>
                <w:szCs w:val="18"/>
                <w:color w:val="auto"/>
              </w:rPr>
            </w:pPr>
          </w:p>
        </w:tc>
        <w:tc>
          <w:tcPr>
            <w:tcW w:w="130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3"/>
              </w:rPr>
              <w:t>$  459,192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9"/>
              </w:rPr>
              <w:t>451,096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   8,096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914,157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925,153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9"/>
              </w:rPr>
              <w:t>$   (10,996)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316,047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w w:val="89"/>
              </w:rPr>
              <w:t>313,871</w:t>
            </w:r>
          </w:p>
        </w:tc>
        <w:tc>
          <w:tcPr>
            <w:tcW w:w="10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8"/>
                <w:szCs w:val="18"/>
                <w:color w:val="auto"/>
              </w:rPr>
              <w:t>633,605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8"/>
                <w:szCs w:val="18"/>
                <w:color w:val="auto"/>
                <w:w w:val="98"/>
              </w:rPr>
              <w:t>638,511</w:t>
            </w:r>
          </w:p>
        </w:tc>
        <w:tc>
          <w:tcPr>
            <w:tcW w:w="1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85,132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64,925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153,075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118,236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256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1,494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8"/>
        <w:spacing w:after="0" w:line="257" w:lineRule="auto"/>
        <w:tabs>
          <w:tab w:leader="none" w:pos="127" w:val="left"/>
        </w:tabs>
        <w:numPr>
          <w:ilvl w:val="0"/>
          <w:numId w:val="10"/>
        </w:numPr>
        <w:rPr>
          <w:rFonts w:ascii="Arial" w:cs="Arial" w:eastAsia="Arial" w:hAnsi="Arial"/>
          <w:sz w:val="14"/>
          <w:szCs w:val="14"/>
          <w:color w:val="auto"/>
          <w:vertAlign w:val="superscript"/>
        </w:rPr>
      </w:pPr>
      <w:r>
        <w:rPr>
          <w:rFonts w:ascii="Arial" w:cs="Arial" w:eastAsia="Arial" w:hAnsi="Arial"/>
          <w:sz w:val="11"/>
          <w:szCs w:val="11"/>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24</w:t>
      </w:r>
      <w:r>
        <w:rPr>
          <w:rFonts w:ascii="Arial" w:cs="Arial" w:eastAsia="Arial" w:hAnsi="Arial"/>
          <w:sz w:val="14"/>
          <w:szCs w:val="14"/>
          <w:color w:val="auto"/>
          <w:vertAlign w:val="superscript"/>
        </w:rPr>
        <w:t>th</w:t>
      </w:r>
      <w:r>
        <w:rPr>
          <w:rFonts w:ascii="Arial" w:cs="Arial" w:eastAsia="Arial" w:hAnsi="Arial"/>
          <w:sz w:val="11"/>
          <w:szCs w:val="11"/>
          <w:color w:val="auto"/>
        </w:rPr>
        <w:t xml:space="preserve"> full month following account transfer. Due to the COVID-19 pandemic and related temporary store closures, all 32 stores in Puerto Rico were excluded starting in March 2020 and will remain excluded for 18 months.</w:t>
      </w:r>
    </w:p>
    <w:p>
      <w:pPr>
        <w:spacing w:after="0" w:line="8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The decrease in revenue for the six months ended June 30, 2020 was driven primarily by a decrease in rentals and fees revenue of $28.9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an increase in merchandise sales of $18.9 million, as compared to 2019. The decrease is primarily due to our refranchising efforts and the rationalization of our Rent-A-Center Business store base, partially offset by an increase in same store sales, which were positively impacted by government stimulus and supplemental unemployment benefits issued by the federal government in response to the COVID-19 pandemic.</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decreased for six months ended June 30, 2020, as compared to 2019, primarily due to the decreases in revenue described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partially offset by decreases in costs of rentals and fees. Gross profit increased for the three months ended June 30, 2020, as compared to 2019, primarily due to increases in revenue described above, partially offset by increases in cost of merchandise sales. Gross profit as a percentage of segment revenues was 68.8% and 69.3% for the three and six months ended June 30, 2020, as compared to 69.6% and 69.0% for the respective periods in 2019.</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18.5% and 16.7% for the three and six months ended June 30, 2020,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14.4% and 12.8% for the respective periods in 2019, primarily due to decreases in store labor and other store expenses of $30.3 million and $16.0 million, respectively. Declines in store labor and other store expenses were driven primarily by lower store count, partially offset by higher merchandise losses. Charge-offs in our Rent-A-Center Business lease-to-own stores due to customer stolen merchandise, expressed as a percentage of Rent-A-Center Business lease-to-own revenues, were approximately 3.7% and 3.8% for the three and six months ended June 30, 2020, compared to 3.2% and 3.4% for the respective periods in 2019. Charge-offs in our Rent-A-Center Business lease-to-own stores due to other merchandise losses, expressed as a percentage of Rent-A-Center Business lease-to-own revenues, were approximately 1.7% and 1.4% for the three and six months ended June 30, 2020, compared to 1.1% and 1.2% for the respective periods in 2019. Other merchandise losses include unrepairable and missing merchandise, and loss/damage waiver claims.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Lease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9"/>
        </w:trPr>
        <w:tc>
          <w:tcPr>
            <w:tcW w:w="2580" w:type="dxa"/>
            <w:vAlign w:val="bottom"/>
          </w:tcPr>
          <w:p>
            <w:pPr>
              <w:spacing w:after="0"/>
              <w:rPr>
                <w:sz w:val="18"/>
                <w:szCs w:val="18"/>
                <w:color w:val="auto"/>
              </w:rPr>
            </w:pPr>
          </w:p>
        </w:tc>
        <w:tc>
          <w:tcPr>
            <w:tcW w:w="132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8"/>
                <w:szCs w:val="18"/>
                <w:color w:val="auto"/>
              </w:rPr>
            </w:pPr>
          </w:p>
        </w:tc>
      </w:tr>
      <w:tr>
        <w:trPr>
          <w:trHeight w:val="19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6"/>
              </w:rPr>
              <w:t>$  191,243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9"/>
              </w:rPr>
              <w:t>176,389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w w:val="98"/>
              </w:rPr>
              <w:t>$  14,854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407,370</w:t>
            </w: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5"/>
              </w:rPr>
              <w:t>372,911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34,459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71,391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80,380</w:t>
            </w:r>
          </w:p>
        </w:tc>
        <w:tc>
          <w:tcPr>
            <w:tcW w:w="1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159,706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w w:val="95"/>
              </w:rPr>
              <w:t>166,708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(7,002)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2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24,455</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44,247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(19,792)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2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three and six months ended June 30, 2020 compared to 2019, was primarily due to the implementation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Lease virtual solution following the acquisition of Merchants Preferred in August 2019.</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for the three and six months ended June 30, 2020, compared to 2019, primarily driven by a higher number of early</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resulting from government stimulus and supplemental unemployment benefits issued by the federal government in response to the COVID-19 pandemic. Gross profit as a percentage of segment revenues decreased to 37.3% and 39.2% for the three and six months ended June 30, 2020, compared to 45.6% and 44.7% for the respective periods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by 72.6% and 44.7% for the three and six months ended June 30, 2020, as compared to 2019. The decreases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profit for the three and six months ended June 30, 2020 were primarily due to increases in other store expenses. Operating profit as a percentage of segment revenues decreased to 3.3% and 6.0% for the three and six months ended June 30, 2020, compared to 12.9% and 11.9% for the respective periods in 2019. The increase in other store expenses was primarily due to higher merchandise losses, primarily due to incremental reserves recognized for higher expected skip / stolen losses related to COVID-19, a higher mix of virtual locations, and investments to support expected revenue growth. Charge-offs in our Preferred Lease locations due to customer stolen merchandise, expressed as a percentage of revenues, were approximately 18.4% and 15.1% for the three and six months ended June 30, 2020, compared to 9.6% and 9.8% for the respective periods in 2019. Charge-offs in our Preferred Lease locations due to other merchandise losses, expressed as a percentage of revenues, were approximately 0.3% for both the three and six months ended June 30, 2020, compared to 0.2% and 0.3% in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18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3"/>
              </w:rPr>
              <w:t>$  10,611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87"/>
              </w:rPr>
              <w:t>13,551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   (2,940)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6"/>
              </w:rPr>
              <w:t>$ 24,157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7"/>
              </w:rPr>
              <w:t>26,896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(2,739)</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8"/>
                <w:szCs w:val="18"/>
                <w:color w:val="auto"/>
              </w:rPr>
              <w:t>16,960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ind w:right="55"/>
              <w:spacing w:after="0"/>
              <w:rPr>
                <w:sz w:val="20"/>
                <w:szCs w:val="20"/>
                <w:color w:val="auto"/>
              </w:rPr>
            </w:pPr>
            <w:r>
              <w:rPr>
                <w:rFonts w:ascii="Arial" w:cs="Arial" w:eastAsia="Arial" w:hAnsi="Arial"/>
                <w:sz w:val="18"/>
                <w:szCs w:val="18"/>
                <w:color w:val="auto"/>
                <w:w w:val="87"/>
              </w:rPr>
              <w:t>18,680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color w:val="auto"/>
              </w:rPr>
              <w:t>Change in same store revenue</w:t>
            </w: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Stores in same store revenue</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0" w:type="dxa"/>
            <w:vAlign w:val="bottom"/>
            <w:gridSpan w:val="3"/>
            <w:vMerge w:val="restart"/>
            <w:shd w:val="clear" w:color="auto" w:fill="CCEEFF"/>
          </w:tcPr>
          <w:p>
            <w:pPr>
              <w:jc w:val="right"/>
              <w:ind w:right="168"/>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calculation</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8"/>
        <w:spacing w:after="0" w:line="260" w:lineRule="auto"/>
        <w:tabs>
          <w:tab w:leader="none" w:pos="99"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Same store sales generally represents revenue earned in stores that were operated by us for 13 months or more and are reported on a constant currency basis as a percentage of total revenue earned in stores of the segment during the indicated period. We exclude from the same store sales base any store that receives a certain level of customer accounts from closed stores or acquisitions. The receiving store will be eligible for inclusion in the same store sales base in the 24</w:t>
      </w:r>
      <w:r>
        <w:rPr>
          <w:rFonts w:ascii="Arial" w:cs="Arial" w:eastAsia="Arial" w:hAnsi="Arial"/>
          <w:sz w:val="15"/>
          <w:szCs w:val="15"/>
          <w:color w:val="auto"/>
          <w:vertAlign w:val="superscript"/>
        </w:rPr>
        <w:t>th</w:t>
      </w:r>
      <w:r>
        <w:rPr>
          <w:rFonts w:ascii="Arial" w:cs="Arial" w:eastAsia="Arial" w:hAnsi="Arial"/>
          <w:sz w:val="12"/>
          <w:szCs w:val="12"/>
          <w:color w:val="auto"/>
        </w:rPr>
        <w:t xml:space="preserve"> full month following account transfer.</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and six months ended June 30, 2020 were negatively impacted by exchange rate fluctuations of approximately $2.3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$2.9 million as compared to the same periods in 2019. On a constant currency basis, revenues for the three months ended June 30, 2020 decreased approximately $0.6 million and revenues for the six months ended June 30, 2020 increased approximately $0.2 million as compared to the same periods in 2019.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and six months ended June 30, 2020 was negatively impacted by exchange rate fluctuations of approximately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$2.0 million as compared to the same periods in 2019. On a constant currency basis, gross profit for the three months ended June 30, 2020 decreased by approximately $0.4 million and gross profit for the six months ended June 30, 2020 increased by approximately $0.3 million as compared to the same periods in 2019. Gross profit as a percentage of segment revenues was 70.0% and 70.2% for the three and six months ended June 30, 2020, compared to 69.4% and 69.5% for the respective periods in 2019.</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for the three and six months ended June 30, 2020 were each negatively impacted by exchange rate fluctuations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$0.2 million compared to 2019. Operating profit as a percentage of segment revenues decreased to 9.9% and 8.4% for the three and six months ended June 30, 2020, from 10.9% and 10.0% for the respective periods in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2620" w:type="dxa"/>
            <w:vAlign w:val="bottom"/>
          </w:tcPr>
          <w:p>
            <w:pPr>
              <w:spacing w:after="0"/>
              <w:rPr>
                <w:sz w:val="18"/>
                <w:szCs w:val="18"/>
                <w:color w:val="auto"/>
              </w:rPr>
            </w:pPr>
          </w:p>
        </w:tc>
        <w:tc>
          <w:tcPr>
            <w:tcW w:w="136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196"/>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   22,700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4"/>
              </w:rPr>
              <w:t>14,889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   7,811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40,001</w:t>
            </w: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27,659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9,439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9,038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3,581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for the three and six months ended June 30, 2020 compared to the respective periods in 2019, primarily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locations as a result of refranchising approximately 60 and 100 Rent-A-Center Business corporate stores during the preceding 15 and 18 months, respectively, and higher inventory purchases by our franchisees.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20.5% and 23.6% for the three and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29.6% and 32.7% for the respective periods in 2019, primarily due to changes in our revenue mix of franchise royalties and fees and rental merchandise sales, related to the increase in franchise locations described above.</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as a percentage of segment revenues increased for the three and six months ended June 30, 2020 to 13.3% and 13.9%,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12.1% and 12.9% for the respective periods in 2019, primarily due to a decrease in other store operating expenses.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For the six months ended June 30, 2020, we generated $254.7 million in operating cash flow. We paid down $41.0 million of debt using cash</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from operations, and used cash in the amount of $31.6 million for dividends, $26.5 million for share repurchases, and $14.8 million for capital expenditures. We ended the second quarter of 2020 with $206.4 million of cash and cash equivalents and outstanding indebtedness of $198.5 million.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Analysis of Cash Flow. </w:t>
      </w:r>
      <w:r>
        <w:rPr>
          <w:rFonts w:ascii="Arial" w:cs="Arial" w:eastAsia="Arial" w:hAnsi="Arial"/>
          <w:sz w:val="18"/>
          <w:szCs w:val="18"/>
          <w:color w:val="auto"/>
        </w:rPr>
        <w:t>Cash provided by operating activities increased $69.3 million to $254.7 million for the six months ended June 30,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$185.4 million in 2019. This increase was primarily attributable to a decrease in rental merchandise purchases during the six months ended June 30, 2020 compared to the same period in 2019, receipt of our federal tax refund of approximately $30 million, and other net changes in operating assets and liabilities.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provided by investing activities was $(14.4) million for the six months ended June 30, 2020, compared to $9.5 million in 2019, a change of $(23.9) million, primarily due to an increase in capital expenditures and lower proceeds from the sale of property assets.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provided by financing activities was $(102.7) million for the six months ended June 30, 2020, compared to $2.4 million in 2019, a change of $(105.1) million, primarily due to increases in debt repayments of $233.6 million, dividends paid of $31.6 million, and share repurchases of $26.5 million, partially offset by an increase in proceeds from debt of $192.6 million for the six months ended June 30, 2020.</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Liquidity Requirements</w:t>
      </w:r>
      <w:r>
        <w:rPr>
          <w:rFonts w:ascii="Arial" w:cs="Arial" w:eastAsia="Arial" w:hAnsi="Arial"/>
          <w:sz w:val="16"/>
          <w:szCs w:val="16"/>
          <w:color w:val="auto"/>
        </w:rPr>
        <w:t>. Our primary liquidity requirements are for rental merchandise purchases and other operating expenses. Other capital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expenditures for property assets, including rental expense, debt service, and dividends. Historically, our primary source of liquidity has been cash provided by operations. Should we require additional funding sources, we maintain our ABL Credit Facility with commitments of up to $300 million, subject to the terms and availability of our ABL Credit Facility. We utilize our ABL Credit Facility for the issuance of letters of credit, as well as to manage normal fluctuations in operational cash flow caused by the timing of cash receipts. In March 2020, as a precautionary measure in response to negative impacts to our operations stemming from the COVID-19 pandemic, we drew down approximately $118.0 million against our ABL Credit Facility to enhance our financial flexibility and increase our available cash on hand. With cash flow generated from operations, in June 2020, we repaid the full outstanding balance of approximately $163.0 million borrowed against our ABL Credit Facility and had no outstanding borrowings as of June 30, 2020.</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response to the negative impacts to our business resulting from COVID-19,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period of time, suspending further share repurchases. In addition, we received approximately $30 million in federal tax refunds described above, including $12 million related to net operating loss carrybacks at a 35% tax rate in connection with the CARES Act, and expect to defer approximately $19 million in employer payroll taxes to future periods.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Taking into consideration our efforts to minimize expenses in response to COVID-19 and benefits from the CARES Act, and based on current assumptions and expectations, we believe the cash flow generated from operations and other sources of liquidity including availability under our ABL Credit Facility will be sufficient to fund our operations over the next 12 months.</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July 29, 2020, we had approximately $190.3 million in cash on hand and $211.2 million available under our ABL Credit Agreement at June 30, 2020. In addition, in June 2020, the Rent-A-Center Board of Directors declared a cash dividend of $0.29 per share for the third quarter of 2020, which was paid on July 28, 2020 to stockholders of record at the close of business on July 10, 2020.</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Act. The Tax Act allows 100% bonus depreciation for certain property placed in service between September 27, 2017 and December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31, 2022, at which point it will begin to phase out. The bonus depreciation provided by the Tax Act resulted in an estimated benefit of $194 million for us in 2019. We estimate the remaining tax deferral associated with bonus depreciation from the Tax Act was approximately $239 million at December 31, 2019, of which approximately 78%, or $189 million, will reverse in 2020, and the majority of the remainder will reverse between 2021 and 2022.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90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stolen merchandise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54,519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33,443</w:t>
            </w:r>
          </w:p>
        </w:tc>
        <w:tc>
          <w:tcPr>
            <w:tcW w:w="2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101,429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73,189</w:t>
            </w:r>
          </w:p>
        </w:tc>
      </w:tr>
      <w:tr>
        <w:trPr>
          <w:trHeight w:val="27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merchandise losses </w:t>
            </w:r>
            <w:r>
              <w:rPr>
                <w:rFonts w:ascii="Arial" w:cs="Arial" w:eastAsia="Arial" w:hAnsi="Arial"/>
                <w:sz w:val="23"/>
                <w:szCs w:val="23"/>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5,467</w:t>
            </w:r>
          </w:p>
        </w:tc>
        <w:tc>
          <w:tcPr>
            <w:tcW w:w="2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14,244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12,304</w:t>
            </w:r>
          </w:p>
        </w:tc>
      </w:tr>
      <w:tr>
        <w:trPr>
          <w:trHeight w:val="288"/>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merchandise losses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62,672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38,910</w:t>
            </w:r>
          </w:p>
        </w:tc>
        <w:tc>
          <w:tcPr>
            <w:tcW w:w="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115,673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85,493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color w:val="auto"/>
        </w:rPr>
        <w:t>Includes incremental loss reserves of approximately $5.6 million due to higher expected skip / stolen losses related to COVID-19</w:t>
      </w:r>
    </w:p>
    <w:p>
      <w:pPr>
        <w:spacing w:after="0" w:line="2" w:lineRule="exact"/>
        <w:rPr>
          <w:rFonts w:ascii="Arial" w:cs="Arial" w:eastAsia="Arial" w:hAnsi="Arial"/>
          <w:sz w:val="16"/>
          <w:szCs w:val="16"/>
          <w:i w:val="1"/>
          <w:iCs w:val="1"/>
          <w:color w:val="auto"/>
          <w:vertAlign w:val="superscript"/>
        </w:rPr>
      </w:pPr>
    </w:p>
    <w:p>
      <w:pPr>
        <w:ind w:left="160" w:hanging="152"/>
        <w:spacing w:after="0" w:line="207" w:lineRule="auto"/>
        <w:tabs>
          <w:tab w:leader="none" w:pos="16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$14.8 million and $5.1 million on capital expenditures during the six months ended June 30, 2020 and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the first six months of 2020, we did not acquire any new locations or customer accounts.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table below summarizes the store location activity for the six-month period ended June 30, 2020 for our Rent-A-Center Business, Mexico and Franchising operating segments.</w:t>
      </w:r>
    </w:p>
    <w:tbl>
      <w:tblPr>
        <w:tblLayout w:type="fixed"/>
        <w:tblInd w:w="0" w:type="dxa"/>
        <w:tblCellMar>
          <w:top w:w="0" w:type="dxa"/>
          <w:left w:w="0" w:type="dxa"/>
          <w:bottom w:w="0" w:type="dxa"/>
          <w:right w:w="0" w:type="dxa"/>
        </w:tblCellMar>
      </w:tblPr>
      <w:tr>
        <w:trPr>
          <w:trHeight w:val="150"/>
        </w:trPr>
        <w:tc>
          <w:tcPr>
            <w:tcW w:w="5660" w:type="dxa"/>
            <w:vAlign w:val="bottom"/>
          </w:tcPr>
          <w:p>
            <w:pPr>
              <w:spacing w:after="0"/>
              <w:rPr>
                <w:sz w:val="13"/>
                <w:szCs w:val="13"/>
                <w:color w:val="auto"/>
              </w:rPr>
            </w:pPr>
          </w:p>
        </w:tc>
        <w:tc>
          <w:tcPr>
            <w:tcW w:w="14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6"/>
              </w:rPr>
              <w:t>Rent-A-Center</w:t>
            </w: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Mexico</w:t>
            </w:r>
          </w:p>
        </w:tc>
        <w:tc>
          <w:tcPr>
            <w:tcW w:w="14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Franchising</w:t>
            </w:r>
          </w:p>
        </w:tc>
        <w:tc>
          <w:tcPr>
            <w:tcW w:w="13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Business</w:t>
            </w:r>
          </w:p>
        </w:tc>
        <w:tc>
          <w:tcPr>
            <w:tcW w:w="14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beginning of period</w:t>
            </w:r>
          </w:p>
        </w:tc>
        <w:tc>
          <w:tcPr>
            <w:tcW w:w="13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New location openings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Conversions</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Closed locations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Merged with existing locations</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Sold or closed with no surviving location</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Locations at end of period</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As discussed in Note 7 to the condensed consolidated financial statements included in Part I, Item I of this Quarterly Report on Form 10-Q, in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2019, we completed the refinancing of our prior revolving facility and, effective August 5, 2019, redeemed in full our unsecured senior notes using cash on hand and proceeds from our new $300 million ABL Credit Facility and $200 million from a new term loan under our ABL Credit Agreement. We may use, subject to certain limitations and borrowing availability, $150 million under our ABL Credit Agreement for the issuance of letters of credit, of which $88.8 million, primarily relating to workers compensation, had been so utilized as of July 29, 2020. The ABL Credit Agreement has a scheduled maturity date of August 5, 2024.</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Store Leases</w:t>
      </w:r>
      <w:r>
        <w:rPr>
          <w:rFonts w:ascii="Arial" w:cs="Arial" w:eastAsia="Arial" w:hAnsi="Arial"/>
          <w:sz w:val="16"/>
          <w:szCs w:val="16"/>
          <w:color w:val="auto"/>
        </w:rPr>
        <w:t>. We lease space for all of our Rent-A-Center Business and Mexico stores under operating leases expiring at various times through 2027.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Commitments</w:t>
      </w:r>
      <w:r>
        <w:rPr>
          <w:rFonts w:ascii="Arial" w:cs="Arial" w:eastAsia="Arial" w:hAnsi="Arial"/>
          <w:sz w:val="17"/>
          <w:szCs w:val="17"/>
          <w:color w:val="auto"/>
        </w:rPr>
        <w:t>. The table below summarizes debt, lease and other minimum cash obligations outstanding as of June 30,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6"/>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Thereafter</w:t>
            </w:r>
          </w:p>
        </w:tc>
      </w:tr>
      <w:tr>
        <w:trPr>
          <w:trHeight w:val="27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198,500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189,500</w:t>
            </w:r>
          </w:p>
        </w:tc>
      </w:tr>
      <w:tr>
        <w:trPr>
          <w:trHeight w:val="270"/>
        </w:trPr>
        <w:tc>
          <w:tcPr>
            <w:tcW w:w="3480" w:type="dxa"/>
            <w:vAlign w:val="bottom"/>
          </w:tcPr>
          <w:p>
            <w:pPr>
              <w:ind w:left="20"/>
              <w:spacing w:after="0"/>
              <w:rPr>
                <w:sz w:val="20"/>
                <w:szCs w:val="20"/>
                <w:color w:val="auto"/>
              </w:rPr>
            </w:pPr>
            <w:r>
              <w:rPr>
                <w:rFonts w:ascii="Arial" w:cs="Arial" w:eastAsia="Arial" w:hAnsi="Arial"/>
                <w:sz w:val="18"/>
                <w:szCs w:val="18"/>
                <w:color w:val="auto"/>
              </w:rPr>
              <w:t>ABL Credit Agreement</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7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329,782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67,972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162,975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69,512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29,323</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(3)</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528,282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68,972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166,975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73,512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218,823</w:t>
            </w:r>
          </w:p>
        </w:tc>
      </w:tr>
      <w:tr>
        <w:trPr>
          <w:trHeight w:val="20"/>
        </w:trPr>
        <w:tc>
          <w:tcPr>
            <w:tcW w:w="3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Does not include interest payments. Our Term Loan bears interest at varying rates equal to the Eurodollar rate plus 4.50%. The Eurodollar rate on our Term Loan at June 30, 2020, was 4.69%.</w:t>
      </w:r>
    </w:p>
    <w:p>
      <w:pPr>
        <w:ind w:left="160" w:hanging="152"/>
        <w:spacing w:after="0" w:line="206" w:lineRule="auto"/>
        <w:tabs>
          <w:tab w:leader="none" w:pos="160"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Our ABL Credit Agreement bears interest at varying rates equal to the Eurodollar rate plus 1.50% to 2.00%. The weighted average Eurodollar rate on our ABL Credit Agreement at June 30, 2020, was 1.69%.</w:t>
      </w:r>
    </w:p>
    <w:p>
      <w:pPr>
        <w:ind w:left="180" w:hanging="172"/>
        <w:spacing w:after="0" w:line="214" w:lineRule="auto"/>
        <w:tabs>
          <w:tab w:leader="none" w:pos="167"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As of June 30, 2020, we have recorded $23.2 million in uncertain tax positions. Because of the uncertainty of the amounts to be ultimately paid as well as the timing of such payments, uncertain tax positions are not reflected in the contractual obligations table.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when compared to other quarters throughout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The adoption of ASU 2019-12 will be required for us beginning January 1, 2021. We do not believe this ASU will have a material impact on our financial statements upon adoption.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we had $198.5 million outstanding under our term loan credit agreement at interest rates indexed to the Eurodollar rate or the prime rate. Carrying value approximates fair value for this indebtedness.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debt with variable interest rates indexed to prime or Eurodollar rates that exposes us to the risk of increased interest costs if interest rates rise. As of June 30, 2020, we have not entered into any interest rate swap agreements. Based on our overall interest rate exposure at June 30, 2020, a hypothetical 1.0% increase or decrease in market interest rates would have the effect of causing an additional $2.0 million annualized pre-tax charge or credit to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In accordance with Rule 13a-15(b) under the Securities Exchange Act of 1934, an evaluation was performed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June 30, 2020, our disclosure controls and procedures (as defined in Rules 13a– 15(e) and 15d–15(e) under the Securities Exchange Act of 1934) were effective.</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Changes in internal controls over financial reporting</w:t>
      </w:r>
      <w:r>
        <w:rPr>
          <w:rFonts w:ascii="Arial" w:cs="Arial" w:eastAsia="Arial" w:hAnsi="Arial"/>
          <w:sz w:val="18"/>
          <w:szCs w:val="18"/>
          <w:color w:val="auto"/>
        </w:rPr>
        <w:t>. For the quarter ended June 30, 2020, there have been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(“CAG”) previously issued an investigative subpoena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Acceptance Now business practices (now part of the Preferred Lease segment). The request for documents and information was sought in connection with a broader investigation of the rent-to-own industry in California. Since receiving such demand, we have cooperated with the CAG in connection with its investigation and made several productions of requested documents. In March 2020, the CAG put forth proposed settlement terms to address alleged violations of California law. The proposed settlement terms include civil penalties, disgorgement of certain revenues, additional training requirements, and recommended changes to Acceptance Now business practices. We believe that our business practices are in compliance with California law and are continuing to discuss resolution of the inquiry with the CAG. At this point, while we cannot predict the ultimate outcome, we do not believe any such outcome will have a material impact on our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have been no material changes to the risk factors disclosed in Item 1A of Part 1, "Risk Factors" of our Annual Report on Form 10-K for the year ended December 31, 2019 and in Item 1A of Part II, "Risk Factors" of our Quarterly Report on Form 10-Q for the quarter ended March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60" w:type="dxa"/>
            <w:vAlign w:val="bottom"/>
            <w:gridSpan w:val="13"/>
          </w:tcPr>
          <w:p>
            <w:pPr>
              <w:ind w:left="200"/>
              <w:spacing w:after="0"/>
              <w:rPr>
                <w:sz w:val="20"/>
                <w:szCs w:val="20"/>
                <w:color w:val="auto"/>
              </w:rPr>
            </w:pPr>
            <w:r>
              <w:rPr>
                <w:rFonts w:ascii="Arial" w:cs="Arial" w:eastAsia="Arial" w:hAnsi="Arial"/>
                <w:sz w:val="18"/>
                <w:szCs w:val="18"/>
                <w:b w:val="1"/>
                <w:bCs w:val="1"/>
                <w:color w:val="auto"/>
              </w:rPr>
              <w:t>RENT-A-CENTER, INC. AND SUBSIDIARIES</w:t>
            </w:r>
          </w:p>
        </w:tc>
      </w:tr>
      <w:tr>
        <w:trPr>
          <w:trHeight w:val="810"/>
        </w:trPr>
        <w:tc>
          <w:tcPr>
            <w:tcW w:w="14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60" w:type="dxa"/>
            <w:vAlign w:val="bottom"/>
            <w:gridSpan w:val="10"/>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24"/>
        </w:trPr>
        <w:tc>
          <w:tcPr>
            <w:tcW w:w="14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9860" w:type="dxa"/>
            <w:vAlign w:val="bottom"/>
            <w:tcBorders>
              <w:bottom w:val="single" w:sz="8" w:color="0000FF"/>
            </w:tcBorders>
            <w:gridSpan w:val="17"/>
          </w:tcPr>
          <w:p>
            <w:pPr>
              <w:spacing w:after="0"/>
              <w:rPr>
                <w:rFonts w:ascii="Arial" w:cs="Arial" w:eastAsia="Arial" w:hAnsi="Arial"/>
                <w:sz w:val="18"/>
                <w:szCs w:val="18"/>
                <w:color w:val="0000FF"/>
                <w:w w:val="96"/>
              </w:rPr>
            </w:pPr>
            <w:hyperlink r:id="rId56">
              <w:r>
                <w:rPr>
                  <w:rFonts w:ascii="Arial" w:cs="Arial" w:eastAsia="Arial" w:hAnsi="Arial"/>
                  <w:sz w:val="18"/>
                  <w:szCs w:val="18"/>
                  <w:color w:val="0000FF"/>
                  <w:w w:val="96"/>
                </w:rPr>
                <w:t>Certificate of Incorporation of Rent-A-Center, Inc., as amended (incorporated herein by reference to Exhibit 3.1 to the registrant's</w:t>
              </w:r>
            </w:hyperlink>
          </w:p>
        </w:tc>
      </w:tr>
      <w:tr>
        <w:trPr>
          <w:trHeight w:val="155"/>
        </w:trPr>
        <w:tc>
          <w:tcPr>
            <w:tcW w:w="1480" w:type="dxa"/>
            <w:vAlign w:val="bottom"/>
          </w:tcPr>
          <w:p>
            <w:pPr>
              <w:spacing w:after="0"/>
              <w:rPr>
                <w:sz w:val="13"/>
                <w:szCs w:val="13"/>
                <w:color w:val="auto"/>
              </w:rPr>
            </w:pPr>
          </w:p>
        </w:tc>
        <w:tc>
          <w:tcPr>
            <w:tcW w:w="9860" w:type="dxa"/>
            <w:vAlign w:val="bottom"/>
            <w:gridSpan w:val="17"/>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Current Report on Form 8-K dated as of December 31, 2002)</w:t>
              </w:r>
            </w:hyperlink>
          </w:p>
        </w:tc>
      </w:tr>
      <w:tr>
        <w:trPr>
          <w:trHeight w:val="20"/>
        </w:trPr>
        <w:tc>
          <w:tcPr>
            <w:tcW w:w="1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840" w:type="dxa"/>
            <w:vAlign w:val="bottom"/>
            <w:tcBorders>
              <w:bottom w:val="single" w:sz="8" w:color="0000FF"/>
            </w:tcBorders>
            <w:gridSpan w:val="16"/>
          </w:tcPr>
          <w:p>
            <w:pPr>
              <w:spacing w:after="0"/>
              <w:rPr>
                <w:rFonts w:ascii="Arial" w:cs="Arial" w:eastAsia="Arial" w:hAnsi="Arial"/>
                <w:sz w:val="18"/>
                <w:szCs w:val="18"/>
                <w:color w:val="0000FF"/>
                <w:w w:val="97"/>
              </w:rPr>
            </w:pPr>
            <w:hyperlink r:id="rId57">
              <w:r>
                <w:rPr>
                  <w:rFonts w:ascii="Arial" w:cs="Arial" w:eastAsia="Arial" w:hAnsi="Arial"/>
                  <w:sz w:val="18"/>
                  <w:szCs w:val="18"/>
                  <w:color w:val="0000FF"/>
                  <w:w w:val="97"/>
                </w:rPr>
                <w:t>Certificate of Amendment to the Certificate of Incorporation of Rent-A-Center, Inc., dated May 19, 2004 (incorporated herein by</w:t>
              </w:r>
            </w:hyperlink>
          </w:p>
        </w:tc>
        <w:tc>
          <w:tcPr>
            <w:tcW w:w="20" w:type="dxa"/>
            <w:vAlign w:val="bottom"/>
          </w:tcPr>
          <w:p>
            <w:pPr>
              <w:spacing w:after="0"/>
              <w:rPr>
                <w:sz w:val="24"/>
                <w:szCs w:val="24"/>
                <w:color w:val="auto"/>
              </w:rPr>
            </w:pPr>
          </w:p>
        </w:tc>
      </w:tr>
      <w:tr>
        <w:trPr>
          <w:trHeight w:val="156"/>
        </w:trPr>
        <w:tc>
          <w:tcPr>
            <w:tcW w:w="1480" w:type="dxa"/>
            <w:vAlign w:val="bottom"/>
          </w:tcPr>
          <w:p>
            <w:pPr>
              <w:spacing w:after="0"/>
              <w:rPr>
                <w:sz w:val="13"/>
                <w:szCs w:val="13"/>
                <w:color w:val="auto"/>
              </w:rPr>
            </w:pPr>
          </w:p>
        </w:tc>
        <w:tc>
          <w:tcPr>
            <w:tcW w:w="9840" w:type="dxa"/>
            <w:vAlign w:val="bottom"/>
            <w:gridSpan w:val="16"/>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reference to Exhibit 3.2 to the registrant's Quarterly Report on Form 10-Q for the quarter ended June 30, 2004)</w:t>
              </w:r>
            </w:hyperlink>
          </w:p>
        </w:tc>
        <w:tc>
          <w:tcPr>
            <w:tcW w:w="20" w:type="dxa"/>
            <w:vAlign w:val="bottom"/>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9760" w:type="dxa"/>
            <w:vAlign w:val="bottom"/>
            <w:tcBorders>
              <w:bottom w:val="single" w:sz="8" w:color="0000FF"/>
            </w:tcBorders>
            <w:gridSpan w:val="12"/>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Amended and Restated Bylaws of Rent-A-Center, Inc. (incorporated herein by reference to Exhibit 3.1 to the registrant's Current</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56"/>
        </w:trPr>
        <w:tc>
          <w:tcPr>
            <w:tcW w:w="148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line="15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Report on Form 8-K dated as of September 28, 2011)</w:t>
              </w:r>
            </w:hyperlink>
          </w:p>
        </w:tc>
        <w:tc>
          <w:tcPr>
            <w:tcW w:w="59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9860" w:type="dxa"/>
            <w:vAlign w:val="bottom"/>
            <w:gridSpan w:val="17"/>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Certificate of Designations of Series D Preferred Stock of Rent-A-Center, Inc. (incorporated herein by reference to Exhibit 3.1 to the</w:t>
              </w:r>
            </w:hyperlink>
          </w:p>
        </w:tc>
      </w:tr>
      <w:tr>
        <w:trPr>
          <w:trHeight w:val="156"/>
        </w:trPr>
        <w:tc>
          <w:tcPr>
            <w:tcW w:w="148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registrant's Current Report on Form 8-K dated as of March 29, 2017)</w:t>
              </w:r>
            </w:hyperlink>
          </w:p>
        </w:tc>
        <w:tc>
          <w:tcPr>
            <w:tcW w:w="48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860" w:type="dxa"/>
            <w:vAlign w:val="bottom"/>
            <w:gridSpan w:val="17"/>
          </w:tcPr>
          <w:p>
            <w:pPr>
              <w:spacing w:after="0"/>
              <w:rPr>
                <w:rFonts w:ascii="Arial" w:cs="Arial" w:eastAsia="Arial" w:hAnsi="Arial"/>
                <w:sz w:val="18"/>
                <w:szCs w:val="18"/>
                <w:color w:val="0000FF"/>
                <w:w w:val="94"/>
              </w:rPr>
            </w:pPr>
            <w:hyperlink r:id="rId60">
              <w:r>
                <w:rPr>
                  <w:rFonts w:ascii="Arial" w:cs="Arial" w:eastAsia="Arial" w:hAnsi="Arial"/>
                  <w:sz w:val="18"/>
                  <w:szCs w:val="18"/>
                  <w:color w:val="0000FF"/>
                  <w:w w:val="94"/>
                </w:rPr>
                <w:t>Form of Certificate evidencing Common Stock (incorporated herein by reference to Exhibit 4.1 to the registrant's Current Report on</w:t>
              </w:r>
            </w:hyperlink>
          </w:p>
        </w:tc>
      </w:tr>
      <w:tr>
        <w:trPr>
          <w:trHeight w:val="155"/>
        </w:trPr>
        <w:tc>
          <w:tcPr>
            <w:tcW w:w="14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Form 10-Q for the quarter ended March 31, 2017)</w:t>
              </w:r>
            </w:hyperlink>
          </w:p>
        </w:tc>
        <w:tc>
          <w:tcPr>
            <w:tcW w:w="61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48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980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Certification pursuant to Rule 13a-14(a) of the Securities Exchange Act of 1934 implementing Section 302 of the Sarbanes-Oxley Act</w:t>
              </w:r>
            </w:hyperlink>
          </w:p>
        </w:tc>
        <w:tc>
          <w:tcPr>
            <w:tcW w:w="60" w:type="dxa"/>
            <w:vAlign w:val="bottom"/>
            <w:gridSpan w:val="3"/>
          </w:tcPr>
          <w:p>
            <w:pPr>
              <w:spacing w:after="0"/>
              <w:rPr>
                <w:sz w:val="22"/>
                <w:szCs w:val="22"/>
                <w:color w:val="auto"/>
              </w:rPr>
            </w:pPr>
          </w:p>
        </w:tc>
      </w:tr>
      <w:tr>
        <w:trPr>
          <w:trHeight w:val="156"/>
        </w:trPr>
        <w:tc>
          <w:tcPr>
            <w:tcW w:w="1480" w:type="dxa"/>
            <w:vAlign w:val="bottom"/>
          </w:tcPr>
          <w:p>
            <w:pPr>
              <w:spacing w:after="0"/>
              <w:rPr>
                <w:sz w:val="13"/>
                <w:szCs w:val="13"/>
                <w:color w:val="auto"/>
              </w:rPr>
            </w:pPr>
          </w:p>
        </w:tc>
        <w:tc>
          <w:tcPr>
            <w:tcW w:w="9800" w:type="dxa"/>
            <w:vAlign w:val="bottom"/>
            <w:gridSpan w:val="14"/>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of 2002 by Mitchell E. Fadel</w:t>
              </w:r>
            </w:hyperlink>
          </w:p>
        </w:tc>
        <w:tc>
          <w:tcPr>
            <w:tcW w:w="60" w:type="dxa"/>
            <w:vAlign w:val="bottom"/>
            <w:gridSpan w:val="3"/>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9860" w:type="dxa"/>
            <w:vAlign w:val="bottom"/>
            <w:gridSpan w:val="17"/>
          </w:tcPr>
          <w:p>
            <w:pPr>
              <w:spacing w:after="0"/>
              <w:rPr>
                <w:rFonts w:ascii="Arial" w:cs="Arial" w:eastAsia="Arial" w:hAnsi="Arial"/>
                <w:sz w:val="18"/>
                <w:szCs w:val="18"/>
                <w:color w:val="0000FF"/>
                <w:w w:val="93"/>
              </w:rPr>
            </w:pPr>
            <w:hyperlink w:anchor="page39">
              <w:r>
                <w:rPr>
                  <w:rFonts w:ascii="Arial" w:cs="Arial" w:eastAsia="Arial" w:hAnsi="Arial"/>
                  <w:sz w:val="18"/>
                  <w:szCs w:val="18"/>
                  <w:color w:val="0000FF"/>
                  <w:w w:val="93"/>
                </w:rPr>
                <w:t>Certification pursuant to Rule 13a-14(a) of the Securities Exchange Act of 1934 implementing Section 302 of the Sarbanes-Oxley Act</w:t>
              </w:r>
            </w:hyperlink>
          </w:p>
        </w:tc>
      </w:tr>
      <w:tr>
        <w:trPr>
          <w:trHeight w:val="156"/>
        </w:trPr>
        <w:tc>
          <w:tcPr>
            <w:tcW w:w="148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of 2002 by Maureen B. Short</w:t>
              </w:r>
            </w:hyperlink>
          </w:p>
        </w:tc>
        <w:tc>
          <w:tcPr>
            <w:tcW w:w="770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4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9860" w:type="dxa"/>
            <w:vAlign w:val="bottom"/>
            <w:gridSpan w:val="17"/>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Certification pursuant to 18 U.S.C. Section 1350 as adopted pursuant to Section 906 of the Sarbanes-Oxley Act of 2002 by Mitchell E.</w:t>
              </w:r>
            </w:hyperlink>
          </w:p>
        </w:tc>
      </w:tr>
      <w:tr>
        <w:trPr>
          <w:trHeight w:val="155"/>
        </w:trPr>
        <w:tc>
          <w:tcPr>
            <w:tcW w:w="148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40">
              <w:r>
                <w:rPr>
                  <w:rFonts w:ascii="Arial" w:cs="Arial" w:eastAsia="Arial" w:hAnsi="Arial"/>
                  <w:sz w:val="18"/>
                  <w:szCs w:val="18"/>
                  <w:color w:val="0000FF"/>
                  <w:w w:val="84"/>
                </w:rPr>
                <w:t>Fadel</w:t>
              </w:r>
            </w:hyperlink>
          </w:p>
        </w:tc>
        <w:tc>
          <w:tcPr>
            <w:tcW w:w="9340" w:type="dxa"/>
            <w:vAlign w:val="bottom"/>
            <w:tcBorders>
              <w:top w:val="single" w:sz="8" w:color="0000FF"/>
            </w:tcBorders>
            <w:gridSpan w:val="9"/>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17"/>
        </w:trPr>
        <w:tc>
          <w:tcPr>
            <w:tcW w:w="148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97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pursuant to 18 U.S.C. Section 1350 as adopted pursuant to Section 906 of the Sarbanes-Oxley Act of 2002 by Maureen B.</w:t>
              </w:r>
            </w:hyperlink>
          </w:p>
        </w:tc>
        <w:tc>
          <w:tcPr>
            <w:tcW w:w="140" w:type="dxa"/>
            <w:vAlign w:val="bottom"/>
            <w:gridSpan w:val="7"/>
          </w:tcPr>
          <w:p>
            <w:pPr>
              <w:spacing w:after="0"/>
              <w:rPr>
                <w:sz w:val="24"/>
                <w:szCs w:val="24"/>
                <w:color w:val="auto"/>
              </w:rPr>
            </w:pPr>
          </w:p>
        </w:tc>
      </w:tr>
      <w:tr>
        <w:trPr>
          <w:trHeight w:val="156"/>
        </w:trPr>
        <w:tc>
          <w:tcPr>
            <w:tcW w:w="1480" w:type="dxa"/>
            <w:vAlign w:val="bottom"/>
          </w:tcPr>
          <w:p>
            <w:pPr>
              <w:spacing w:after="0"/>
              <w:rPr>
                <w:sz w:val="13"/>
                <w:szCs w:val="13"/>
                <w:color w:val="auto"/>
              </w:rPr>
            </w:pPr>
          </w:p>
        </w:tc>
        <w:tc>
          <w:tcPr>
            <w:tcW w:w="9720" w:type="dxa"/>
            <w:vAlign w:val="bottom"/>
            <w:gridSpan w:val="10"/>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Short</w:t>
              </w:r>
            </w:hyperlink>
          </w:p>
        </w:tc>
        <w:tc>
          <w:tcPr>
            <w:tcW w:w="140" w:type="dxa"/>
            <w:vAlign w:val="bottom"/>
            <w:gridSpan w:val="7"/>
          </w:tcPr>
          <w:p>
            <w:pPr>
              <w:spacing w:after="0"/>
              <w:rPr>
                <w:sz w:val="13"/>
                <w:szCs w:val="13"/>
                <w:color w:val="auto"/>
              </w:rPr>
            </w:pPr>
          </w:p>
        </w:tc>
      </w:tr>
      <w:tr>
        <w:trPr>
          <w:trHeight w:val="20"/>
        </w:trPr>
        <w:tc>
          <w:tcPr>
            <w:tcW w:w="14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80" w:type="dxa"/>
            <w:vAlign w:val="bottom"/>
            <w:gridSpan w:val="16"/>
          </w:tcPr>
          <w:p>
            <w:pPr>
              <w:spacing w:after="0" w:line="20" w:lineRule="exact"/>
              <w:rPr>
                <w:sz w:val="1"/>
                <w:szCs w:val="1"/>
                <w:color w:val="auto"/>
              </w:rPr>
            </w:pPr>
          </w:p>
        </w:tc>
      </w:tr>
      <w:tr>
        <w:trPr>
          <w:trHeight w:val="357"/>
        </w:trPr>
        <w:tc>
          <w:tcPr>
            <w:tcW w:w="148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9860" w:type="dxa"/>
            <w:vAlign w:val="bottom"/>
            <w:gridSpan w:val="17"/>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files because its XBRL tags are embedded</w:t>
            </w:r>
          </w:p>
        </w:tc>
      </w:tr>
      <w:tr>
        <w:trPr>
          <w:trHeight w:val="230"/>
        </w:trPr>
        <w:tc>
          <w:tcPr>
            <w:tcW w:w="1480" w:type="dxa"/>
            <w:vAlign w:val="bottom"/>
          </w:tcPr>
          <w:p>
            <w:pPr>
              <w:spacing w:after="0"/>
              <w:rPr>
                <w:sz w:val="20"/>
                <w:szCs w:val="20"/>
                <w:color w:val="auto"/>
              </w:rPr>
            </w:pPr>
          </w:p>
        </w:tc>
        <w:tc>
          <w:tcPr>
            <w:tcW w:w="986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r>
      <w:tr>
        <w:trPr>
          <w:trHeight w:val="378"/>
        </w:trPr>
        <w:tc>
          <w:tcPr>
            <w:tcW w:w="1480" w:type="dxa"/>
            <w:vAlign w:val="bottom"/>
          </w:tcPr>
          <w:p>
            <w:pPr>
              <w:jc w:val="center"/>
              <w:spacing w:after="0"/>
              <w:rPr>
                <w:sz w:val="20"/>
                <w:szCs w:val="20"/>
                <w:color w:val="auto"/>
              </w:rPr>
            </w:pPr>
            <w:r>
              <w:rPr>
                <w:rFonts w:ascii="Arial" w:cs="Arial" w:eastAsia="Arial" w:hAnsi="Arial"/>
                <w:sz w:val="18"/>
                <w:szCs w:val="18"/>
                <w:color w:val="auto"/>
                <w:w w:val="92"/>
              </w:rPr>
              <w:t>101.SCH*</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1480" w:type="dxa"/>
            <w:vAlign w:val="bottom"/>
          </w:tcPr>
          <w:p>
            <w:pPr>
              <w:jc w:val="center"/>
              <w:spacing w:after="0"/>
              <w:rPr>
                <w:sz w:val="20"/>
                <w:szCs w:val="20"/>
                <w:color w:val="auto"/>
              </w:rPr>
            </w:pPr>
            <w:r>
              <w:rPr>
                <w:rFonts w:ascii="Arial" w:cs="Arial" w:eastAsia="Arial" w:hAnsi="Arial"/>
                <w:sz w:val="18"/>
                <w:szCs w:val="18"/>
                <w:color w:val="auto"/>
              </w:rPr>
              <w:t>101.CAL*</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148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78"/>
        </w:trPr>
        <w:tc>
          <w:tcPr>
            <w:tcW w:w="1480" w:type="dxa"/>
            <w:vAlign w:val="bottom"/>
          </w:tcPr>
          <w:p>
            <w:pPr>
              <w:jc w:val="center"/>
              <w:spacing w:after="0"/>
              <w:rPr>
                <w:sz w:val="20"/>
                <w:szCs w:val="20"/>
                <w:color w:val="auto"/>
              </w:rPr>
            </w:pPr>
            <w:r>
              <w:rPr>
                <w:rFonts w:ascii="Arial" w:cs="Arial" w:eastAsia="Arial" w:hAnsi="Arial"/>
                <w:sz w:val="18"/>
                <w:szCs w:val="18"/>
                <w:color w:val="auto"/>
              </w:rPr>
              <w:t>101.LAB*</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148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98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24"/>
        </w:trPr>
        <w:tc>
          <w:tcPr>
            <w:tcW w:w="148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986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bl>
    <w:p>
      <w:pPr>
        <w:spacing w:after="0" w:line="200" w:lineRule="exact"/>
        <w:rPr>
          <w:sz w:val="20"/>
          <w:szCs w:val="20"/>
          <w:color w:val="auto"/>
        </w:rPr>
      </w:pPr>
    </w:p>
    <w:p>
      <w:pPr>
        <w:spacing w:after="0" w:line="213"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RENT-A-CENTER, INC.</w:t>
      </w:r>
    </w:p>
    <w:p>
      <w:pPr>
        <w:spacing w:after="0" w:line="333" w:lineRule="exact"/>
        <w:rPr>
          <w:sz w:val="20"/>
          <w:szCs w:val="20"/>
          <w:color w:val="auto"/>
        </w:rPr>
      </w:pPr>
    </w:p>
    <w:p>
      <w:pPr>
        <w:ind w:left="6800"/>
        <w:spacing w:after="0"/>
        <w:tabs>
          <w:tab w:leader="none" w:pos="7940" w:val="left"/>
          <w:tab w:leader="none" w:pos="8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MAUREEN B. 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31750</wp:posOffset>
            </wp:positionV>
            <wp:extent cx="26231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57" w:lineRule="exact"/>
        <w:rPr>
          <w:sz w:val="20"/>
          <w:szCs w:val="20"/>
          <w:color w:val="auto"/>
        </w:rPr>
      </w:pPr>
    </w:p>
    <w:p>
      <w:pPr>
        <w:jc w:val="center"/>
        <w:ind w:left="7000"/>
        <w:spacing w:after="0"/>
        <w:rPr>
          <w:sz w:val="20"/>
          <w:szCs w:val="20"/>
          <w:color w:val="auto"/>
        </w:rPr>
      </w:pPr>
      <w:r>
        <w:rPr>
          <w:rFonts w:ascii="Arial" w:cs="Arial" w:eastAsia="Arial" w:hAnsi="Arial"/>
          <w:sz w:val="18"/>
          <w:szCs w:val="18"/>
          <w:color w:val="auto"/>
        </w:rPr>
        <w:t>Maureen B. Short</w:t>
      </w:r>
    </w:p>
    <w:p>
      <w:pPr>
        <w:spacing w:after="0" w:line="63" w:lineRule="exact"/>
        <w:rPr>
          <w:sz w:val="20"/>
          <w:szCs w:val="20"/>
          <w:color w:val="auto"/>
        </w:rPr>
      </w:pPr>
    </w:p>
    <w:p>
      <w:pPr>
        <w:jc w:val="center"/>
        <w:ind w:left="7000"/>
        <w:spacing w:after="0"/>
        <w:rPr>
          <w:sz w:val="20"/>
          <w:szCs w:val="20"/>
          <w:color w:val="auto"/>
        </w:rPr>
      </w:pPr>
      <w:r>
        <w:rPr>
          <w:rFonts w:ascii="Arial" w:cs="Arial" w:eastAsia="Arial" w:hAnsi="Arial"/>
          <w:sz w:val="18"/>
          <w:szCs w:val="18"/>
          <w:i w:val="1"/>
          <w:iCs w:val="1"/>
          <w:color w:val="auto"/>
        </w:rPr>
        <w:t>EVP, 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6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60"/>
        <w:spacing w:after="0" w:line="265" w:lineRule="auto"/>
        <w:rPr>
          <w:sz w:val="20"/>
          <w:szCs w:val="20"/>
          <w:color w:val="auto"/>
        </w:rPr>
      </w:pPr>
      <w:r>
        <w:rPr>
          <w:rFonts w:ascii="Arial" w:cs="Arial" w:eastAsia="Arial" w:hAnsi="Arial"/>
          <w:sz w:val="21"/>
          <w:szCs w:val="21"/>
          <w:color w:val="auto"/>
        </w:rPr>
        <w:t>In connection with the Quarterly Report on Form 10-Q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June 30, 2020,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444"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6, 2020</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360"/>
        <w:spacing w:after="0" w:line="250" w:lineRule="auto"/>
        <w:rPr>
          <w:sz w:val="20"/>
          <w:szCs w:val="20"/>
          <w:color w:val="auto"/>
        </w:rPr>
      </w:pPr>
      <w:r>
        <w:rPr>
          <w:rFonts w:ascii="Arial" w:cs="Arial" w:eastAsia="Arial" w:hAnsi="Arial"/>
          <w:sz w:val="22"/>
          <w:szCs w:val="22"/>
          <w:color w:val="auto"/>
        </w:rPr>
        <w:t>In connection with the Quarterly Report on Form 10-Q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June 30, 2020,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4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August 6, 2020</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56" Type="http://schemas.openxmlformats.org/officeDocument/2006/relationships/hyperlink" Target="http://www.sec.gov/Archives/edgar/data/933036/000095013402016210/d02215exv3w1.txt" TargetMode="External"/><Relationship Id="rId57" Type="http://schemas.openxmlformats.org/officeDocument/2006/relationships/hyperlink" Target="http://www.sec.gov/Archives/edgar/data/933036/000095013404010948/d17068exv3w2.txt" TargetMode="External"/><Relationship Id="rId58" Type="http://schemas.openxmlformats.org/officeDocument/2006/relationships/hyperlink" Target="http://www.sec.gov/Archives/edgar/data/933036/000095012311087538/d84891exv3w1.htm" TargetMode="External"/><Relationship Id="rId59" Type="http://schemas.openxmlformats.org/officeDocument/2006/relationships/hyperlink" Target="http://www.sec.gov/Archives/edgar/data/933036/000093303617000022/exhibit31march282017america.htm" TargetMode="External"/><Relationship Id="rId60" Type="http://schemas.openxmlformats.org/officeDocument/2006/relationships/hyperlink" Target="http://www.sec.gov/Archives/edgar/data/933036/000093303617000033/ex-41_q1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2020-08-06T13:11:48Z</dcterms:created>
  <dcterms:modified xsi:type="dcterms:W3CDTF">2020-08-06T13:11:48Z</dcterms:modified>
</cp:coreProperties>
</file>