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1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35"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001-38047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Rent-A-Center,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84" w:right="339" w:bottom="1440" w:gutter="0" w:footer="0" w:header="0"/>
        </w:sectPr>
      </w:pPr>
    </w:p>
    <w:p>
      <w:pPr>
        <w:spacing w:after="0" w:line="30"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45-0491516</w:t>
      </w:r>
    </w:p>
    <w:p>
      <w:pPr>
        <w:spacing w:after="0" w:line="50" w:lineRule="exact"/>
        <w:rPr>
          <w:sz w:val="24"/>
          <w:szCs w:val="24"/>
          <w:color w:val="auto"/>
        </w:rPr>
      </w:pPr>
    </w:p>
    <w:p>
      <w:pPr>
        <w:sectPr>
          <w:pgSz w:w="11900" w:h="16838" w:orient="portrait"/>
          <w:cols w:equalWidth="0" w:num="2">
            <w:col w:w="7300" w:space="720"/>
            <w:col w:w="3220"/>
          </w:cols>
          <w:pgMar w:left="320" w:top="1084" w:right="33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30"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25" w:lineRule="exact"/>
        <w:rPr>
          <w:sz w:val="24"/>
          <w:szCs w:val="24"/>
          <w:color w:val="auto"/>
        </w:rPr>
      </w:pPr>
    </w:p>
    <w:p>
      <w:pPr>
        <w:sectPr>
          <w:pgSz w:w="11900" w:h="16838" w:orient="portrait"/>
          <w:cols w:equalWidth="0" w:num="2">
            <w:col w:w="7160" w:space="720"/>
            <w:col w:w="3360"/>
          </w:cols>
          <w:pgMar w:left="320" w:top="1084"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5501 Headquarters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Plano, Texas 75024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of registrant’s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972-801-1100</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084" w:right="339" w:bottom="1440" w:gutter="0" w:footer="0" w:header="0"/>
          <w:type w:val="continuous"/>
        </w:sectPr>
      </w:pPr>
    </w:p>
    <w:p>
      <w:pPr>
        <w:spacing w:after="0" w:line="50" w:lineRule="exact"/>
        <w:rPr>
          <w:sz w:val="24"/>
          <w:szCs w:val="24"/>
          <w:color w:val="auto"/>
        </w:rPr>
      </w:pPr>
    </w:p>
    <w:p>
      <w:pPr>
        <w:jc w:val="center"/>
        <w:ind w:left="2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22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RCII</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The Nasdaq Stock Market</w:t>
      </w:r>
    </w:p>
    <w:p>
      <w:pPr>
        <w:spacing w:after="0" w:line="200" w:lineRule="exact"/>
        <w:rPr>
          <w:sz w:val="24"/>
          <w:szCs w:val="24"/>
          <w:color w:val="auto"/>
        </w:rPr>
      </w:pPr>
    </w:p>
    <w:p>
      <w:pPr>
        <w:sectPr>
          <w:pgSz w:w="11900" w:h="16838" w:orient="portrait"/>
          <w:cols w:equalWidth="0" w:num="3">
            <w:col w:w="4260" w:space="720"/>
            <w:col w:w="1620" w:space="720"/>
            <w:col w:w="3920"/>
          </w:cols>
          <w:pgMar w:left="320" w:top="1084" w:right="339" w:bottom="1440" w:gutter="0" w:footer="0" w:header="0"/>
          <w:type w:val="continuous"/>
        </w:sectPr>
      </w:pPr>
    </w:p>
    <w:p>
      <w:pPr>
        <w:spacing w:after="0" w:line="2" w:lineRule="exact"/>
        <w:rPr>
          <w:sz w:val="24"/>
          <w:szCs w:val="24"/>
          <w:color w:val="auto"/>
        </w:rPr>
      </w:pPr>
    </w:p>
    <w:p>
      <w:pPr>
        <w:ind w:right="3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5" w:lineRule="exact"/>
        <w:rPr>
          <w:sz w:val="24"/>
          <w:szCs w:val="24"/>
          <w:color w:val="auto"/>
        </w:rPr>
      </w:pPr>
    </w:p>
    <w:p>
      <w:pPr>
        <w:ind w:right="12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5"/>
        </w:trPr>
        <w:tc>
          <w:tcPr>
            <w:tcW w:w="25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43"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w:t>
      </w:r>
    </w:p>
    <w:tbl>
      <w:tblPr>
        <w:tblLayout w:type="fixed"/>
        <w:tblInd w:w="0" w:type="dxa"/>
        <w:tblCellMar>
          <w:top w:w="0" w:type="dxa"/>
          <w:left w:w="0" w:type="dxa"/>
          <w:bottom w:w="0" w:type="dxa"/>
          <w:right w:w="0" w:type="dxa"/>
        </w:tblCellMar>
      </w:tblPr>
      <w:tr>
        <w:trPr>
          <w:trHeight w:val="254"/>
        </w:trPr>
        <w:tc>
          <w:tcPr>
            <w:tcW w:w="7700" w:type="dxa"/>
            <w:vAlign w:val="bottom"/>
          </w:tcPr>
          <w:p>
            <w:pPr>
              <w:ind w:left="20"/>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3540" w:type="dxa"/>
            <w:vAlign w:val="bottom"/>
          </w:tcPr>
          <w:p>
            <w:pPr>
              <w:ind w:left="3120"/>
              <w:spacing w:after="0" w:line="161" w:lineRule="exact"/>
              <w:rPr>
                <w:sz w:val="20"/>
                <w:szCs w:val="20"/>
                <w:color w:val="auto"/>
              </w:rPr>
            </w:pPr>
            <w:r>
              <w:rPr>
                <w:rFonts w:ascii="MS PGothic" w:cs="MS PGothic" w:eastAsia="MS PGothic" w:hAnsi="MS PGothic"/>
                <w:sz w:val="16"/>
                <w:szCs w:val="16"/>
                <w:color w:val="auto"/>
              </w:rPr>
              <w:t>☐</w:t>
            </w:r>
          </w:p>
        </w:tc>
      </w:tr>
      <w:tr>
        <w:trPr>
          <w:trHeight w:val="194"/>
        </w:trPr>
        <w:tc>
          <w:tcPr>
            <w:tcW w:w="7700" w:type="dxa"/>
            <w:vAlign w:val="bottom"/>
          </w:tcPr>
          <w:p>
            <w:pPr>
              <w:spacing w:after="0"/>
              <w:rPr>
                <w:sz w:val="20"/>
                <w:szCs w:val="20"/>
                <w:color w:val="auto"/>
              </w:rPr>
            </w:pPr>
            <w:r>
              <w:rPr>
                <w:rFonts w:ascii="Arial" w:cs="Arial" w:eastAsia="Arial" w:hAnsi="Arial"/>
                <w:sz w:val="16"/>
                <w:szCs w:val="16"/>
                <w:color w:val="auto"/>
                <w:w w:val="96"/>
              </w:rPr>
              <w:t>Indicate by check mark whether the registrant is a shell company (as defined in Rule 12b-2 of the Exchange Act).</w:t>
            </w:r>
          </w:p>
        </w:tc>
        <w:tc>
          <w:tcPr>
            <w:tcW w:w="3540" w:type="dxa"/>
            <w:vAlign w:val="bottom"/>
          </w:tcPr>
          <w:p>
            <w:pPr>
              <w:spacing w:after="0"/>
              <w:rPr>
                <w:sz w:val="16"/>
                <w:szCs w:val="16"/>
                <w:color w:val="auto"/>
              </w:rPr>
            </w:pPr>
          </w:p>
        </w:tc>
      </w:tr>
      <w:tr>
        <w:trPr>
          <w:trHeight w:val="254"/>
        </w:trPr>
        <w:tc>
          <w:tcPr>
            <w:tcW w:w="770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3540" w:type="dxa"/>
            <w:vAlign w:val="bottom"/>
          </w:tcPr>
          <w:p>
            <w:pPr>
              <w:spacing w:after="0"/>
              <w:rPr>
                <w:sz w:val="22"/>
                <w:szCs w:val="22"/>
                <w:color w:val="auto"/>
              </w:rPr>
            </w:pPr>
          </w:p>
        </w:tc>
      </w:tr>
      <w:tr>
        <w:trPr>
          <w:trHeight w:val="279"/>
        </w:trPr>
        <w:tc>
          <w:tcPr>
            <w:tcW w:w="7700" w:type="dxa"/>
            <w:vAlign w:val="bottom"/>
          </w:tcPr>
          <w:p>
            <w:pPr>
              <w:spacing w:after="0"/>
              <w:rPr>
                <w:sz w:val="20"/>
                <w:szCs w:val="20"/>
                <w:color w:val="auto"/>
              </w:rPr>
            </w:pPr>
            <w:r>
              <w:rPr>
                <w:rFonts w:ascii="Arial" w:cs="Arial" w:eastAsia="Arial" w:hAnsi="Arial"/>
                <w:sz w:val="16"/>
                <w:szCs w:val="16"/>
                <w:color w:val="auto"/>
                <w:w w:val="97"/>
              </w:rPr>
              <w:t>Indicate the number of shares outstanding of each of the issuer’s classes of common stock, as of July 27, 2022:</w:t>
            </w:r>
          </w:p>
        </w:tc>
        <w:tc>
          <w:tcPr>
            <w:tcW w:w="3540" w:type="dxa"/>
            <w:vAlign w:val="bottom"/>
          </w:tcPr>
          <w:p>
            <w:pPr>
              <w:spacing w:after="0"/>
              <w:rPr>
                <w:sz w:val="24"/>
                <w:szCs w:val="24"/>
                <w:color w:val="auto"/>
              </w:rPr>
            </w:pPr>
          </w:p>
        </w:tc>
      </w:tr>
      <w:tr>
        <w:trPr>
          <w:trHeight w:val="230"/>
        </w:trPr>
        <w:tc>
          <w:tcPr>
            <w:tcW w:w="7700" w:type="dxa"/>
            <w:vAlign w:val="bottom"/>
          </w:tcPr>
          <w:p>
            <w:pPr>
              <w:ind w:left="2600"/>
              <w:spacing w:after="0"/>
              <w:rPr>
                <w:sz w:val="20"/>
                <w:szCs w:val="20"/>
                <w:color w:val="auto"/>
              </w:rPr>
            </w:pPr>
            <w:r>
              <w:rPr>
                <w:rFonts w:ascii="Arial" w:cs="Arial" w:eastAsia="Arial" w:hAnsi="Arial"/>
                <w:sz w:val="16"/>
                <w:szCs w:val="16"/>
                <w:color w:val="auto"/>
              </w:rPr>
              <w:t>Class</w:t>
            </w:r>
          </w:p>
        </w:tc>
        <w:tc>
          <w:tcPr>
            <w:tcW w:w="3540" w:type="dxa"/>
            <w:vAlign w:val="bottom"/>
          </w:tcPr>
          <w:p>
            <w:pPr>
              <w:jc w:val="center"/>
              <w:ind w:right="1979"/>
              <w:spacing w:after="0"/>
              <w:rPr>
                <w:sz w:val="20"/>
                <w:szCs w:val="20"/>
                <w:color w:val="auto"/>
              </w:rPr>
            </w:pPr>
            <w:r>
              <w:rPr>
                <w:rFonts w:ascii="Arial" w:cs="Arial" w:eastAsia="Arial" w:hAnsi="Arial"/>
                <w:sz w:val="16"/>
                <w:szCs w:val="16"/>
                <w:color w:val="auto"/>
                <w:w w:val="92"/>
              </w:rPr>
              <w:t>Outstanding</w:t>
            </w:r>
          </w:p>
        </w:tc>
      </w:tr>
      <w:tr>
        <w:trPr>
          <w:trHeight w:val="216"/>
        </w:trPr>
        <w:tc>
          <w:tcPr>
            <w:tcW w:w="7700" w:type="dxa"/>
            <w:vAlign w:val="bottom"/>
          </w:tcPr>
          <w:p>
            <w:pPr>
              <w:ind w:left="1780"/>
              <w:spacing w:after="0"/>
              <w:rPr>
                <w:sz w:val="20"/>
                <w:szCs w:val="20"/>
                <w:color w:val="auto"/>
              </w:rPr>
            </w:pPr>
            <w:r>
              <w:rPr>
                <w:rFonts w:ascii="Arial" w:cs="Arial" w:eastAsia="Arial" w:hAnsi="Arial"/>
                <w:sz w:val="16"/>
                <w:szCs w:val="16"/>
                <w:color w:val="auto"/>
              </w:rPr>
              <w:t>Common stock, $.01 par value</w:t>
            </w:r>
          </w:p>
        </w:tc>
        <w:tc>
          <w:tcPr>
            <w:tcW w:w="3540" w:type="dxa"/>
            <w:vAlign w:val="bottom"/>
          </w:tcPr>
          <w:p>
            <w:pPr>
              <w:jc w:val="right"/>
              <w:ind w:right="2359"/>
              <w:spacing w:after="0"/>
              <w:rPr>
                <w:sz w:val="20"/>
                <w:szCs w:val="20"/>
                <w:color w:val="auto"/>
              </w:rPr>
            </w:pPr>
            <w:r>
              <w:rPr>
                <w:rFonts w:ascii="Arial" w:cs="Arial" w:eastAsia="Arial" w:hAnsi="Arial"/>
                <w:sz w:val="16"/>
                <w:szCs w:val="16"/>
                <w:color w:val="auto"/>
              </w:rPr>
              <w:t>59,198,975</w:t>
            </w:r>
          </w:p>
        </w:tc>
      </w:tr>
      <w:tr>
        <w:trPr>
          <w:trHeight w:val="1350"/>
        </w:trPr>
        <w:tc>
          <w:tcPr>
            <w:tcW w:w="770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9440" w:type="dxa"/>
            <w:vAlign w:val="bottom"/>
          </w:tcPr>
          <w:p>
            <w:pPr>
              <w:spacing w:after="0"/>
              <w:rPr>
                <w:sz w:val="16"/>
                <w:szCs w:val="16"/>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16"/>
        </w:trPr>
        <w:tc>
          <w:tcPr>
            <w:tcW w:w="900" w:type="dxa"/>
            <w:vAlign w:val="bottom"/>
          </w:tcPr>
          <w:p>
            <w:pPr>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w:t>
              </w:r>
            </w:hyperlink>
          </w:p>
        </w:tc>
        <w:tc>
          <w:tcPr>
            <w:tcW w:w="9440" w:type="dxa"/>
            <w:vAlign w:val="bottom"/>
          </w:tcPr>
          <w:p>
            <w:pPr>
              <w:ind w:left="20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FINANCIAL INFORMATION</w:t>
              </w:r>
            </w:hyperlink>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2">
              <w:r>
                <w:rPr>
                  <w:rFonts w:ascii="Arial" w:cs="Arial" w:eastAsia="Arial" w:hAnsi="Arial"/>
                  <w:sz w:val="18"/>
                  <w:szCs w:val="18"/>
                  <w:color w:val="auto"/>
                </w:rPr>
                <w:t>Item 1.</w:t>
              </w:r>
            </w:hyperlink>
          </w:p>
        </w:tc>
        <w:tc>
          <w:tcPr>
            <w:tcW w:w="9440" w:type="dxa"/>
            <w:vAlign w:val="bottom"/>
          </w:tcPr>
          <w:p>
            <w:pPr>
              <w:ind w:left="200"/>
              <w:spacing w:after="0"/>
              <w:rPr>
                <w:rFonts w:ascii="Arial" w:cs="Arial" w:eastAsia="Arial" w:hAnsi="Arial"/>
                <w:sz w:val="18"/>
                <w:szCs w:val="18"/>
                <w:color w:val="auto"/>
              </w:rPr>
            </w:pPr>
            <w:hyperlink w:anchor="page2">
              <w:r>
                <w:rPr>
                  <w:rFonts w:ascii="Arial" w:cs="Arial" w:eastAsia="Arial" w:hAnsi="Arial"/>
                  <w:sz w:val="18"/>
                  <w:szCs w:val="18"/>
                  <w:color w:val="auto"/>
                </w:rPr>
                <w:t>Condensed Consolidated Financial Statements</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w w:val="91"/>
              </w:rPr>
            </w:pPr>
            <w:hyperlink w:anchor="page3">
              <w:r>
                <w:rPr>
                  <w:rFonts w:ascii="Arial" w:cs="Arial" w:eastAsia="Arial" w:hAnsi="Arial"/>
                  <w:sz w:val="18"/>
                  <w:szCs w:val="18"/>
                  <w:color w:val="auto"/>
                  <w:w w:val="91"/>
                </w:rPr>
                <w:t xml:space="preserve">Condensed Consolidated Statements of Operations for the three-month and </w:t>
              </w:r>
            </w:hyperlink>
            <w:r>
              <w:rPr>
                <w:rFonts w:ascii="Arial" w:cs="Arial" w:eastAsia="Arial" w:hAnsi="Arial"/>
                <w:sz w:val="18"/>
                <w:szCs w:val="18"/>
                <w:color w:val="auto"/>
                <w:w w:val="91"/>
              </w:rPr>
              <w:t xml:space="preserve">six-month </w:t>
            </w:r>
            <w:hyperlink w:anchor="page3">
              <w:r>
                <w:rPr>
                  <w:rFonts w:ascii="Arial" w:cs="Arial" w:eastAsia="Arial" w:hAnsi="Arial"/>
                  <w:sz w:val="18"/>
                  <w:szCs w:val="18"/>
                  <w:color w:val="auto"/>
                  <w:w w:val="91"/>
                </w:rPr>
                <w:t xml:space="preserve">periods ended </w:t>
              </w:r>
            </w:hyperlink>
            <w:r>
              <w:rPr>
                <w:rFonts w:ascii="Arial" w:cs="Arial" w:eastAsia="Arial" w:hAnsi="Arial"/>
                <w:sz w:val="18"/>
                <w:szCs w:val="18"/>
                <w:color w:val="auto"/>
                <w:w w:val="91"/>
              </w:rPr>
              <w:t xml:space="preserve">June 30, 2022 </w:t>
            </w:r>
            <w:hyperlink w:anchor="page3">
              <w:r>
                <w:rPr>
                  <w:rFonts w:ascii="Arial" w:cs="Arial" w:eastAsia="Arial" w:hAnsi="Arial"/>
                  <w:sz w:val="18"/>
                  <w:szCs w:val="18"/>
                  <w:color w:val="auto"/>
                  <w:w w:val="91"/>
                </w:rPr>
                <w:t xml:space="preserve">and </w:t>
              </w:r>
            </w:hyperlink>
            <w:r>
              <w:rPr>
                <w:rFonts w:ascii="Arial" w:cs="Arial" w:eastAsia="Arial" w:hAnsi="Arial"/>
                <w:sz w:val="18"/>
                <w:szCs w:val="18"/>
                <w:color w:val="auto"/>
                <w:w w:val="91"/>
              </w:rPr>
              <w:t>2021</w:t>
            </w:r>
          </w:p>
        </w:tc>
        <w:tc>
          <w:tcPr>
            <w:tcW w:w="8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440" w:type="dxa"/>
            <w:vAlign w:val="bottom"/>
          </w:tcPr>
          <w:p>
            <w:pPr>
              <w:ind w:left="200"/>
              <w:spacing w:after="0"/>
              <w:rPr>
                <w:rFonts w:ascii="Arial" w:cs="Arial" w:eastAsia="Arial" w:hAnsi="Arial"/>
                <w:sz w:val="18"/>
                <w:szCs w:val="18"/>
                <w:color w:val="auto"/>
                <w:w w:val="89"/>
              </w:rPr>
            </w:pPr>
            <w:hyperlink w:anchor="page3">
              <w:r>
                <w:rPr>
                  <w:rFonts w:ascii="Arial" w:cs="Arial" w:eastAsia="Arial" w:hAnsi="Arial"/>
                  <w:sz w:val="18"/>
                  <w:szCs w:val="18"/>
                  <w:color w:val="auto"/>
                  <w:w w:val="89"/>
                </w:rPr>
                <w:t xml:space="preserve">Condensed Consolidated Statements of Comprehensive Income for the three-month and </w:t>
              </w:r>
            </w:hyperlink>
            <w:r>
              <w:rPr>
                <w:rFonts w:ascii="Arial" w:cs="Arial" w:eastAsia="Arial" w:hAnsi="Arial"/>
                <w:sz w:val="18"/>
                <w:szCs w:val="18"/>
                <w:color w:val="auto"/>
                <w:w w:val="89"/>
              </w:rPr>
              <w:t xml:space="preserve">six-month </w:t>
            </w:r>
            <w:hyperlink w:anchor="page3">
              <w:r>
                <w:rPr>
                  <w:rFonts w:ascii="Arial" w:cs="Arial" w:eastAsia="Arial" w:hAnsi="Arial"/>
                  <w:sz w:val="18"/>
                  <w:szCs w:val="18"/>
                  <w:color w:val="auto"/>
                  <w:w w:val="89"/>
                </w:rPr>
                <w:t xml:space="preserve">periods ended </w:t>
              </w:r>
            </w:hyperlink>
            <w:r>
              <w:rPr>
                <w:rFonts w:ascii="Arial" w:cs="Arial" w:eastAsia="Arial" w:hAnsi="Arial"/>
                <w:sz w:val="18"/>
                <w:szCs w:val="18"/>
                <w:color w:val="auto"/>
                <w:w w:val="89"/>
              </w:rPr>
              <w:t>June 30, 2022</w:t>
            </w:r>
          </w:p>
        </w:tc>
        <w:tc>
          <w:tcPr>
            <w:tcW w:w="88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440" w:type="dxa"/>
            <w:vAlign w:val="bottom"/>
          </w:tcPr>
          <w:p>
            <w:pPr>
              <w:ind w:left="200"/>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2021</w:t>
            </w: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Condensed Consolidated Balance Sheets as of </w:t>
              </w:r>
            </w:hyperlink>
            <w:r>
              <w:rPr>
                <w:rFonts w:ascii="Arial" w:cs="Arial" w:eastAsia="Arial" w:hAnsi="Arial"/>
                <w:sz w:val="18"/>
                <w:szCs w:val="18"/>
                <w:color w:val="auto"/>
              </w:rPr>
              <w:t xml:space="preserve">June 30, 2022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December 31, 2021</w:t>
            </w:r>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w w:val="97"/>
              </w:rPr>
            </w:pPr>
            <w:hyperlink w:anchor="page5">
              <w:r>
                <w:rPr>
                  <w:rFonts w:ascii="Arial" w:cs="Arial" w:eastAsia="Arial" w:hAnsi="Arial"/>
                  <w:sz w:val="18"/>
                  <w:szCs w:val="18"/>
                  <w:color w:val="auto"/>
                  <w:w w:val="97"/>
                </w:rPr>
                <w:t xml:space="preserve">Condensed Consolidated Statements of Stockholders' Equity for the </w:t>
              </w:r>
            </w:hyperlink>
            <w:r>
              <w:rPr>
                <w:rFonts w:ascii="Arial" w:cs="Arial" w:eastAsia="Arial" w:hAnsi="Arial"/>
                <w:sz w:val="18"/>
                <w:szCs w:val="18"/>
                <w:color w:val="auto"/>
                <w:w w:val="97"/>
              </w:rPr>
              <w:t xml:space="preserve">six-month </w:t>
            </w:r>
            <w:hyperlink w:anchor="page5">
              <w:r>
                <w:rPr>
                  <w:rFonts w:ascii="Arial" w:cs="Arial" w:eastAsia="Arial" w:hAnsi="Arial"/>
                  <w:sz w:val="18"/>
                  <w:szCs w:val="18"/>
                  <w:color w:val="auto"/>
                  <w:w w:val="97"/>
                </w:rPr>
                <w:t xml:space="preserve">periods ending </w:t>
              </w:r>
            </w:hyperlink>
            <w:r>
              <w:rPr>
                <w:rFonts w:ascii="Arial" w:cs="Arial" w:eastAsia="Arial" w:hAnsi="Arial"/>
                <w:sz w:val="18"/>
                <w:szCs w:val="18"/>
                <w:color w:val="auto"/>
                <w:w w:val="97"/>
              </w:rPr>
              <w:t xml:space="preserve">June 30, 2022 </w:t>
            </w:r>
            <w:hyperlink w:anchor="page5">
              <w:r>
                <w:rPr>
                  <w:rFonts w:ascii="Arial" w:cs="Arial" w:eastAsia="Arial" w:hAnsi="Arial"/>
                  <w:sz w:val="18"/>
                  <w:szCs w:val="18"/>
                  <w:color w:val="auto"/>
                  <w:w w:val="97"/>
                </w:rPr>
                <w:t xml:space="preserve">and </w:t>
              </w:r>
            </w:hyperlink>
            <w:r>
              <w:rPr>
                <w:rFonts w:ascii="Arial" w:cs="Arial" w:eastAsia="Arial" w:hAnsi="Arial"/>
                <w:sz w:val="18"/>
                <w:szCs w:val="18"/>
                <w:color w:val="auto"/>
                <w:w w:val="97"/>
              </w:rPr>
              <w:t>2021</w:t>
            </w:r>
          </w:p>
        </w:tc>
        <w:tc>
          <w:tcPr>
            <w:tcW w:w="8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Condensed Consolidated Statements of Cash Flows for the </w:t>
              </w:r>
            </w:hyperlink>
            <w:r>
              <w:rPr>
                <w:rFonts w:ascii="Arial" w:cs="Arial" w:eastAsia="Arial" w:hAnsi="Arial"/>
                <w:sz w:val="18"/>
                <w:szCs w:val="18"/>
                <w:color w:val="auto"/>
              </w:rPr>
              <w:t xml:space="preserve">six-month </w:t>
            </w:r>
            <w:hyperlink w:anchor="page6">
              <w:r>
                <w:rPr>
                  <w:rFonts w:ascii="Arial" w:cs="Arial" w:eastAsia="Arial" w:hAnsi="Arial"/>
                  <w:sz w:val="18"/>
                  <w:szCs w:val="18"/>
                  <w:color w:val="auto"/>
                </w:rPr>
                <w:t xml:space="preserve">periods ended </w:t>
              </w:r>
            </w:hyperlink>
            <w:r>
              <w:rPr>
                <w:rFonts w:ascii="Arial" w:cs="Arial" w:eastAsia="Arial" w:hAnsi="Arial"/>
                <w:sz w:val="18"/>
                <w:szCs w:val="18"/>
                <w:color w:val="auto"/>
              </w:rPr>
              <w:t xml:space="preserve">June 30, 2022 </w:t>
            </w:r>
            <w:hyperlink w:anchor="page6">
              <w:r>
                <w:rPr>
                  <w:rFonts w:ascii="Arial" w:cs="Arial" w:eastAsia="Arial" w:hAnsi="Arial"/>
                  <w:sz w:val="18"/>
                  <w:szCs w:val="18"/>
                  <w:color w:val="auto"/>
                </w:rPr>
                <w:t xml:space="preserve">and </w:t>
              </w:r>
            </w:hyperlink>
            <w:r>
              <w:rPr>
                <w:rFonts w:ascii="Arial" w:cs="Arial" w:eastAsia="Arial" w:hAnsi="Arial"/>
                <w:sz w:val="18"/>
                <w:szCs w:val="18"/>
                <w:color w:val="auto"/>
              </w:rPr>
              <w:t>2021</w:t>
            </w:r>
          </w:p>
        </w:tc>
        <w:tc>
          <w:tcPr>
            <w:tcW w:w="8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w:t>
              </w:r>
            </w:hyperlink>
          </w:p>
        </w:tc>
        <w:tc>
          <w:tcPr>
            <w:tcW w:w="8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24">
              <w:r>
                <w:rPr>
                  <w:rFonts w:ascii="Arial" w:cs="Arial" w:eastAsia="Arial" w:hAnsi="Arial"/>
                  <w:sz w:val="18"/>
                  <w:szCs w:val="18"/>
                  <w:color w:val="auto"/>
                </w:rPr>
                <w:t>Item 2.</w:t>
              </w:r>
            </w:hyperlink>
          </w:p>
        </w:tc>
        <w:tc>
          <w:tcPr>
            <w:tcW w:w="9440" w:type="dxa"/>
            <w:vAlign w:val="bottom"/>
          </w:tcPr>
          <w:p>
            <w:pPr>
              <w:ind w:left="200"/>
              <w:spacing w:after="0"/>
              <w:rPr>
                <w:rFonts w:ascii="Arial" w:cs="Arial" w:eastAsia="Arial" w:hAnsi="Arial"/>
                <w:sz w:val="18"/>
                <w:szCs w:val="18"/>
                <w:color w:val="auto"/>
              </w:rPr>
            </w:pPr>
            <w:hyperlink w:anchor="page24">
              <w:r>
                <w:rPr>
                  <w:rFonts w:ascii="Arial" w:cs="Arial" w:eastAsia="Arial" w:hAnsi="Arial"/>
                  <w:sz w:val="18"/>
                  <w:szCs w:val="18"/>
                  <w:color w:val="auto"/>
                </w:rPr>
                <w:t>Management's Discussion and Analysis of Financial Condition and Results of Operations</w:t>
              </w:r>
            </w:hyperlink>
          </w:p>
        </w:tc>
        <w:tc>
          <w:tcPr>
            <w:tcW w:w="8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3.</w:t>
              </w:r>
            </w:hyperlink>
          </w:p>
        </w:tc>
        <w:tc>
          <w:tcPr>
            <w:tcW w:w="9440" w:type="dxa"/>
            <w:vAlign w:val="bottom"/>
          </w:tcPr>
          <w:p>
            <w:pPr>
              <w:ind w:left="200"/>
              <w:spacing w:after="0"/>
              <w:rPr>
                <w:rFonts w:ascii="Arial" w:cs="Arial" w:eastAsia="Arial" w:hAnsi="Arial"/>
                <w:sz w:val="18"/>
                <w:szCs w:val="18"/>
                <w:color w:val="auto"/>
              </w:rPr>
            </w:pPr>
            <w:hyperlink w:anchor="page36">
              <w:r>
                <w:rPr>
                  <w:rFonts w:ascii="Arial" w:cs="Arial" w:eastAsia="Arial" w:hAnsi="Arial"/>
                  <w:sz w:val="18"/>
                  <w:szCs w:val="18"/>
                  <w:color w:val="auto"/>
                </w:rPr>
                <w:t>Quantitative and Qualitative Disclosures About Market Risk</w:t>
              </w:r>
            </w:hyperlink>
          </w:p>
        </w:tc>
        <w:tc>
          <w:tcPr>
            <w:tcW w:w="8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4.</w:t>
              </w:r>
            </w:hyperlink>
          </w:p>
        </w:tc>
        <w:tc>
          <w:tcPr>
            <w:tcW w:w="9440" w:type="dxa"/>
            <w:vAlign w:val="bottom"/>
          </w:tcPr>
          <w:p>
            <w:pPr>
              <w:ind w:left="200"/>
              <w:spacing w:after="0"/>
              <w:rPr>
                <w:rFonts w:ascii="Arial" w:cs="Arial" w:eastAsia="Arial" w:hAnsi="Arial"/>
                <w:sz w:val="18"/>
                <w:szCs w:val="18"/>
                <w:color w:val="auto"/>
              </w:rPr>
            </w:pPr>
            <w:hyperlink w:anchor="page37">
              <w:r>
                <w:rPr>
                  <w:rFonts w:ascii="Arial" w:cs="Arial" w:eastAsia="Arial" w:hAnsi="Arial"/>
                  <w:sz w:val="18"/>
                  <w:szCs w:val="18"/>
                  <w:color w:val="auto"/>
                </w:rPr>
                <w:t>Controls and Procedures</w:t>
              </w:r>
            </w:hyperlink>
          </w:p>
        </w:tc>
        <w:tc>
          <w:tcPr>
            <w:tcW w:w="8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PART II.</w:t>
              </w:r>
            </w:hyperlink>
          </w:p>
        </w:tc>
        <w:tc>
          <w:tcPr>
            <w:tcW w:w="9440" w:type="dxa"/>
            <w:vAlign w:val="bottom"/>
          </w:tcPr>
          <w:p>
            <w:pPr>
              <w:ind w:left="200"/>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OTHER INFORMATION</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1.</w:t>
              </w:r>
            </w:hyperlink>
          </w:p>
        </w:tc>
        <w:tc>
          <w:tcPr>
            <w:tcW w:w="9440" w:type="dxa"/>
            <w:vAlign w:val="bottom"/>
          </w:tcPr>
          <w:p>
            <w:pPr>
              <w:ind w:left="200"/>
              <w:spacing w:after="0"/>
              <w:rPr>
                <w:rFonts w:ascii="Arial" w:cs="Arial" w:eastAsia="Arial" w:hAnsi="Arial"/>
                <w:sz w:val="18"/>
                <w:szCs w:val="18"/>
                <w:color w:val="auto"/>
              </w:rPr>
            </w:pPr>
            <w:hyperlink w:anchor="page37">
              <w:r>
                <w:rPr>
                  <w:rFonts w:ascii="Arial" w:cs="Arial" w:eastAsia="Arial" w:hAnsi="Arial"/>
                  <w:sz w:val="18"/>
                  <w:szCs w:val="18"/>
                  <w:color w:val="auto"/>
                </w:rPr>
                <w:t>Legal Proceedings</w:t>
              </w:r>
            </w:hyperlink>
          </w:p>
        </w:tc>
        <w:tc>
          <w:tcPr>
            <w:tcW w:w="8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1A.</w:t>
              </w:r>
            </w:hyperlink>
          </w:p>
        </w:tc>
        <w:tc>
          <w:tcPr>
            <w:tcW w:w="9440" w:type="dxa"/>
            <w:vAlign w:val="bottom"/>
          </w:tcPr>
          <w:p>
            <w:pPr>
              <w:ind w:left="200"/>
              <w:spacing w:after="0"/>
              <w:rPr>
                <w:rFonts w:ascii="Arial" w:cs="Arial" w:eastAsia="Arial" w:hAnsi="Arial"/>
                <w:sz w:val="18"/>
                <w:szCs w:val="18"/>
                <w:color w:val="auto"/>
              </w:rPr>
            </w:pPr>
            <w:hyperlink w:anchor="page37">
              <w:r>
                <w:rPr>
                  <w:rFonts w:ascii="Arial" w:cs="Arial" w:eastAsia="Arial" w:hAnsi="Arial"/>
                  <w:sz w:val="18"/>
                  <w:szCs w:val="18"/>
                  <w:color w:val="auto"/>
                </w:rPr>
                <w:t>Risk Factors</w:t>
              </w:r>
            </w:hyperlink>
          </w:p>
        </w:tc>
        <w:tc>
          <w:tcPr>
            <w:tcW w:w="8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2.</w:t>
              </w:r>
            </w:hyperlink>
          </w:p>
        </w:tc>
        <w:tc>
          <w:tcPr>
            <w:tcW w:w="9440" w:type="dxa"/>
            <w:vAlign w:val="bottom"/>
          </w:tcPr>
          <w:p>
            <w:pPr>
              <w:ind w:left="200"/>
              <w:spacing w:after="0"/>
              <w:rPr>
                <w:rFonts w:ascii="Arial" w:cs="Arial" w:eastAsia="Arial" w:hAnsi="Arial"/>
                <w:sz w:val="18"/>
                <w:szCs w:val="18"/>
                <w:color w:val="auto"/>
              </w:rPr>
            </w:pPr>
            <w:hyperlink w:anchor="page37">
              <w:r>
                <w:rPr>
                  <w:rFonts w:ascii="Arial" w:cs="Arial" w:eastAsia="Arial" w:hAnsi="Arial"/>
                  <w:sz w:val="18"/>
                  <w:szCs w:val="18"/>
                  <w:color w:val="auto"/>
                </w:rPr>
                <w:t>Unregistered Sales of Equity Securities and Use of Proceeds</w:t>
              </w:r>
            </w:hyperlink>
          </w:p>
        </w:tc>
        <w:tc>
          <w:tcPr>
            <w:tcW w:w="8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445"/>
        </w:trPr>
        <w:tc>
          <w:tcPr>
            <w:tcW w:w="90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3.</w:t>
              </w:r>
            </w:hyperlink>
          </w:p>
        </w:tc>
        <w:tc>
          <w:tcPr>
            <w:tcW w:w="9440" w:type="dxa"/>
            <w:vAlign w:val="bottom"/>
          </w:tcPr>
          <w:p>
            <w:pPr>
              <w:ind w:left="200"/>
              <w:spacing w:after="0"/>
              <w:rPr>
                <w:rFonts w:ascii="Arial" w:cs="Arial" w:eastAsia="Arial" w:hAnsi="Arial"/>
                <w:sz w:val="18"/>
                <w:szCs w:val="18"/>
                <w:color w:val="auto"/>
              </w:rPr>
            </w:pPr>
            <w:hyperlink w:anchor="page37">
              <w:r>
                <w:rPr>
                  <w:rFonts w:ascii="Arial" w:cs="Arial" w:eastAsia="Arial" w:hAnsi="Arial"/>
                  <w:sz w:val="18"/>
                  <w:szCs w:val="18"/>
                  <w:color w:val="auto"/>
                </w:rPr>
                <w:t>Defaults Upon Senior Securities</w:t>
              </w:r>
            </w:hyperlink>
          </w:p>
        </w:tc>
        <w:tc>
          <w:tcPr>
            <w:tcW w:w="8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4.</w:t>
              </w:r>
            </w:hyperlink>
          </w:p>
        </w:tc>
        <w:tc>
          <w:tcPr>
            <w:tcW w:w="9440" w:type="dxa"/>
            <w:vAlign w:val="bottom"/>
          </w:tcPr>
          <w:p>
            <w:pPr>
              <w:ind w:left="200"/>
              <w:spacing w:after="0"/>
              <w:rPr>
                <w:rFonts w:ascii="Arial" w:cs="Arial" w:eastAsia="Arial" w:hAnsi="Arial"/>
                <w:sz w:val="18"/>
                <w:szCs w:val="18"/>
                <w:color w:val="auto"/>
              </w:rPr>
            </w:pPr>
            <w:hyperlink w:anchor="page38">
              <w:r>
                <w:rPr>
                  <w:rFonts w:ascii="Arial" w:cs="Arial" w:eastAsia="Arial" w:hAnsi="Arial"/>
                  <w:sz w:val="18"/>
                  <w:szCs w:val="18"/>
                  <w:color w:val="auto"/>
                </w:rPr>
                <w:t>Mine Safety Disclosures</w:t>
              </w:r>
            </w:hyperlink>
          </w:p>
        </w:tc>
        <w:tc>
          <w:tcPr>
            <w:tcW w:w="88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5.</w:t>
              </w:r>
            </w:hyperlink>
          </w:p>
        </w:tc>
        <w:tc>
          <w:tcPr>
            <w:tcW w:w="9440" w:type="dxa"/>
            <w:vAlign w:val="bottom"/>
          </w:tcPr>
          <w:p>
            <w:pPr>
              <w:ind w:left="200"/>
              <w:spacing w:after="0"/>
              <w:rPr>
                <w:rFonts w:ascii="Arial" w:cs="Arial" w:eastAsia="Arial" w:hAnsi="Arial"/>
                <w:sz w:val="18"/>
                <w:szCs w:val="18"/>
                <w:color w:val="auto"/>
              </w:rPr>
            </w:pPr>
            <w:hyperlink w:anchor="page38">
              <w:r>
                <w:rPr>
                  <w:rFonts w:ascii="Arial" w:cs="Arial" w:eastAsia="Arial" w:hAnsi="Arial"/>
                  <w:sz w:val="18"/>
                  <w:szCs w:val="18"/>
                  <w:color w:val="auto"/>
                </w:rPr>
                <w:t>Other Information</w:t>
              </w:r>
            </w:hyperlink>
          </w:p>
        </w:tc>
        <w:tc>
          <w:tcPr>
            <w:tcW w:w="88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6.</w:t>
              </w:r>
            </w:hyperlink>
          </w:p>
        </w:tc>
        <w:tc>
          <w:tcPr>
            <w:tcW w:w="9440" w:type="dxa"/>
            <w:vAlign w:val="bottom"/>
          </w:tcPr>
          <w:p>
            <w:pPr>
              <w:ind w:left="200"/>
              <w:spacing w:after="0"/>
              <w:rPr>
                <w:rFonts w:ascii="Arial" w:cs="Arial" w:eastAsia="Arial" w:hAnsi="Arial"/>
                <w:sz w:val="18"/>
                <w:szCs w:val="18"/>
                <w:color w:val="auto"/>
              </w:rPr>
            </w:pPr>
            <w:hyperlink w:anchor="page38">
              <w:r>
                <w:rPr>
                  <w:rFonts w:ascii="Arial" w:cs="Arial" w:eastAsia="Arial" w:hAnsi="Arial"/>
                  <w:sz w:val="18"/>
                  <w:szCs w:val="18"/>
                  <w:color w:val="auto"/>
                </w:rPr>
                <w:t>Exhibits</w:t>
              </w:r>
            </w:hyperlink>
          </w:p>
        </w:tc>
        <w:tc>
          <w:tcPr>
            <w:tcW w:w="88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right"/>
        <w:ind w:right="29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31" w:right="339" w:bottom="1440" w:gutter="0" w:footer="0" w:header="0"/>
        </w:sectPr>
      </w:pPr>
    </w:p>
    <w:p>
      <w:pPr>
        <w:spacing w:after="0" w:line="216"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31115</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3" w:lineRule="exact"/>
        <w:rPr>
          <w:sz w:val="20"/>
          <w:szCs w:val="20"/>
          <w:color w:val="auto"/>
        </w:rPr>
      </w:pPr>
    </w:p>
    <w:p>
      <w:pPr>
        <w:ind w:left="5940"/>
        <w:spacing w:after="0"/>
        <w:tabs>
          <w:tab w:leader="none" w:pos="74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31115</wp:posOffset>
            </wp:positionV>
            <wp:extent cx="1834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3" w:lineRule="exact"/>
        <w:rPr>
          <w:sz w:val="20"/>
          <w:szCs w:val="20"/>
          <w:color w:val="auto"/>
        </w:rPr>
      </w:pPr>
    </w:p>
    <w:p>
      <w:pPr>
        <w:spacing w:after="0"/>
        <w:tabs>
          <w:tab w:leader="none" w:pos="1480"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48" w:lineRule="exact"/>
        <w:rPr>
          <w:sz w:val="20"/>
          <w:szCs w:val="20"/>
          <w:color w:val="auto"/>
        </w:rPr>
      </w:pPr>
    </w:p>
    <w:p>
      <w:pPr>
        <w:sectPr>
          <w:pgSz w:w="11900" w:h="16838" w:orient="portrait"/>
          <w:cols w:equalWidth="0" w:num="2">
            <w:col w:w="8180" w:space="720"/>
            <w:col w:w="234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54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Store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Rentals and fees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1,661,939</w:t>
            </w:r>
          </w:p>
        </w:tc>
        <w:tc>
          <w:tcPr>
            <w:tcW w:w="0" w:type="dxa"/>
            <w:vAlign w:val="bottom"/>
          </w:tcPr>
          <w:p>
            <w:pPr>
              <w:spacing w:after="0"/>
              <w:rPr>
                <w:sz w:val="1"/>
                <w:szCs w:val="1"/>
                <w:color w:val="auto"/>
              </w:rPr>
            </w:pPr>
          </w:p>
        </w:tc>
      </w:tr>
      <w:tr>
        <w:trPr>
          <w:trHeight w:val="229"/>
        </w:trPr>
        <w:tc>
          <w:tcPr>
            <w:tcW w:w="5400" w:type="dxa"/>
            <w:vAlign w:val="bottom"/>
          </w:tcPr>
          <w:p>
            <w:pPr>
              <w:ind w:left="680"/>
              <w:spacing w:after="0"/>
              <w:rPr>
                <w:sz w:val="20"/>
                <w:szCs w:val="20"/>
                <w:color w:val="auto"/>
              </w:rPr>
            </w:pPr>
            <w:r>
              <w:rPr>
                <w:rFonts w:ascii="Arial" w:cs="Arial" w:eastAsia="Arial" w:hAnsi="Arial"/>
                <w:sz w:val="18"/>
                <w:szCs w:val="18"/>
                <w:color w:val="auto"/>
              </w:rPr>
              <w:t>Merchandise sales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221,229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393,649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454,022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Installment sales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35,964</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store revenues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2,171,989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2,153,878</w:t>
            </w: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Franchise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Merchandise sales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62,671</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Royalty income and fees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14,208</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2,230,976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2,230,757</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Store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680"/>
              <w:spacing w:after="0"/>
              <w:rPr>
                <w:sz w:val="20"/>
                <w:szCs w:val="20"/>
                <w:color w:val="auto"/>
              </w:rPr>
            </w:pPr>
            <w:r>
              <w:rPr>
                <w:rFonts w:ascii="Arial" w:cs="Arial" w:eastAsia="Arial" w:hAnsi="Arial"/>
                <w:sz w:val="18"/>
                <w:szCs w:val="18"/>
                <w:color w:val="auto"/>
              </w:rPr>
              <w:t>Cost of rentals and fees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320,873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658,576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567,908</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Cost of merchandise sold</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489,959</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Cost of installment sales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12,275</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cost of store revenues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1,106,989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1,070,142</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Franchise cost of merchandise sold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62,620</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1,152,338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1,132,762</w:t>
            </w:r>
          </w:p>
        </w:tc>
        <w:tc>
          <w:tcPr>
            <w:tcW w:w="0" w:type="dxa"/>
            <w:vAlign w:val="bottom"/>
          </w:tcPr>
          <w:p>
            <w:pPr>
              <w:spacing w:after="0"/>
              <w:rPr>
                <w:sz w:val="1"/>
                <w:szCs w:val="1"/>
                <w:color w:val="auto"/>
              </w:rPr>
            </w:pPr>
          </w:p>
        </w:tc>
      </w:tr>
      <w:tr>
        <w:trPr>
          <w:trHeight w:val="223"/>
        </w:trPr>
        <w:tc>
          <w:tcPr>
            <w:tcW w:w="5400" w:type="dxa"/>
            <w:vAlign w:val="bottom"/>
          </w:tcPr>
          <w:p>
            <w:pPr>
              <w:ind w:left="68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587,472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1,078,638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1,097,995</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Store expenses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Labor</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316,044</w:t>
            </w:r>
          </w:p>
        </w:tc>
        <w:tc>
          <w:tcPr>
            <w:tcW w:w="0" w:type="dxa"/>
            <w:vAlign w:val="bottom"/>
          </w:tcPr>
          <w:p>
            <w:pPr>
              <w:spacing w:after="0"/>
              <w:rPr>
                <w:sz w:val="1"/>
                <w:szCs w:val="1"/>
                <w:color w:val="auto"/>
              </w:rPr>
            </w:pPr>
          </w:p>
        </w:tc>
      </w:tr>
      <w:tr>
        <w:trPr>
          <w:trHeight w:val="230"/>
        </w:trPr>
        <w:tc>
          <w:tcPr>
            <w:tcW w:w="5400" w:type="dxa"/>
            <w:vAlign w:val="bottom"/>
          </w:tcPr>
          <w:p>
            <w:pPr>
              <w:ind w:left="680"/>
              <w:spacing w:after="0"/>
              <w:rPr>
                <w:sz w:val="20"/>
                <w:szCs w:val="20"/>
                <w:color w:val="auto"/>
              </w:rPr>
            </w:pPr>
            <w:r>
              <w:rPr>
                <w:rFonts w:ascii="Arial" w:cs="Arial" w:eastAsia="Arial" w:hAnsi="Arial"/>
                <w:sz w:val="18"/>
                <w:szCs w:val="18"/>
                <w:color w:val="auto"/>
              </w:rPr>
              <w:t>Other store expenses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199,091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426,459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351,145</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103,510</w:t>
            </w: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26,959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123,772</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1,009,515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921,430</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profit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176,565</w:t>
            </w: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Debt refinancing charges</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8,743</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32,425</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Earnings before income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135,515</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31,654</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103,861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80"/>
          </w:cols>
          <w:pgMar w:left="360" w:top="364" w:right="359" w:bottom="1440" w:gutter="0" w:footer="0" w:header="0"/>
        </w:sectPr>
      </w:pPr>
    </w:p>
    <w:p>
      <w:pPr>
        <w:spacing w:after="0" w:line="27" w:lineRule="exact"/>
        <w:rPr>
          <w:sz w:val="20"/>
          <w:szCs w:val="20"/>
          <w:color w:val="auto"/>
        </w:rPr>
      </w:pPr>
    </w:p>
    <w:p>
      <w:pPr>
        <w:ind w:left="592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31115</wp:posOffset>
            </wp:positionV>
            <wp:extent cx="1791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33" w:lineRule="exact"/>
        <w:rPr>
          <w:sz w:val="20"/>
          <w:szCs w:val="20"/>
          <w:color w:val="auto"/>
        </w:rPr>
      </w:pPr>
    </w:p>
    <w:p>
      <w:pPr>
        <w:ind w:left="5960"/>
        <w:spacing w:after="0"/>
        <w:tabs>
          <w:tab w:leader="none" w:pos="74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31115</wp:posOffset>
            </wp:positionV>
            <wp:extent cx="1800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3" w:lineRule="exact"/>
        <w:rPr>
          <w:sz w:val="20"/>
          <w:szCs w:val="20"/>
          <w:color w:val="auto"/>
        </w:rPr>
      </w:pPr>
    </w:p>
    <w:p>
      <w:pPr>
        <w:spacing w:after="0"/>
        <w:tabs>
          <w:tab w:leader="none" w:pos="1460"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48" w:lineRule="exact"/>
        <w:rPr>
          <w:sz w:val="20"/>
          <w:szCs w:val="20"/>
          <w:color w:val="auto"/>
        </w:rPr>
      </w:pPr>
    </w:p>
    <w:p>
      <w:pPr>
        <w:sectPr>
          <w:pgSz w:w="11900" w:h="16838" w:orient="portrait"/>
          <w:cols w:equalWidth="0" w:num="2">
            <w:col w:w="8160" w:space="720"/>
            <w:col w:w="2300"/>
          </w:cols>
          <w:pgMar w:left="360" w:top="364" w:right="35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5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103,861</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Foreign currency translation adjustments, net of tax of $(26) and</w:t>
            </w: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$238, $150 and $11 for the three and six months ended June 30, 2022</w:t>
            </w:r>
          </w:p>
        </w:tc>
        <w:tc>
          <w:tcPr>
            <w:tcW w:w="4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2021, respectively</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other comprehensive (loss) income</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Comprehensive income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103,904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64" w:right="3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69"/>
        </w:trPr>
        <w:tc>
          <w:tcPr>
            <w:tcW w:w="79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par value data)</w:t>
            </w: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112,175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108,333</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Receivables, net of allowance for doubtful accounts of $9,226 and $8,479 in 2022 and 2021, respectively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126,378</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59,476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63,468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merchandise, net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On rent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977,178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1,173,024</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Held for rent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132,984</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Merchandise held for installment sale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Property assets, net of accumulated depreciation of $586,669 and $557,453 in 2022 and 2021, respectively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308,098</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304,376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291,338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68,391</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289,761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289,750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425,158</w:t>
            </w:r>
          </w:p>
        </w:tc>
        <w:tc>
          <w:tcPr>
            <w:tcW w:w="0" w:type="dxa"/>
            <w:vAlign w:val="bottom"/>
          </w:tcPr>
          <w:p>
            <w:pPr>
              <w:spacing w:after="0"/>
              <w:rPr>
                <w:sz w:val="1"/>
                <w:szCs w:val="1"/>
                <w:color w:val="auto"/>
              </w:rPr>
            </w:pPr>
          </w:p>
        </w:tc>
      </w:tr>
      <w:tr>
        <w:trPr>
          <w:trHeight w:val="223"/>
        </w:trPr>
        <w:tc>
          <w:tcPr>
            <w:tcW w:w="79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2,767,132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2,993,327</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Accounts payable – trade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120,688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135,666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362,708</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296,535</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113,943</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Senior debt, net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933,019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1,135,207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435,992</w:t>
            </w:r>
          </w:p>
        </w:tc>
        <w:tc>
          <w:tcPr>
            <w:tcW w:w="0" w:type="dxa"/>
            <w:vAlign w:val="bottom"/>
          </w:tcPr>
          <w:p>
            <w:pPr>
              <w:spacing w:after="0"/>
              <w:rPr>
                <w:sz w:val="1"/>
                <w:szCs w:val="1"/>
                <w:color w:val="auto"/>
              </w:rPr>
            </w:pPr>
          </w:p>
        </w:tc>
      </w:tr>
      <w:tr>
        <w:trPr>
          <w:trHeight w:val="223"/>
        </w:trPr>
        <w:tc>
          <w:tcPr>
            <w:tcW w:w="794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2,208,298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2,480,051</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20"/>
              <w:spacing w:after="0" w:line="176" w:lineRule="exact"/>
              <w:rPr>
                <w:sz w:val="20"/>
                <w:szCs w:val="20"/>
                <w:color w:val="auto"/>
              </w:rPr>
            </w:pPr>
            <w:r>
              <w:rPr>
                <w:rFonts w:ascii="Arial" w:cs="Arial" w:eastAsia="Arial" w:hAnsi="Arial"/>
                <w:sz w:val="18"/>
                <w:szCs w:val="18"/>
                <w:color w:val="auto"/>
                <w:w w:val="89"/>
              </w:rPr>
              <w:t>Common stock, $0.01 par value; 250,000,000 shares authorized; 124,980,516 and 124,398,373 shares issued</w:t>
            </w:r>
          </w:p>
        </w:tc>
        <w:tc>
          <w:tcPr>
            <w:tcW w:w="2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in June 30, 2022 and December 31, 2021, respectively</w:t>
            </w:r>
          </w:p>
        </w:tc>
        <w:tc>
          <w:tcPr>
            <w:tcW w:w="2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1,146,509</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1,118,968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1,143,647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at cost, 65,790,667 shares in June 30, 2022 and December 31, 2021</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(1,765,574)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(1,765,574)</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513,276</w:t>
            </w:r>
          </w:p>
        </w:tc>
        <w:tc>
          <w:tcPr>
            <w:tcW w:w="0" w:type="dxa"/>
            <w:vAlign w:val="bottom"/>
          </w:tcPr>
          <w:p>
            <w:pPr>
              <w:spacing w:after="0"/>
              <w:rPr>
                <w:sz w:val="1"/>
                <w:szCs w:val="1"/>
                <w:color w:val="auto"/>
              </w:rPr>
            </w:pPr>
          </w:p>
        </w:tc>
      </w:tr>
      <w:tr>
        <w:trPr>
          <w:trHeight w:val="223"/>
        </w:trPr>
        <w:tc>
          <w:tcPr>
            <w:tcW w:w="7940" w:type="dxa"/>
            <w:vAlign w:val="bottom"/>
          </w:tcPr>
          <w:p>
            <w:pPr>
              <w:ind w:left="10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2,767,132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2,993,327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00" w:type="dxa"/>
            <w:vAlign w:val="bottom"/>
          </w:tcPr>
          <w:p>
            <w:pPr>
              <w:spacing w:after="0"/>
              <w:rPr>
                <w:sz w:val="17"/>
                <w:szCs w:val="17"/>
                <w:color w:val="auto"/>
              </w:rPr>
            </w:pPr>
          </w:p>
        </w:tc>
        <w:tc>
          <w:tcPr>
            <w:tcW w:w="19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000" w:type="dxa"/>
            <w:vAlign w:val="bottom"/>
          </w:tcPr>
          <w:p>
            <w:pPr>
              <w:spacing w:after="0"/>
              <w:rPr>
                <w:sz w:val="10"/>
                <w:szCs w:val="10"/>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0"/>
                <w:szCs w:val="10"/>
                <w:color w:val="auto"/>
              </w:rPr>
            </w:pPr>
          </w:p>
        </w:tc>
        <w:tc>
          <w:tcPr>
            <w:tcW w:w="1060" w:type="dxa"/>
            <w:vAlign w:val="bottom"/>
            <w:gridSpan w:val="2"/>
          </w:tcPr>
          <w:p>
            <w:pPr>
              <w:jc w:val="center"/>
              <w:ind w:right="280"/>
              <w:spacing w:after="0" w:line="115"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104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0"/>
                <w:szCs w:val="10"/>
                <w:color w:val="auto"/>
              </w:rPr>
            </w:pPr>
          </w:p>
        </w:tc>
        <w:tc>
          <w:tcPr>
            <w:tcW w:w="1080" w:type="dxa"/>
            <w:vAlign w:val="bottom"/>
            <w:gridSpan w:val="2"/>
          </w:tcPr>
          <w:p>
            <w:pPr>
              <w:jc w:val="center"/>
              <w:ind w:right="320"/>
              <w:spacing w:after="0" w:line="11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220" w:type="dxa"/>
            <w:vAlign w:val="bottom"/>
          </w:tcPr>
          <w:p>
            <w:pPr>
              <w:spacing w:after="0"/>
              <w:rPr>
                <w:sz w:val="10"/>
                <w:szCs w:val="10"/>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(Loss) Income</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1,143,647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(1,765,574)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513,276</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(4,237)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169"/>
        </w:trPr>
        <w:tc>
          <w:tcPr>
            <w:tcW w:w="30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Vesting of restricted share units, net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for employee taxes</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00" w:type="dxa"/>
            <w:vAlign w:val="bottom"/>
          </w:tcPr>
          <w:p>
            <w:pPr>
              <w:ind w:left="140"/>
              <w:spacing w:after="0" w:line="166" w:lineRule="exact"/>
              <w:rPr>
                <w:sz w:val="20"/>
                <w:szCs w:val="20"/>
                <w:color w:val="auto"/>
              </w:rPr>
            </w:pPr>
            <w:r>
              <w:rPr>
                <w:rFonts w:ascii="Arial" w:cs="Arial" w:eastAsia="Arial" w:hAnsi="Arial"/>
                <w:sz w:val="16"/>
                <w:szCs w:val="16"/>
                <w:color w:val="auto"/>
              </w:rPr>
              <w:t>Tax effect of stock awards vested and</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(8,466)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(8,466)</w:t>
            </w:r>
          </w:p>
        </w:tc>
        <w:tc>
          <w:tcPr>
            <w:tcW w:w="0" w:type="dxa"/>
            <w:vAlign w:val="bottom"/>
          </w:tcPr>
          <w:p>
            <w:pPr>
              <w:spacing w:after="0"/>
              <w:rPr>
                <w:sz w:val="1"/>
                <w:szCs w:val="1"/>
                <w:color w:val="auto"/>
              </w:rPr>
            </w:pPr>
          </w:p>
        </w:tc>
      </w:tr>
      <w:tr>
        <w:trPr>
          <w:trHeight w:val="209"/>
        </w:trPr>
        <w:tc>
          <w:tcPr>
            <w:tcW w:w="3000" w:type="dxa"/>
            <w:vAlign w:val="bottom"/>
          </w:tcPr>
          <w:p>
            <w:pPr>
              <w:ind w:left="140"/>
              <w:spacing w:after="0"/>
              <w:rPr>
                <w:sz w:val="20"/>
                <w:szCs w:val="20"/>
                <w:color w:val="auto"/>
              </w:rPr>
            </w:pPr>
            <w:r>
              <w:rPr>
                <w:rFonts w:ascii="Arial" w:cs="Arial" w:eastAsia="Arial" w:hAnsi="Arial"/>
                <w:sz w:val="16"/>
                <w:szCs w:val="16"/>
                <w:color w:val="auto"/>
              </w:rPr>
              <w:t>options exercised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41,410</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(20,063)</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124,844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1,179,925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1,119,347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92"/>
              </w:rPr>
              <w:t>(1,765,574)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523,058</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19,725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169"/>
        </w:trPr>
        <w:tc>
          <w:tcPr>
            <w:tcW w:w="30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Vesting of restricted share units, net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for employee taxes</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00" w:type="dxa"/>
            <w:vAlign w:val="bottom"/>
          </w:tcPr>
          <w:p>
            <w:pPr>
              <w:ind w:left="140"/>
              <w:spacing w:after="0" w:line="166" w:lineRule="exact"/>
              <w:rPr>
                <w:sz w:val="20"/>
                <w:szCs w:val="20"/>
                <w:color w:val="auto"/>
              </w:rPr>
            </w:pPr>
            <w:r>
              <w:rPr>
                <w:rFonts w:ascii="Arial" w:cs="Arial" w:eastAsia="Arial" w:hAnsi="Arial"/>
                <w:sz w:val="16"/>
                <w:szCs w:val="16"/>
                <w:color w:val="auto"/>
              </w:rPr>
              <w:t>Tax effect of stock awards vested and</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209"/>
        </w:trPr>
        <w:tc>
          <w:tcPr>
            <w:tcW w:w="3000" w:type="dxa"/>
            <w:vAlign w:val="bottom"/>
          </w:tcPr>
          <w:p>
            <w:pPr>
              <w:ind w:left="140"/>
              <w:spacing w:after="0"/>
              <w:rPr>
                <w:sz w:val="20"/>
                <w:szCs w:val="20"/>
                <w:color w:val="auto"/>
              </w:rPr>
            </w:pPr>
            <w:r>
              <w:rPr>
                <w:rFonts w:ascii="Arial" w:cs="Arial" w:eastAsia="Arial" w:hAnsi="Arial"/>
                <w:sz w:val="16"/>
                <w:szCs w:val="16"/>
                <w:color w:val="auto"/>
              </w:rPr>
              <w:t>options exercised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36,438</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(20,104)</w:t>
            </w: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1,216,176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1,118,968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92"/>
              </w:rPr>
              <w:t>(1,765,574)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558,834</w:t>
            </w:r>
          </w:p>
        </w:tc>
        <w:tc>
          <w:tcPr>
            <w:tcW w:w="0" w:type="dxa"/>
            <w:vAlign w:val="bottom"/>
          </w:tcPr>
          <w:p>
            <w:pPr>
              <w:spacing w:after="0"/>
              <w:rPr>
                <w:sz w:val="1"/>
                <w:szCs w:val="1"/>
                <w:color w:val="auto"/>
              </w:rPr>
            </w:pPr>
          </w:p>
        </w:tc>
      </w:tr>
      <w:tr>
        <w:trPr>
          <w:trHeight w:val="594"/>
        </w:trPr>
        <w:tc>
          <w:tcPr>
            <w:tcW w:w="3000" w:type="dxa"/>
            <w:vAlign w:val="bottom"/>
          </w:tcPr>
          <w:p>
            <w:pPr>
              <w:spacing w:after="0"/>
              <w:rPr>
                <w:sz w:val="24"/>
                <w:szCs w:val="24"/>
                <w:color w:val="auto"/>
              </w:rPr>
            </w:pPr>
          </w:p>
        </w:tc>
        <w:tc>
          <w:tcPr>
            <w:tcW w:w="19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0" w:type="dxa"/>
            <w:vAlign w:val="bottom"/>
          </w:tcPr>
          <w:p>
            <w:pPr>
              <w:spacing w:after="0"/>
              <w:rPr>
                <w:sz w:val="10"/>
                <w:szCs w:val="10"/>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0"/>
                <w:szCs w:val="10"/>
                <w:color w:val="auto"/>
              </w:rPr>
            </w:pPr>
          </w:p>
        </w:tc>
        <w:tc>
          <w:tcPr>
            <w:tcW w:w="1060" w:type="dxa"/>
            <w:vAlign w:val="bottom"/>
            <w:gridSpan w:val="2"/>
          </w:tcPr>
          <w:p>
            <w:pPr>
              <w:jc w:val="center"/>
              <w:ind w:right="280"/>
              <w:spacing w:after="0" w:line="115"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104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0"/>
                <w:szCs w:val="10"/>
                <w:color w:val="auto"/>
              </w:rPr>
            </w:pPr>
          </w:p>
        </w:tc>
        <w:tc>
          <w:tcPr>
            <w:tcW w:w="1080" w:type="dxa"/>
            <w:vAlign w:val="bottom"/>
            <w:gridSpan w:val="2"/>
          </w:tcPr>
          <w:p>
            <w:pPr>
              <w:jc w:val="center"/>
              <w:ind w:right="320"/>
              <w:spacing w:after="0" w:line="11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220" w:type="dxa"/>
            <w:vAlign w:val="bottom"/>
          </w:tcPr>
          <w:p>
            <w:pPr>
              <w:spacing w:after="0"/>
              <w:rPr>
                <w:sz w:val="10"/>
                <w:szCs w:val="10"/>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(Loss) Income</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886,902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(1,375,541)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592,080</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42,552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42,552</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8,944</w:t>
            </w:r>
          </w:p>
        </w:tc>
        <w:tc>
          <w:tcPr>
            <w:tcW w:w="0" w:type="dxa"/>
            <w:vAlign w:val="bottom"/>
          </w:tcPr>
          <w:p>
            <w:pPr>
              <w:spacing w:after="0"/>
              <w:rPr>
                <w:sz w:val="1"/>
                <w:szCs w:val="1"/>
                <w:color w:val="auto"/>
              </w:rPr>
            </w:pPr>
          </w:p>
        </w:tc>
      </w:tr>
      <w:tr>
        <w:trPr>
          <w:trHeight w:val="165"/>
        </w:trPr>
        <w:tc>
          <w:tcPr>
            <w:tcW w:w="300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Vesting of restricted share units, net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(20,903)</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shares withheld for employee taxes</w:t>
            </w:r>
            <w:r>
              <w:rPr>
                <w:rFonts w:ascii="Arial" w:cs="Arial" w:eastAsia="Arial" w:hAnsi="Arial"/>
                <w:sz w:val="21"/>
                <w:szCs w:val="21"/>
                <w:color w:val="auto"/>
                <w:vertAlign w:val="superscript"/>
              </w:rPr>
              <w:t>(1)</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20,148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(20,722)</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Acima acquisition</w:t>
            </w:r>
          </w:p>
        </w:tc>
        <w:tc>
          <w:tcPr>
            <w:tcW w:w="940" w:type="dxa"/>
            <w:vAlign w:val="bottom"/>
          </w:tcPr>
          <w:p>
            <w:pPr>
              <w:jc w:val="right"/>
              <w:spacing w:after="0"/>
              <w:rPr>
                <w:sz w:val="20"/>
                <w:szCs w:val="20"/>
                <w:color w:val="auto"/>
              </w:rPr>
            </w:pPr>
            <w:r>
              <w:rPr>
                <w:rFonts w:ascii="Arial" w:cs="Arial" w:eastAsia="Arial" w:hAnsi="Arial"/>
                <w:sz w:val="16"/>
                <w:szCs w:val="16"/>
                <w:color w:val="auto"/>
              </w:rPr>
              <w:t>10,780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120,914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120,941</w:t>
            </w: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1,015,995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1,112,840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92"/>
              </w:rPr>
              <w:t>(1,375,541)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742,187</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61,309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61,309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1,682</w:t>
            </w:r>
          </w:p>
        </w:tc>
        <w:tc>
          <w:tcPr>
            <w:tcW w:w="0" w:type="dxa"/>
            <w:vAlign w:val="bottom"/>
          </w:tcPr>
          <w:p>
            <w:pPr>
              <w:spacing w:after="0"/>
              <w:rPr>
                <w:sz w:val="1"/>
                <w:szCs w:val="1"/>
                <w:color w:val="auto"/>
              </w:rPr>
            </w:pPr>
          </w:p>
        </w:tc>
      </w:tr>
      <w:tr>
        <w:trPr>
          <w:trHeight w:val="169"/>
        </w:trPr>
        <w:tc>
          <w:tcPr>
            <w:tcW w:w="30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Vesting of restricted share units, net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for employee taxes</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39,566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39,566</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(20,477)</w:t>
            </w:r>
          </w:p>
        </w:tc>
        <w:tc>
          <w:tcPr>
            <w:tcW w:w="0" w:type="dxa"/>
            <w:vAlign w:val="bottom"/>
          </w:tcPr>
          <w:p>
            <w:pPr>
              <w:spacing w:after="0"/>
              <w:rPr>
                <w:sz w:val="1"/>
                <w:szCs w:val="1"/>
                <w:color w:val="auto"/>
              </w:rPr>
            </w:pPr>
          </w:p>
        </w:tc>
      </w:tr>
      <w:tr>
        <w:trPr>
          <w:trHeight w:val="20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124,347</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1,057,242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1,153,672</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w w:val="92"/>
              </w:rPr>
              <w:t>(1,375,541)</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(11,353)</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825,164</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Includes shares released from escrow related to the 2019 Merchant's Preferred acquisition.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8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167"/>
        </w:trPr>
        <w:tc>
          <w:tcPr>
            <w:tcW w:w="8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15,488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103,861</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Depreciation of rental merchandise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637,870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547,034</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Bad debt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59,714</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of property assets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31,782</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Loss on sale or disposal of property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43,712</w:t>
            </w:r>
          </w:p>
        </w:tc>
      </w:tr>
      <w:tr>
        <w:trPr>
          <w:trHeight w:val="230"/>
        </w:trPr>
        <w:tc>
          <w:tcPr>
            <w:tcW w:w="8160" w:type="dxa"/>
            <w:vAlign w:val="bottom"/>
          </w:tcPr>
          <w:p>
            <w:pPr>
              <w:ind w:left="680"/>
              <w:spacing w:after="0"/>
              <w:rPr>
                <w:sz w:val="20"/>
                <w:szCs w:val="20"/>
                <w:color w:val="auto"/>
              </w:rPr>
            </w:pPr>
            <w:r>
              <w:rPr>
                <w:rFonts w:ascii="Arial" w:cs="Arial" w:eastAsia="Arial" w:hAnsi="Arial"/>
                <w:sz w:val="18"/>
                <w:szCs w:val="18"/>
                <w:color w:val="auto"/>
              </w:rPr>
              <w:t>Amortization of financing fees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2,917</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Write-off of debt financing fees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21,320</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net of acquired assets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Rental merchandise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(555,856)</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Receivables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4,524</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 right-of-use assets and lease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8160" w:type="dxa"/>
            <w:vAlign w:val="bottom"/>
          </w:tcPr>
          <w:p>
            <w:pPr>
              <w:ind w:left="680"/>
              <w:spacing w:after="0"/>
              <w:rPr>
                <w:sz w:val="20"/>
                <w:szCs w:val="20"/>
                <w:color w:val="auto"/>
              </w:rPr>
            </w:pPr>
            <w:r>
              <w:rPr>
                <w:rFonts w:ascii="Arial" w:cs="Arial" w:eastAsia="Arial" w:hAnsi="Arial"/>
                <w:sz w:val="18"/>
                <w:szCs w:val="18"/>
                <w:color w:val="auto"/>
              </w:rPr>
              <w:t>Accounts payable – trade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(28,030)</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15,336</w:t>
            </w:r>
          </w:p>
        </w:tc>
      </w:tr>
      <w:tr>
        <w:trPr>
          <w:trHeight w:val="223"/>
        </w:trPr>
        <w:tc>
          <w:tcPr>
            <w:tcW w:w="8160" w:type="dxa"/>
            <w:vAlign w:val="bottom"/>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287,121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250,518</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Purchase of property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(25,401)</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assets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Acquisitions of businesses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(1,273,542)</w:t>
            </w:r>
          </w:p>
        </w:tc>
      </w:tr>
      <w:tr>
        <w:trPr>
          <w:trHeight w:val="223"/>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(1,298,943)</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Shares withheld for payment of employee tax withholdings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(20,903)</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(46,085)</w:t>
            </w: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Proceeds from debt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1,490,000</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debt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(364,688)</w:t>
            </w:r>
          </w:p>
        </w:tc>
      </w:tr>
      <w:tr>
        <w:trPr>
          <w:trHeight w:val="230"/>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(35,054)</w:t>
            </w:r>
          </w:p>
        </w:tc>
      </w:tr>
      <w:tr>
        <w:trPr>
          <w:trHeight w:val="223"/>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1,033,896</w:t>
            </w:r>
          </w:p>
        </w:tc>
      </w:tr>
      <w:tr>
        <w:trPr>
          <w:trHeight w:val="230"/>
        </w:trPr>
        <w:tc>
          <w:tcPr>
            <w:tcW w:w="81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159,449</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145,072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interim condensed consolidated financial statements of Rent-A-Center,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2021.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such as the future unknown impacts of the COVID-19 pandemic and other macroeconomic factors, including recent significant increases to the consumer price index, a condensed labor market, wage inflation, and global supply chain issues may affect certain estimates and assumptions inherent in the financial reporting process, which may impact reported amounts of assets and liabilities in future periods and cause actual results to differ from those estimates.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Nature of Operations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financial statements included herein include the accounts of Rent-A-Center, Inc. and its direct and indirect subsidiaries. All intercompany accounts and transactions have been eliminated. Unless the context indicates otherwise, references to “Rent-A-Center” refer only to Rent-A-Center, Inc., the parent, and references to the “Company”, “we,” “us” and “our” refer to the consolidated business operations of Rent-A-Center and any or all of its direct and indirect subsidiaries. We report four operating segments: Rent-A-Center Business, Acima (formerly Preferred Lease), Mexico, and Franchising.</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Rent-A-Center Business segment consists of company-owned lease-to-own stores in the United States and Puerto Rico that lease household durable goods to customers on a lease-to-own basis. We also offer merchandise on an installment sales basis in certain of our stores under the names “Get It Now” and “Home Choice.” Our Rent-A-Center Business segment operates through our company-owned stores and e-commerce platform through rentacenter.com.</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Acima segment, which operates in the United States and Puerto Rico, which includes the operations of Acima Holdings (as defined in Note 2 below) acquired in February 2021 and our previous Preferred Lease virtual and staffed locations, generally offers the lease-to-own transaction to consumers who do not qualify for financing from the traditional retailer through staffed or unstaffed kiosks located within such retailer’s locations, or other virtual location options. Virtual locations employ a virtual solution where customers, either directly or with the assistance of a representative of the third-party retailer, initiate the lease-to-own transaction online in the retailers’ locations using our virtual solutions.</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Mexico segment consists of our company-owned lease-to-own stores in Mexico that lease household durable goods to customers on a lease-to-own basis.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Rent-A-Center Franchising International, Inc., an indirect wholly-owned subsidiary of Rent-A-Center, is a franchisor of lease-to-own stores.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 and Divestitures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17, 2021, we completed the acquisition of Acima Holdings, LLC (“Acima Holdings”). Acima Holdings is a leading platform offering customers virtual lease-to-own solutions at the point-of-sale via web and mobile technology.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the agreement and plan of merger entered into in connection with the transaction (the “Merger Agreement”), we issued to the former owners of Acima Holdings an aggregate of 10,779,923 shares of our common stock (the “Aggregate Stock Consideration”) and paid to them aggregate cash consideration of $1.3 billion (the “Aggregate Cash Consideration”).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accordance with the terms of the Merger Agreement, the portion of the Aggregate Stock Consideration issued to employee former owners of Acima Holdings is subject to restricted stock agreements providing vesting conditions over a 36-month period that began upon closing of the transaction. The portion of the Aggregate Stock Consideration issued to nonemployee former owners of Acima Holdings is subject to the terms of an 18-month lockup agreement, pursuant to which two-thirds of the aggregate shares of our common stock received by non-employee former owners in the transaction have become transferable with the remainder to become transferable on August 17, 2022. We entered into a Registration Rights Agreement at the closing of the transaction pursuant to which certain former owners of Acima are entitled to registration rights in respect of the portion of the Aggregate Stock Consideration received by them in the transaction.</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aggregate purchase price in accordance with accounting standards under U.S. GAAP was approximately $1.4 billion, including the Aggregate Cash Consideration, and the 2,683,328 shares of the Aggregate Stock Consideration issued to non-employee former owners of Acima Holdings, valued at $51.14 per share, as of the closing date and discounted for lack of marketability on account of the transfer restrictions described above. The Aggregate Cash Consideration for the acquisition was financed with a combination of cash on hand, borrowings under our ABL Credit Facility and proceeds from issuances under our Term Loan Facility, as defined in Note 7, in addition to proceeds from the issuance of new unsecured senior notes. See Note 7 and Note 8 for additional information.</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purchase price excludes the remaining 8,096,595 shares of the Aggregate Stock Consideration issued to employee former owners of Acima Holdings. Such shares were valued at $414.1 million, based on the per share price of $51.14 as of the date of closing. These shares are instead being recognized as stock-based compensation expense subject to ASC Topic 718, “Stock-based Compensation”, over the required vesting period, and recorded to Other charges in our unaudited Condensed Consolidated Statements of Operations.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Assets acquired and liabilities assumed in connection with the acquisition have been recorded at their fair values. The following table provides the estimated fair values of the identifiable assets acquired and liabilities assumed as of the acquisition date: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February 17, 2021</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cash consideration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1,273,263</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Aggregate stock consideration, subject to lockup agreements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120,929</w:t>
            </w:r>
          </w:p>
        </w:tc>
      </w:tr>
      <w:tr>
        <w:trPr>
          <w:trHeight w:val="223"/>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1,394,192</w:t>
            </w:r>
          </w:p>
        </w:tc>
      </w:tr>
      <w:tr>
        <w:trPr>
          <w:trHeight w:val="210"/>
        </w:trPr>
        <w:tc>
          <w:tcPr>
            <w:tcW w:w="9480" w:type="dxa"/>
            <w:vAlign w:val="bottom"/>
          </w:tcPr>
          <w:p>
            <w:pPr>
              <w:ind w:left="3920"/>
              <w:spacing w:after="0"/>
              <w:rPr>
                <w:sz w:val="20"/>
                <w:szCs w:val="20"/>
                <w:color w:val="auto"/>
              </w:rPr>
            </w:pPr>
            <w:r>
              <w:rPr>
                <w:rFonts w:ascii="Arial" w:cs="Arial" w:eastAsia="Arial" w:hAnsi="Arial"/>
                <w:sz w:val="18"/>
                <w:szCs w:val="18"/>
                <w:color w:val="auto"/>
              </w:rPr>
              <w:t>ASSETS ACQUIRED</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9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Receivables, net</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25,255</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merchandise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9480" w:type="dxa"/>
            <w:vAlign w:val="bottom"/>
          </w:tcPr>
          <w:p>
            <w:pPr>
              <w:ind w:left="240"/>
              <w:spacing w:after="0"/>
              <w:rPr>
                <w:sz w:val="20"/>
                <w:szCs w:val="20"/>
                <w:color w:val="auto"/>
              </w:rPr>
            </w:pPr>
            <w:r>
              <w:rPr>
                <w:rFonts w:ascii="Arial" w:cs="Arial" w:eastAsia="Arial" w:hAnsi="Arial"/>
                <w:sz w:val="18"/>
                <w:szCs w:val="18"/>
                <w:color w:val="auto"/>
              </w:rPr>
              <w:t>On rent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340,575</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171,455</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9,136</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28,559</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219,530</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520,000</w:t>
            </w:r>
          </w:p>
        </w:tc>
      </w:tr>
      <w:tr>
        <w:trPr>
          <w:trHeight w:val="223"/>
        </w:trPr>
        <w:tc>
          <w:tcPr>
            <w:tcW w:w="9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1,315,210</w:t>
            </w:r>
          </w:p>
        </w:tc>
      </w:tr>
      <w:tr>
        <w:trPr>
          <w:trHeight w:val="209"/>
        </w:trPr>
        <w:tc>
          <w:tcPr>
            <w:tcW w:w="9480" w:type="dxa"/>
            <w:vAlign w:val="bottom"/>
            <w:shd w:val="clear" w:color="auto" w:fill="CCEEFF"/>
          </w:tcPr>
          <w:p>
            <w:pPr>
              <w:ind w:left="3780"/>
              <w:spacing w:after="0"/>
              <w:rPr>
                <w:sz w:val="20"/>
                <w:szCs w:val="20"/>
                <w:color w:val="auto"/>
              </w:rPr>
            </w:pPr>
            <w:r>
              <w:rPr>
                <w:rFonts w:ascii="Arial" w:cs="Arial" w:eastAsia="Arial" w:hAnsi="Arial"/>
                <w:sz w:val="18"/>
                <w:szCs w:val="18"/>
                <w:color w:val="auto"/>
              </w:rPr>
              <w:t>LIABILITIES ASSUMED</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Accounts payable - trade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16,023</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9,689</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(116,410)</w:t>
            </w:r>
          </w:p>
        </w:tc>
      </w:tr>
      <w:tr>
        <w:trPr>
          <w:trHeight w:val="223"/>
        </w:trPr>
        <w:tc>
          <w:tcPr>
            <w:tcW w:w="9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(78,982)</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value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1,394,192</w:t>
            </w:r>
          </w:p>
        </w:tc>
      </w:tr>
    </w:tbl>
    <w:p>
      <w:pPr>
        <w:spacing w:after="0" w:line="57"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1"/>
          <w:szCs w:val="11"/>
          <w:color w:val="auto"/>
        </w:rPr>
        <w:t>Includes gross contractual receivables of $61.6 million related to merchandise lease contracts, of which $34.7 million were estimated to be uncollectible.</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Carrying value for assets and liabilities assumed as part of the acquisition, including receivables, prepaid expenses and other assets, accounts payable and accrued liabilities were recorded as fair value, as of the date of acquisition, due to the short term nature of these balances. Operating lease right-of-use assets and liabilities were recorded as the discounted value of future obligations in accordance with ASC Topic 842, “Leases”. The fair value measurements for acquired intangible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developed technology were primarily based on significant unobservable inputs (Level 3) developed using company-specific information. Certain fair values were determined based on an independent valuation of the net assets acquired, including $340.6 million of rental merchandise and $520 million of identifiable intangible assets with an estimated weighted average useful life of 8 years,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ind w:left="3000"/>
              <w:spacing w:after="0"/>
              <w:rPr>
                <w:sz w:val="20"/>
                <w:szCs w:val="20"/>
                <w:color w:val="auto"/>
              </w:rPr>
            </w:pPr>
            <w:r>
              <w:rPr>
                <w:rFonts w:ascii="Arial" w:cs="Arial" w:eastAsia="Arial" w:hAnsi="Arial"/>
                <w:sz w:val="14"/>
                <w:szCs w:val="14"/>
                <w:b w:val="1"/>
                <w:bCs w:val="1"/>
                <w:color w:val="auto"/>
              </w:rPr>
              <w:t>Asset Class</w:t>
            </w:r>
          </w:p>
        </w:tc>
        <w:tc>
          <w:tcPr>
            <w:tcW w:w="1780" w:type="dxa"/>
            <w:vAlign w:val="bottom"/>
          </w:tcPr>
          <w:p>
            <w:pPr>
              <w:spacing w:after="0"/>
              <w:rPr>
                <w:sz w:val="14"/>
                <w:szCs w:val="14"/>
                <w:color w:val="auto"/>
              </w:rPr>
            </w:pPr>
          </w:p>
        </w:tc>
        <w:tc>
          <w:tcPr>
            <w:tcW w:w="1960" w:type="dxa"/>
            <w:vAlign w:val="bottom"/>
          </w:tcPr>
          <w:p>
            <w:pPr>
              <w:jc w:val="right"/>
              <w:ind w:right="376"/>
              <w:spacing w:after="0"/>
              <w:rPr>
                <w:sz w:val="20"/>
                <w:szCs w:val="20"/>
                <w:color w:val="auto"/>
              </w:rPr>
            </w:pPr>
            <w:r>
              <w:rPr>
                <w:rFonts w:ascii="Arial" w:cs="Arial" w:eastAsia="Arial" w:hAnsi="Arial"/>
                <w:sz w:val="14"/>
                <w:szCs w:val="14"/>
                <w:b w:val="1"/>
                <w:bCs w:val="1"/>
                <w:color w:val="auto"/>
              </w:rPr>
              <w:t>Estimated Fair Value</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auto"/>
                <w:w w:val="94"/>
              </w:rPr>
              <w:t>Estimated Remaining Useful Life (in</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Borders>
              <w:bottom w:val="single" w:sz="8" w:color="auto"/>
            </w:tcBorders>
          </w:tcPr>
          <w:p>
            <w:pPr>
              <w:jc w:val="right"/>
              <w:ind w:right="87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1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Relationship with existing lessees</w:t>
            </w:r>
          </w:p>
        </w:tc>
        <w:tc>
          <w:tcPr>
            <w:tcW w:w="17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60,000</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7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7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40,000</w:t>
            </w:r>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Developed technology, included in Property assets, net, in line with our accounting policies, was also acquired with a value of $170.0 million and an estimated remaining useful life of 10 years. The fair value for these intangible and property assets were estimated using common industry valuation methods for similar asset types, based primarily on cost inputs and projected cash flows.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recorded goodwill of $219.5 million in our Acima operating segment, which consists of the excess of the net purchase price over the fair value of the net assets acquired. Goodwill represents expected cost and revenue synergies and other benefits expected to result within our retail partner business from the acquisition of Acima Holdings. The total value of goodwill for tax purposes differs from recorded goodwill as a result of the Aggregate Stock Consideration subject to restricted stock agreements, differences in value assigned to other purchased assets, and acquisition-related expenses. Tax goodwill will be amortized over 15 years.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Acima Holdings' results of operations are reflected in our unaudited Condensed Consolidated Statements of Operations from the date of acquisition.</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Subsequent to the date of acquisition, we recorded certain adjustments to the purchase price allocation within the measurement period, including an adjustment to the fair value of rental merchandise decreasing the value of the acquired assets by approximately $17.1 million. The adjustment to the fair value of rental merchandise was based on further assessment of the carrying value of the assets and corresponding evaluation of related (Level 2) market inputs. Total cumulative measurement period adjustments resulted in a decrease to goodwill of approximately $(22.2) million. The purchase price allocation for the Acima Holdings acquisition was complete as of December 31, 2021.</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this acquisition, we incurred approximately $23.9 million in acquisition-related expenses including expenses related to legal, professional, and banking transaction fees, which are treated as an addition to goodwill for tax purposes. These costs were included in Other charges in our unaudited Condensed Consolidated Statements of Operations.</w:t>
      </w:r>
    </w:p>
    <w:p>
      <w:pPr>
        <w:spacing w:after="0" w:line="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following unaudited pro forma combined results of operations present our financial results as if the acquisition of Acima had been completed on January 1, 2020. These unaudited pro forma results may not necessarily reflect the actual results of operations that would have been achieved, nor are they necessarily indicative of future results of operations. The unaudited pro forma information reflects the step-up and step-down depreciation and amortization adjustments for the fair value of the assets acquired, adjustments to stock compensation expense as a result of Aggregate Stock Consideration subject to restricted stock awards, the adjustments in interest expense due to the elimination of historical debt and placement of the new debt, and the related adjustments to the income tax provision. In addition, the pro forma net income has been adjusted to include transaction expenses and other non-recurring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costs</w:t>
            </w:r>
          </w:p>
        </w:tc>
        <w:tc>
          <w:tcPr>
            <w:tcW w:w="540" w:type="dxa"/>
            <w:vAlign w:val="bottom"/>
          </w:tcPr>
          <w:p>
            <w:pPr>
              <w:ind w:left="200"/>
              <w:spacing w:after="0"/>
              <w:rPr>
                <w:sz w:val="20"/>
                <w:szCs w:val="20"/>
                <w:color w:val="auto"/>
              </w:rPr>
            </w:pPr>
            <w:r>
              <w:rPr>
                <w:rFonts w:ascii="Arial" w:cs="Arial" w:eastAsia="Arial" w:hAnsi="Arial"/>
                <w:sz w:val="18"/>
                <w:szCs w:val="18"/>
                <w:color w:val="auto"/>
              </w:rPr>
              <w:t>as</w:t>
            </w:r>
          </w:p>
        </w:tc>
        <w:tc>
          <w:tcPr>
            <w:tcW w:w="740" w:type="dxa"/>
            <w:vAlign w:val="bottom"/>
          </w:tcPr>
          <w:p>
            <w:pPr>
              <w:ind w:left="200"/>
              <w:spacing w:after="0"/>
              <w:rPr>
                <w:sz w:val="20"/>
                <w:szCs w:val="20"/>
                <w:color w:val="auto"/>
              </w:rPr>
            </w:pPr>
            <w:r>
              <w:rPr>
                <w:rFonts w:ascii="Arial" w:cs="Arial" w:eastAsia="Arial" w:hAnsi="Arial"/>
                <w:sz w:val="18"/>
                <w:szCs w:val="18"/>
                <w:color w:val="auto"/>
              </w:rPr>
              <w:t>of</w:t>
            </w:r>
          </w:p>
        </w:tc>
        <w:tc>
          <w:tcPr>
            <w:tcW w:w="760" w:type="dxa"/>
            <w:vAlign w:val="bottom"/>
          </w:tcPr>
          <w:p>
            <w:pPr>
              <w:spacing w:after="0"/>
              <w:rPr>
                <w:sz w:val="20"/>
                <w:szCs w:val="20"/>
                <w:color w:val="auto"/>
              </w:rPr>
            </w:pPr>
            <w:r>
              <w:rPr>
                <w:rFonts w:ascii="Arial" w:cs="Arial" w:eastAsia="Arial" w:hAnsi="Arial"/>
                <w:sz w:val="18"/>
                <w:szCs w:val="18"/>
                <w:color w:val="auto"/>
              </w:rPr>
              <w:t>January</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660" w:type="dxa"/>
            <w:vAlign w:val="bottom"/>
          </w:tcPr>
          <w:p>
            <w:pPr>
              <w:ind w:left="180"/>
              <w:spacing w:after="0"/>
              <w:rPr>
                <w:sz w:val="20"/>
                <w:szCs w:val="20"/>
                <w:color w:val="auto"/>
              </w:rPr>
            </w:pPr>
            <w:r>
              <w:rPr>
                <w:rFonts w:ascii="Arial" w:cs="Arial" w:eastAsia="Arial" w:hAnsi="Arial"/>
                <w:sz w:val="18"/>
                <w:szCs w:val="18"/>
                <w:color w:val="auto"/>
              </w:rPr>
              <w:t>The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unaudited</w:t>
            </w:r>
          </w:p>
        </w:tc>
        <w:tc>
          <w:tcPr>
            <w:tcW w:w="920" w:type="dxa"/>
            <w:vAlign w:val="bottom"/>
          </w:tcPr>
          <w:p>
            <w:pPr>
              <w:jc w:val="right"/>
              <w:ind w:right="217"/>
              <w:spacing w:after="0"/>
              <w:rPr>
                <w:sz w:val="20"/>
                <w:szCs w:val="20"/>
                <w:color w:val="auto"/>
              </w:rPr>
            </w:pPr>
            <w:r>
              <w:rPr>
                <w:rFonts w:ascii="Arial" w:cs="Arial" w:eastAsia="Arial" w:hAnsi="Arial"/>
                <w:sz w:val="18"/>
                <w:szCs w:val="18"/>
                <w:color w:val="auto"/>
              </w:rPr>
              <w:t>pro</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forma</w:t>
            </w: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financial</w:t>
            </w:r>
          </w:p>
        </w:tc>
        <w:tc>
          <w:tcPr>
            <w:tcW w:w="160" w:type="dxa"/>
            <w:vAlign w:val="bottom"/>
          </w:tcPr>
          <w:p>
            <w:pPr>
              <w:spacing w:after="0"/>
              <w:rPr>
                <w:sz w:val="20"/>
                <w:szCs w:val="20"/>
                <w:color w:val="auto"/>
              </w:rPr>
            </w:pPr>
          </w:p>
        </w:tc>
        <w:tc>
          <w:tcPr>
            <w:tcW w:w="1300" w:type="dxa"/>
            <w:vAlign w:val="bottom"/>
          </w:tcPr>
          <w:p>
            <w:pPr>
              <w:jc w:val="right"/>
              <w:ind w:right="296"/>
              <w:spacing w:after="0"/>
              <w:rPr>
                <w:sz w:val="20"/>
                <w:szCs w:val="20"/>
                <w:color w:val="auto"/>
              </w:rPr>
            </w:pPr>
            <w:r>
              <w:rPr>
                <w:rFonts w:ascii="Arial" w:cs="Arial" w:eastAsia="Arial" w:hAnsi="Arial"/>
                <w:sz w:val="18"/>
                <w:szCs w:val="18"/>
                <w:color w:val="auto"/>
              </w:rPr>
              <w:t>information</w:t>
            </w:r>
          </w:p>
        </w:tc>
        <w:tc>
          <w:tcPr>
            <w:tcW w:w="380" w:type="dxa"/>
            <w:vAlign w:val="bottom"/>
            <w:gridSpan w:val="3"/>
          </w:tcPr>
          <w:p>
            <w:pPr>
              <w:jc w:val="right"/>
              <w:ind w:right="260"/>
              <w:spacing w:after="0"/>
              <w:rPr>
                <w:sz w:val="20"/>
                <w:szCs w:val="20"/>
                <w:color w:val="auto"/>
              </w:rPr>
            </w:pPr>
            <w:r>
              <w:rPr>
                <w:rFonts w:ascii="Arial" w:cs="Arial" w:eastAsia="Arial" w:hAnsi="Arial"/>
                <w:sz w:val="18"/>
                <w:szCs w:val="18"/>
                <w:color w:val="auto"/>
                <w:w w:val="76"/>
              </w:rPr>
              <w:t>is</w:t>
            </w:r>
          </w:p>
        </w:tc>
        <w:tc>
          <w:tcPr>
            <w:tcW w:w="340" w:type="dxa"/>
            <w:vAlign w:val="bottom"/>
          </w:tcPr>
          <w:p>
            <w:pPr>
              <w:ind w:left="140"/>
              <w:spacing w:after="0"/>
              <w:rPr>
                <w:sz w:val="20"/>
                <w:szCs w:val="20"/>
                <w:color w:val="auto"/>
              </w:rPr>
            </w:pPr>
            <w:r>
              <w:rPr>
                <w:rFonts w:ascii="Arial" w:cs="Arial" w:eastAsia="Arial" w:hAnsi="Arial"/>
                <w:sz w:val="18"/>
                <w:szCs w:val="18"/>
                <w:color w:val="auto"/>
                <w:w w:val="94"/>
              </w:rPr>
              <w:t>as</w:t>
            </w:r>
          </w:p>
        </w:tc>
        <w:tc>
          <w:tcPr>
            <w:tcW w:w="940" w:type="dxa"/>
            <w:vAlign w:val="bottom"/>
          </w:tcPr>
          <w:p>
            <w:pPr>
              <w:jc w:val="right"/>
              <w:spacing w:after="0"/>
              <w:rPr>
                <w:sz w:val="20"/>
                <w:szCs w:val="20"/>
                <w:color w:val="auto"/>
              </w:rPr>
            </w:pPr>
            <w:r>
              <w:rPr>
                <w:rFonts w:ascii="Arial" w:cs="Arial" w:eastAsia="Arial" w:hAnsi="Arial"/>
                <w:sz w:val="18"/>
                <w:szCs w:val="18"/>
                <w:color w:val="auto"/>
              </w:rPr>
              <w:t>follows:</w:t>
            </w:r>
          </w:p>
        </w:tc>
      </w:tr>
      <w:tr>
        <w:trPr>
          <w:trHeight w:val="195"/>
        </w:trPr>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960" w:type="dxa"/>
            <w:vAlign w:val="bottom"/>
            <w:gridSpan w:val="6"/>
          </w:tcPr>
          <w:p>
            <w:pPr>
              <w:jc w:val="right"/>
              <w:ind w:right="63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1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(unaudited)</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55"/>
              <w:spacing w:after="0"/>
              <w:rPr>
                <w:sz w:val="20"/>
                <w:szCs w:val="20"/>
                <w:color w:val="auto"/>
              </w:rPr>
            </w:pPr>
            <w:r>
              <w:rPr>
                <w:rFonts w:ascii="Arial" w:cs="Arial" w:eastAsia="Arial" w:hAnsi="Arial"/>
                <w:sz w:val="18"/>
                <w:szCs w:val="18"/>
                <w:color w:val="auto"/>
              </w:rPr>
              <w:t>(unaudited)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(unaudited)</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55"/>
              <w:spacing w:after="0"/>
              <w:rPr>
                <w:sz w:val="20"/>
                <w:szCs w:val="20"/>
                <w:color w:val="auto"/>
              </w:rPr>
            </w:pPr>
            <w:r>
              <w:rPr>
                <w:rFonts w:ascii="Arial" w:cs="Arial" w:eastAsia="Arial" w:hAnsi="Arial"/>
                <w:sz w:val="18"/>
                <w:szCs w:val="18"/>
                <w:color w:val="auto"/>
                <w:w w:val="92"/>
              </w:rPr>
              <w:t>(unaudited)</w:t>
            </w:r>
          </w:p>
        </w:tc>
      </w:tr>
      <w:tr>
        <w:trPr>
          <w:trHeight w:val="230"/>
        </w:trPr>
        <w:tc>
          <w:tcPr>
            <w:tcW w:w="1840" w:type="dxa"/>
            <w:vAlign w:val="bottom"/>
            <w:gridSpan w:val="3"/>
          </w:tcPr>
          <w:p>
            <w:pPr>
              <w:ind w:left="20"/>
              <w:spacing w:after="0"/>
              <w:rPr>
                <w:sz w:val="20"/>
                <w:szCs w:val="20"/>
                <w:color w:val="auto"/>
              </w:rPr>
            </w:pPr>
            <w:r>
              <w:rPr>
                <w:rFonts w:ascii="Arial" w:cs="Arial" w:eastAsia="Arial" w:hAnsi="Arial"/>
                <w:sz w:val="18"/>
                <w:szCs w:val="18"/>
                <w:color w:val="auto"/>
                <w:w w:val="88"/>
              </w:rPr>
              <w:t>Pro Forma total revenues</w:t>
            </w: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1,193,975</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982,266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2,425,361</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1,969,013</w:t>
            </w:r>
          </w:p>
        </w:tc>
      </w:tr>
      <w:tr>
        <w:trPr>
          <w:trHeight w:val="230"/>
        </w:trPr>
        <w:tc>
          <w:tcPr>
            <w:tcW w:w="260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w w:val="99"/>
              </w:rPr>
              <w:t>Pro Forma net earnings (loss)</w:t>
            </w:r>
            <w:r>
              <w:rPr>
                <w:rFonts w:ascii="Arial" w:cs="Arial" w:eastAsia="Arial" w:hAnsi="Arial"/>
                <w:sz w:val="23"/>
                <w:szCs w:val="23"/>
                <w:color w:val="auto"/>
                <w:w w:val="99"/>
                <w:vertAlign w:val="superscript"/>
              </w:rPr>
              <w:t>(1)</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bl>
    <w:p>
      <w:pPr>
        <w:spacing w:after="0" w:line="5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3"/>
          <w:szCs w:val="13"/>
          <w:color w:val="auto"/>
        </w:rPr>
        <w:t>Total pro forma adjustments to net earnings represented an increase of $4.1 million for the three months ended June 30, 2021, a decrease of $106.2 million for the six months ended June 30, 2021, and decreases of $71.7 million and $177.9 million for the three and six months ended June 30, 2020, respectively. Pro forma adjustments to net loss in 2020 include retro-active impacts related to purchase price allocation adjustments recorded, subsequent to the date of acquisition, within the measurement period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amounts of revenue and earnings of Acima Holdings included in our Condensed Consolidated Statements of Operations from the acquisition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960" w:type="dxa"/>
            <w:vAlign w:val="bottom"/>
          </w:tcPr>
          <w:p>
            <w:pPr>
              <w:jc w:val="right"/>
              <w:ind w:right="457"/>
              <w:spacing w:after="0"/>
              <w:rPr>
                <w:sz w:val="20"/>
                <w:szCs w:val="20"/>
                <w:color w:val="auto"/>
              </w:rPr>
            </w:pPr>
            <w:r>
              <w:rPr>
                <w:rFonts w:ascii="Arial" w:cs="Arial" w:eastAsia="Arial" w:hAnsi="Arial"/>
                <w:sz w:val="14"/>
                <w:szCs w:val="14"/>
                <w:b w:val="1"/>
                <w:bCs w:val="1"/>
                <w:color w:val="auto"/>
              </w:rPr>
              <w:t>February 17, 2021 -</w:t>
            </w:r>
          </w:p>
        </w:tc>
        <w:tc>
          <w:tcPr>
            <w:tcW w:w="0" w:type="dxa"/>
            <w:vAlign w:val="bottom"/>
          </w:tcPr>
          <w:p>
            <w:pPr>
              <w:spacing w:after="0"/>
              <w:rPr>
                <w:sz w:val="1"/>
                <w:szCs w:val="1"/>
                <w:color w:val="auto"/>
              </w:rPr>
            </w:pPr>
          </w:p>
        </w:tc>
      </w:tr>
      <w:tr>
        <w:trPr>
          <w:trHeight w:val="188"/>
        </w:trPr>
        <w:tc>
          <w:tcPr>
            <w:tcW w:w="89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24"/>
        </w:trPr>
        <w:tc>
          <w:tcPr>
            <w:tcW w:w="8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29"/>
        </w:trPr>
        <w:tc>
          <w:tcPr>
            <w:tcW w:w="89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615,646</w:t>
            </w:r>
          </w:p>
        </w:tc>
        <w:tc>
          <w:tcPr>
            <w:tcW w:w="0" w:type="dxa"/>
            <w:vAlign w:val="bottom"/>
          </w:tcPr>
          <w:p>
            <w:pPr>
              <w:spacing w:after="0"/>
              <w:rPr>
                <w:sz w:val="1"/>
                <w:szCs w:val="1"/>
                <w:color w:val="auto"/>
              </w:rPr>
            </w:pPr>
          </w:p>
        </w:tc>
      </w:tr>
      <w:tr>
        <w:trPr>
          <w:trHeight w:val="230"/>
        </w:trPr>
        <w:tc>
          <w:tcPr>
            <w:tcW w:w="8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earnings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68,986</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Net earnings for the period includes amortization of intangible assets acquired upon closing of the Acima Holdings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our revenue for the periods ended June 30, 2022 and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Three Months Ended June 30, 2022</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Rent-A-Center</w:t>
            </w:r>
          </w:p>
        </w:tc>
        <w:tc>
          <w:tcPr>
            <w:tcW w:w="280" w:type="dxa"/>
            <w:vAlign w:val="bottom"/>
          </w:tcPr>
          <w:p>
            <w:pPr>
              <w:spacing w:after="0"/>
              <w:rPr>
                <w:sz w:val="21"/>
                <w:szCs w:val="2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Acima</w:t>
            </w:r>
            <w:r>
              <w:rPr>
                <w:rFonts w:ascii="Arial" w:cs="Arial" w:eastAsia="Arial" w:hAnsi="Arial"/>
                <w:sz w:val="18"/>
                <w:szCs w:val="18"/>
                <w:b w:val="1"/>
                <w:bCs w:val="1"/>
                <w:color w:val="auto"/>
                <w:vertAlign w:val="superscript"/>
              </w:rPr>
              <w:t>(1)</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1"/>
                <w:szCs w:val="2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436,371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405,184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15,743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857,298</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160,769</w:t>
            </w: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18,548</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530,170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1,037,683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26,505</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490,185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530,170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3"/>
          <w:szCs w:val="13"/>
          <w:color w:val="auto"/>
          <w:vertAlign w:val="superscript"/>
        </w:rPr>
      </w:pPr>
      <w:r>
        <w:rPr>
          <w:rFonts w:ascii="Arial" w:cs="Arial" w:eastAsia="Arial" w:hAnsi="Arial"/>
          <w:sz w:val="10"/>
          <w:szCs w:val="10"/>
          <w:color w:val="auto"/>
        </w:rPr>
        <w:t>Represents revenues for our Acima segment, as defined in Note 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2"/>
              </w:rPr>
              <w:t>Six Months Ended June 30, 2022</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Rent-A-Center</w:t>
            </w:r>
          </w:p>
        </w:tc>
        <w:tc>
          <w:tcPr>
            <w:tcW w:w="260" w:type="dxa"/>
            <w:vAlign w:val="bottom"/>
          </w:tcPr>
          <w:p>
            <w:pPr>
              <w:spacing w:after="0"/>
              <w:rPr>
                <w:sz w:val="21"/>
                <w:szCs w:val="21"/>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Acima</w:t>
            </w:r>
            <w:r>
              <w:rPr>
                <w:rFonts w:ascii="Arial" w:cs="Arial" w:eastAsia="Arial" w:hAnsi="Arial"/>
                <w:sz w:val="9"/>
                <w:szCs w:val="9"/>
                <w:b w:val="1"/>
                <w:bCs w:val="1"/>
                <w:color w:val="auto"/>
              </w:rPr>
              <w:t>(1)</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80" w:type="dxa"/>
            <w:vAlign w:val="bottom"/>
          </w:tcPr>
          <w:p>
            <w:pPr>
              <w:spacing w:after="0"/>
              <w:rPr>
                <w:sz w:val="21"/>
                <w:szCs w:val="2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879,066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830,655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30,624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1,740,345</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393,649</w:t>
            </w: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35,637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1,008,690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1,129,546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2,171,989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45,026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1,008,690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1,129,546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32,413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2,230,976</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Represents revenues for our Acima segment, as defined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Three Months Ended June 30, 2021</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Rent-A-Center</w:t>
            </w:r>
          </w:p>
        </w:tc>
        <w:tc>
          <w:tcPr>
            <w:tcW w:w="280" w:type="dxa"/>
            <w:vAlign w:val="bottom"/>
          </w:tcPr>
          <w:p>
            <w:pPr>
              <w:spacing w:after="0"/>
              <w:rPr>
                <w:sz w:val="21"/>
                <w:szCs w:val="2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Acima</w:t>
            </w:r>
            <w:r>
              <w:rPr>
                <w:rFonts w:ascii="Arial" w:cs="Arial" w:eastAsia="Arial" w:hAnsi="Arial"/>
                <w:sz w:val="18"/>
                <w:szCs w:val="18"/>
                <w:b w:val="1"/>
                <w:bCs w:val="1"/>
                <w:color w:val="auto"/>
                <w:vertAlign w:val="superscript"/>
              </w:rPr>
              <w:t>(1)</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1"/>
                <w:szCs w:val="2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438,162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463,841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14,402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916,405</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221,229</w:t>
            </w:r>
          </w:p>
        </w:tc>
        <w:tc>
          <w:tcPr>
            <w:tcW w:w="0" w:type="dxa"/>
            <w:vAlign w:val="bottom"/>
          </w:tcPr>
          <w:p>
            <w:pPr>
              <w:spacing w:after="0"/>
              <w:rPr>
                <w:sz w:val="1"/>
                <w:szCs w:val="1"/>
                <w:color w:val="auto"/>
              </w:rPr>
            </w:pP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18,191</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505,834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1,156,860</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29,616</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505,834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635,280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37,606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1,193,975</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20" w:hanging="112"/>
        <w:spacing w:after="0"/>
        <w:tabs>
          <w:tab w:leader="none" w:pos="12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Represents revenues for our Acima segment, as defined in Note 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2"/>
              </w:rPr>
              <w:t>Six Months Ended June 30, 2021</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Rent-A-Center</w:t>
            </w:r>
          </w:p>
        </w:tc>
        <w:tc>
          <w:tcPr>
            <w:tcW w:w="260" w:type="dxa"/>
            <w:vAlign w:val="bottom"/>
          </w:tcPr>
          <w:p>
            <w:pPr>
              <w:spacing w:after="0"/>
              <w:rPr>
                <w:sz w:val="21"/>
                <w:szCs w:val="21"/>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Acima</w:t>
            </w:r>
            <w:r>
              <w:rPr>
                <w:rFonts w:ascii="Arial" w:cs="Arial" w:eastAsia="Arial" w:hAnsi="Arial"/>
                <w:sz w:val="18"/>
                <w:szCs w:val="18"/>
                <w:b w:val="1"/>
                <w:bCs w:val="1"/>
                <w:color w:val="auto"/>
                <w:vertAlign w:val="superscript"/>
              </w:rPr>
              <w:t>(1)</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80" w:type="dxa"/>
            <w:vAlign w:val="bottom"/>
          </w:tcPr>
          <w:p>
            <w:pPr>
              <w:spacing w:after="0"/>
              <w:rPr>
                <w:sz w:val="21"/>
                <w:szCs w:val="2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867,463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766,367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28,109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1,661,939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454,022</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35,964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1,030,700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1,092,729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2,153,878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62,671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62,671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1,030,700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1,092,729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77,575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2,230,757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20" w:hanging="112"/>
        <w:spacing w:after="0"/>
        <w:tabs>
          <w:tab w:leader="none" w:pos="120" w:val="left"/>
        </w:tabs>
        <w:numPr>
          <w:ilvl w:val="0"/>
          <w:numId w:val="7"/>
        </w:numPr>
        <w:rPr>
          <w:rFonts w:ascii="Arial" w:cs="Arial" w:eastAsia="Arial" w:hAnsi="Arial"/>
          <w:sz w:val="13"/>
          <w:szCs w:val="13"/>
          <w:color w:val="auto"/>
          <w:vertAlign w:val="superscript"/>
        </w:rPr>
      </w:pPr>
      <w:r>
        <w:rPr>
          <w:rFonts w:ascii="Arial" w:cs="Arial" w:eastAsia="Arial" w:hAnsi="Arial"/>
          <w:sz w:val="10"/>
          <w:szCs w:val="10"/>
          <w:color w:val="auto"/>
        </w:rPr>
        <w:t>Represents revenues for our Acima segment, as defined in Note 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Purchase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Acima, and Mexico</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Rentals and Fees. </w:t>
      </w:r>
      <w:r>
        <w:rPr>
          <w:rFonts w:ascii="Arial" w:cs="Arial" w:eastAsia="Arial" w:hAnsi="Arial"/>
          <w:sz w:val="18"/>
          <w:szCs w:val="18"/>
          <w:color w:val="auto"/>
        </w:rPr>
        <w:t>Rental merchandise is leased to customers pursuant to rental purchase agreements, which provide for weekly, semi-monthly or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rental terms with non-refundable rental payments. At the expiration of each rental term, customers may renew the rental agreement for the next rental term. Generally, the customer has the right to acquire title of the merchandise either through a purchase option or through payment of all required rental terms. Customers can terminate the rental agreement at the end of any rental term without penalty. Therefore, rental transactions are accounted for as operating leases.</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Rental payments received at our Rent-A-Center Business lease-to-own stores, certain Acima staffed locations formerly operating under the Preferred Lease brand, and Mexico stores must be prepaid in advance of the next rental term. Under the Acima Holdings business model, revenues may be earned prior to the rental payment due date, in which case revenue is accrued prior to receipt of the rental payment, net of estimated returns and uncollectible renewal payments. Under both models, rental revenue is recognized over the rental term. See Note 4 for additional information regarding accrued rental revenue.</w:t>
      </w:r>
    </w:p>
    <w:p>
      <w:pPr>
        <w:spacing w:after="0" w:line="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received for rental payments, including fees, prior to the period in which it should be recognized, is deferred and recognized according to the rental term. At June 30, 2022 and December 31, 2021, we had $32.5 million and $51.7 million, respectively, in deferred revenue included in accrued liabilities related to our rental purchase agreements. Revenue related to various payment, reinstatement or late fees is recognized when paid by the customer at the point service is provided. Rental merchandise in our Rent-A-Center Business, former Preferred Lease locations, and Mexico stores is depreciated using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forecasting method and recognized in cost of sales over the rental term. Rental merchandise in Acima Holdings is depreciated over the rental term using a straight-line depreciation method.</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offer additional product plans along with our rental agreements which provide customers with liability protection against significant damage or loss of a product, and club membership benefits, including various discount programs and product service and replacement benefits in the event merchandise is damaged or lost, and payment insurance in the event eligible customers become unemployed. Customers renew product plans in conjunction with their rental term renewals, and can cancel the plans at any time. Revenue for product plans is recognized over the term of the plan. Costs incurred related to product plans are primarily recognized in cost of sales.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Acima, and Mexico</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Merchandise Sales. </w:t>
      </w:r>
      <w:r>
        <w:rPr>
          <w:rFonts w:ascii="Arial" w:cs="Arial" w:eastAsia="Arial" w:hAnsi="Arial"/>
          <w:sz w:val="16"/>
          <w:szCs w:val="16"/>
          <w:color w:val="auto"/>
        </w:rPr>
        <w:t>Merchandise sales include payments received for the exercise of the early purchase option offered through our rental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merchandise sold through point of sale transactions. Revenue for merchandise sales is recognized when payment is received and ownership of the merchandise passes to the customer. The remaining net value of merchandise sold is recorded to cost of sales at the time of the transaction.</w:t>
      </w:r>
    </w:p>
    <w:p>
      <w:pPr>
        <w:spacing w:after="0" w:line="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Installment Sales. </w:t>
      </w:r>
      <w:r>
        <w:rPr>
          <w:rFonts w:ascii="Arial" w:cs="Arial" w:eastAsia="Arial" w:hAnsi="Arial"/>
          <w:sz w:val="16"/>
          <w:szCs w:val="16"/>
          <w:color w:val="auto"/>
        </w:rPr>
        <w:t>Revenue from the sale of merchandise in our retail installment stores is recognized when the installment note is signed and control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has passed to the customer. The cost of merchandise sold through installment agreements is recognized in cost of sales at the time of the transaction. We offer extended service plans with our installment 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June 30, 2022 and December 31, 2021, we had $2.3 million and $2.6 million in deferred revenue included in accrued liabilities related to extended service plans.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consists of revenue generated by other miscellaneous product plans offered to our rental and installment customers. Revenue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plans is recognized in accordance with the terms of the applicable plan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Merchandise Sales. </w:t>
      </w:r>
      <w:r>
        <w:rPr>
          <w:rFonts w:ascii="Arial" w:cs="Arial" w:eastAsia="Arial" w:hAnsi="Arial"/>
          <w:sz w:val="18"/>
          <w:szCs w:val="18"/>
          <w:color w:val="auto"/>
        </w:rPr>
        <w:t>Revenue from the sale of rental merchandise is recognized upon shipment of the merchandise to the franchisee.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Royalty Income and Fees. </w:t>
      </w:r>
      <w:r>
        <w:rPr>
          <w:rFonts w:ascii="Arial" w:cs="Arial" w:eastAsia="Arial" w:hAnsi="Arial"/>
          <w:sz w:val="18"/>
          <w:szCs w:val="18"/>
          <w:color w:val="auto"/>
        </w:rPr>
        <w:t>Franchise royalties, including franchisee contributions to corporate advertising funds, represent sales-based royalties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June 30, 2022 and December 31, 2021, we had $3.8 million and $4.1 million, respectively, in deferred revenue included in accrued liabilities related to franchise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and Allowance for Doubtful Accounts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Installment sales receivables consist primarily of receivables due from customers for the sale of merchandise in our retail installment stores. Installment sales receivable associated with the sale of merchandise at our Get It Now and Home Choice stores generally consist of the sales price of the merchandise purchased and any additional fees for services the customer has chosen, less the customer’s down payment. No interest is accrued and interest income is recognized each time a customer makes a payment, generally on a monthly basis. Interest paid on installment agreements for the six months ended June 30, 2022 and 2021 was $6.1 million, respectively.</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Trade and notes receivables consist of amounts due from our rental customers for renewal and uncollected rental payments; amounts owed from our franchisees for inventory purchases, earned royalties and other obligations; and other corporate related receivables. Credit is extended to franchisees based on an evaluation of each franchisee’s financial condition and collateral is generally not required. Trade receivables are generally due within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500" w:type="dxa"/>
            <w:vAlign w:val="bottom"/>
          </w:tcPr>
          <w:p>
            <w:pPr>
              <w:jc w:val="right"/>
              <w:ind w:right="181"/>
              <w:spacing w:after="0"/>
              <w:rPr>
                <w:sz w:val="20"/>
                <w:szCs w:val="20"/>
                <w:color w:val="auto"/>
              </w:rPr>
            </w:pPr>
            <w:r>
              <w:rPr>
                <w:rFonts w:ascii="Arial" w:cs="Arial" w:eastAsia="Arial" w:hAnsi="Arial"/>
                <w:sz w:val="14"/>
                <w:szCs w:val="14"/>
                <w:b w:val="1"/>
                <w:bCs w:val="1"/>
                <w:color w:val="auto"/>
                <w:w w:val="96"/>
              </w:rPr>
              <w:t>December 31, 2021</w:t>
            </w:r>
          </w:p>
        </w:tc>
      </w:tr>
      <w:tr>
        <w:trPr>
          <w:trHeight w:val="216"/>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Installment sales receivables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66,276</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Trade and notes receivables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68,581</w:t>
            </w:r>
          </w:p>
        </w:tc>
      </w:tr>
      <w:tr>
        <w:trPr>
          <w:trHeight w:val="212"/>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receivables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134,857</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allowance for doubtful accounts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(8,479)</w:t>
            </w:r>
          </w:p>
        </w:tc>
      </w:tr>
      <w:tr>
        <w:trPr>
          <w:trHeight w:val="238"/>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receivables, net of allowance for doubtful accounts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126,378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credited to the allowance for doubtful accounts.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doubtful accounts related to trade and notes receivable was $1.1 million and $0.9 million, and the allowance for doubtful accounts related to installment sales receivable was $8.1 million and $7.6 million at June 30, 2022 and December 31, 2021,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allowance for doubtful accounts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June 30, 2022</w:t>
            </w: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allowance for doubtful accounts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center"/>
              <w:ind w:left="821"/>
              <w:spacing w:after="0"/>
              <w:rPr>
                <w:sz w:val="20"/>
                <w:szCs w:val="20"/>
                <w:color w:val="auto"/>
              </w:rPr>
            </w:pPr>
            <w:r>
              <w:rPr>
                <w:rFonts w:ascii="Arial" w:cs="Arial" w:eastAsia="Arial" w:hAnsi="Arial"/>
                <w:sz w:val="16"/>
                <w:szCs w:val="16"/>
                <w:color w:val="auto"/>
                <w:w w:val="94"/>
              </w:rPr>
              <w:t>8,479</w:t>
            </w:r>
          </w:p>
        </w:tc>
      </w:tr>
      <w:tr>
        <w:trPr>
          <w:trHeight w:val="216"/>
        </w:trPr>
        <w:tc>
          <w:tcPr>
            <w:tcW w:w="9580" w:type="dxa"/>
            <w:vAlign w:val="bottom"/>
          </w:tcPr>
          <w:p>
            <w:pPr>
              <w:ind w:left="140"/>
              <w:spacing w:after="0" w:line="216" w:lineRule="exact"/>
              <w:rPr>
                <w:sz w:val="20"/>
                <w:szCs w:val="20"/>
                <w:color w:val="auto"/>
              </w:rPr>
            </w:pPr>
            <w:r>
              <w:rPr>
                <w:rFonts w:ascii="Arial" w:cs="Arial" w:eastAsia="Arial" w:hAnsi="Arial"/>
                <w:sz w:val="16"/>
                <w:szCs w:val="16"/>
                <w:color w:val="auto"/>
              </w:rPr>
              <w:t>Bad debt expense</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1400" w:type="dxa"/>
            <w:vAlign w:val="bottom"/>
          </w:tcPr>
          <w:p>
            <w:pPr>
              <w:jc w:val="center"/>
              <w:ind w:left="821"/>
              <w:spacing w:after="0"/>
              <w:rPr>
                <w:sz w:val="20"/>
                <w:szCs w:val="20"/>
                <w:color w:val="auto"/>
              </w:rPr>
            </w:pPr>
            <w:r>
              <w:rPr>
                <w:rFonts w:ascii="Arial" w:cs="Arial" w:eastAsia="Arial" w:hAnsi="Arial"/>
                <w:sz w:val="16"/>
                <w:szCs w:val="16"/>
                <w:color w:val="auto"/>
                <w:w w:val="94"/>
              </w:rPr>
              <w:t>9,495</w:t>
            </w:r>
          </w:p>
        </w:tc>
      </w:tr>
      <w:tr>
        <w:trPr>
          <w:trHeight w:val="213"/>
        </w:trPr>
        <w:tc>
          <w:tcPr>
            <w:tcW w:w="9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written off, net of recoveries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ind w:left="801"/>
              <w:spacing w:after="0"/>
              <w:rPr>
                <w:sz w:val="20"/>
                <w:szCs w:val="20"/>
                <w:color w:val="auto"/>
              </w:rPr>
            </w:pPr>
            <w:r>
              <w:rPr>
                <w:rFonts w:ascii="Arial" w:cs="Arial" w:eastAsia="Arial" w:hAnsi="Arial"/>
                <w:sz w:val="16"/>
                <w:szCs w:val="16"/>
                <w:color w:val="auto"/>
                <w:w w:val="94"/>
              </w:rPr>
              <w:t>(8,748)</w:t>
            </w:r>
          </w:p>
        </w:tc>
      </w:tr>
      <w:tr>
        <w:trPr>
          <w:trHeight w:val="213"/>
        </w:trPr>
        <w:tc>
          <w:tcPr>
            <w:tcW w:w="9580" w:type="dxa"/>
            <w:vAlign w:val="bottom"/>
          </w:tcPr>
          <w:p>
            <w:pPr>
              <w:ind w:left="60"/>
              <w:spacing w:after="0"/>
              <w:rPr>
                <w:sz w:val="20"/>
                <w:szCs w:val="20"/>
                <w:color w:val="auto"/>
              </w:rPr>
            </w:pPr>
            <w:r>
              <w:rPr>
                <w:rFonts w:ascii="Arial" w:cs="Arial" w:eastAsia="Arial" w:hAnsi="Arial"/>
                <w:sz w:val="16"/>
                <w:szCs w:val="16"/>
                <w:color w:val="auto"/>
              </w:rPr>
              <w:t>Ending allowance for doubtful accounts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center"/>
              <w:ind w:left="821"/>
              <w:spacing w:after="0"/>
              <w:rPr>
                <w:sz w:val="20"/>
                <w:szCs w:val="20"/>
                <w:color w:val="auto"/>
              </w:rPr>
            </w:pPr>
            <w:r>
              <w:rPr>
                <w:rFonts w:ascii="Arial" w:cs="Arial" w:eastAsia="Arial" w:hAnsi="Arial"/>
                <w:sz w:val="16"/>
                <w:szCs w:val="16"/>
                <w:color w:val="auto"/>
                <w:w w:val="94"/>
              </w:rPr>
              <w:t>9,226</w:t>
            </w:r>
          </w:p>
        </w:tc>
      </w:tr>
      <w:tr>
        <w:trPr>
          <w:trHeight w:val="20"/>
        </w:trPr>
        <w:tc>
          <w:tcPr>
            <w:tcW w:w="9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5"/>
          <w:szCs w:val="15"/>
          <w:color w:val="auto"/>
          <w:vertAlign w:val="superscript"/>
        </w:rPr>
      </w:pPr>
      <w:r>
        <w:rPr>
          <w:rFonts w:ascii="Arial" w:cs="Arial" w:eastAsia="Arial" w:hAnsi="Arial"/>
          <w:sz w:val="12"/>
          <w:szCs w:val="12"/>
          <w:color w:val="auto"/>
        </w:rPr>
        <w:t>Uncollectible installment payments, franchisee obligations, and other corporate receivables are recognized in other store operating expenses in our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lease space for all of our Rent-A-Center Business and Mexico stores under operating leases expiring at various times through 2030. 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 upon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certain situations involving the sale of a Rent-A-Center Business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Condensed Consolidated Balance Sheets.</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We also lease vehicles for all of our Mexico stores which have terms expiring at various times through 2026 with rental rates adjusted periodically for inflation. Finally, we have a minimal number of equipment leases, primarily related to temporary storage containers and certain back-office technology hardware assets.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calculation of operating lease right-of-use assets and operating lease liabilities we have elected not to separate the lease and non-lease components. Furthermore, operating lease right-of-use assets and operating lease liabilities are discounted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our incremental borrowing rate, since the implicit rate is not readily determinable. We do not currently have any financing leases.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costs are recorded on a straight-line basis within other store expenses in our Condensed Consolidated Statements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costs by expense type: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June 30, 2021</w:t>
            </w:r>
          </w:p>
        </w:tc>
      </w:tr>
      <w:tr>
        <w:trPr>
          <w:trHeight w:val="224"/>
        </w:trPr>
        <w:tc>
          <w:tcPr>
            <w:tcW w:w="52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Operating lease cost included in Other store expenses</w:t>
            </w:r>
            <w:r>
              <w:rPr>
                <w:rFonts w:ascii="Arial" w:cs="Arial" w:eastAsia="Arial" w:hAnsi="Arial"/>
                <w:sz w:val="23"/>
                <w:szCs w:val="23"/>
                <w:color w:val="auto"/>
                <w:vertAlign w:val="superscript"/>
              </w:rPr>
              <w:t>(1)(2)</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68,826</w:t>
            </w: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Operating lease cost included in Other charges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receipts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operating lease charges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58,242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62,587</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120" w:hanging="112"/>
        <w:spacing w:after="0"/>
        <w:tabs>
          <w:tab w:leader="none" w:pos="120" w:val="left"/>
        </w:tabs>
        <w:numPr>
          <w:ilvl w:val="0"/>
          <w:numId w:val="9"/>
        </w:numPr>
        <w:rPr>
          <w:rFonts w:ascii="Arial" w:cs="Arial" w:eastAsia="Arial" w:hAnsi="Arial"/>
          <w:sz w:val="13"/>
          <w:szCs w:val="13"/>
          <w:color w:val="auto"/>
          <w:vertAlign w:val="superscript"/>
        </w:rPr>
      </w:pPr>
      <w:r>
        <w:rPr>
          <w:rFonts w:ascii="Arial" w:cs="Arial" w:eastAsia="Arial" w:hAnsi="Arial"/>
          <w:sz w:val="10"/>
          <w:szCs w:val="10"/>
          <w:color w:val="auto"/>
        </w:rPr>
        <w:t>Includes short-term lease costs, which are not significant.</w:t>
      </w:r>
    </w:p>
    <w:p>
      <w:pPr>
        <w:spacing w:after="0" w:line="9" w:lineRule="exact"/>
        <w:rPr>
          <w:rFonts w:ascii="Arial" w:cs="Arial" w:eastAsia="Arial" w:hAnsi="Arial"/>
          <w:sz w:val="13"/>
          <w:szCs w:val="13"/>
          <w:color w:val="auto"/>
          <w:vertAlign w:val="superscript"/>
        </w:rPr>
      </w:pPr>
    </w:p>
    <w:p>
      <w:pPr>
        <w:ind w:left="140" w:hanging="132"/>
        <w:spacing w:after="0" w:line="209" w:lineRule="auto"/>
        <w:tabs>
          <w:tab w:leader="none" w:pos="140"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Excludes variable lease costs of $9.0 million and $17.8 million for the three and six months ended June 30, 2022 compared to $8.4 million and $16.9 million for the three and six months ended June 30, 2021.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3640" w:type="dxa"/>
            <w:vAlign w:val="bottom"/>
            <w:tcBorders>
              <w:bottom w:val="single" w:sz="8" w:color="auto"/>
            </w:tcBorders>
            <w:gridSpan w:val="2"/>
          </w:tcPr>
          <w:p>
            <w:pPr>
              <w:ind w:left="1260"/>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75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20" w:type="dxa"/>
            <w:vAlign w:val="bottom"/>
          </w:tcPr>
          <w:p>
            <w:pPr>
              <w:ind w:left="460"/>
              <w:spacing w:after="0"/>
              <w:rPr>
                <w:sz w:val="20"/>
                <w:szCs w:val="20"/>
                <w:color w:val="auto"/>
              </w:rPr>
            </w:pPr>
            <w:r>
              <w:rPr>
                <w:rFonts w:ascii="Arial" w:cs="Arial" w:eastAsia="Arial" w:hAnsi="Arial"/>
                <w:sz w:val="14"/>
                <w:szCs w:val="14"/>
                <w:b w:val="1"/>
                <w:bCs w:val="1"/>
                <w:color w:val="auto"/>
              </w:rPr>
              <w:t>June 30, 2022</w:t>
            </w:r>
          </w:p>
        </w:tc>
        <w:tc>
          <w:tcPr>
            <w:tcW w:w="1820" w:type="dxa"/>
            <w:vAlign w:val="bottom"/>
          </w:tcPr>
          <w:p>
            <w:pPr>
              <w:ind w:left="520"/>
              <w:spacing w:after="0"/>
              <w:rPr>
                <w:sz w:val="20"/>
                <w:szCs w:val="20"/>
                <w:color w:val="auto"/>
              </w:rPr>
            </w:pPr>
            <w:r>
              <w:rPr>
                <w:rFonts w:ascii="Arial" w:cs="Arial" w:eastAsia="Arial" w:hAnsi="Arial"/>
                <w:sz w:val="14"/>
                <w:szCs w:val="14"/>
                <w:b w:val="1"/>
                <w:bCs w:val="1"/>
                <w:color w:val="auto"/>
              </w:rPr>
              <w:t>June 30, 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operating lease liabilities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51,847</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53,758</w:t>
            </w:r>
          </w:p>
        </w:tc>
      </w:tr>
      <w:tr>
        <w:trPr>
          <w:trHeight w:val="229"/>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Cash paid for short-term operating leases not included in operating lease liabilities</w:t>
            </w:r>
          </w:p>
        </w:tc>
        <w:tc>
          <w:tcPr>
            <w:tcW w:w="2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9,179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9,373</w:t>
            </w:r>
          </w:p>
        </w:tc>
      </w:tr>
      <w:tr>
        <w:trPr>
          <w:trHeight w:val="23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57,229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61,824</w:t>
            </w:r>
          </w:p>
        </w:tc>
      </w:tr>
      <w:tr>
        <w:trPr>
          <w:trHeight w:val="405"/>
        </w:trPr>
        <w:tc>
          <w:tcPr>
            <w:tcW w:w="7600" w:type="dxa"/>
            <w:vAlign w:val="bottom"/>
            <w:gridSpan w:val="2"/>
          </w:tcPr>
          <w:p>
            <w:pPr>
              <w:spacing w:after="0"/>
              <w:rPr>
                <w:sz w:val="20"/>
                <w:szCs w:val="20"/>
                <w:color w:val="auto"/>
              </w:rPr>
            </w:pPr>
            <w:r>
              <w:rPr>
                <w:rFonts w:ascii="Arial" w:cs="Arial" w:eastAsia="Arial" w:hAnsi="Arial"/>
                <w:sz w:val="18"/>
                <w:szCs w:val="18"/>
                <w:color w:val="auto"/>
              </w:rPr>
              <w:t>Weighted-average discount rate and weighted-average remaining lease term:</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0"/>
        </w:trPr>
        <w:tc>
          <w:tcPr>
            <w:tcW w:w="76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8"/>
                <w:szCs w:val="18"/>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8"/>
                <w:szCs w:val="18"/>
                <w:color w:val="auto"/>
              </w:rPr>
            </w:pPr>
          </w:p>
        </w:tc>
        <w:tc>
          <w:tcPr>
            <w:tcW w:w="1600" w:type="dxa"/>
            <w:vAlign w:val="bottom"/>
          </w:tcPr>
          <w:p>
            <w:pPr>
              <w:jc w:val="right"/>
              <w:ind w:right="273"/>
              <w:spacing w:after="0"/>
              <w:rPr>
                <w:sz w:val="20"/>
                <w:szCs w:val="20"/>
                <w:color w:val="auto"/>
              </w:rPr>
            </w:pPr>
            <w:r>
              <w:rPr>
                <w:rFonts w:ascii="Arial" w:cs="Arial" w:eastAsia="Arial" w:hAnsi="Arial"/>
                <w:sz w:val="14"/>
                <w:szCs w:val="14"/>
                <w:b w:val="1"/>
                <w:bCs w:val="1"/>
                <w:color w:val="auto"/>
                <w:w w:val="96"/>
              </w:rPr>
              <w:t>December 31, 2021</w:t>
            </w:r>
          </w:p>
        </w:tc>
      </w:tr>
      <w:tr>
        <w:trPr>
          <w:trHeight w:val="229"/>
        </w:trPr>
        <w:tc>
          <w:tcPr>
            <w:tcW w:w="738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Weighted-average discount rate</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79"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13"/>
          <w:szCs w:val="13"/>
          <w:color w:val="auto"/>
          <w:vertAlign w:val="superscript"/>
        </w:rPr>
      </w:pPr>
      <w:r>
        <w:rPr>
          <w:rFonts w:ascii="Arial" w:cs="Arial" w:eastAsia="Arial" w:hAnsi="Arial"/>
          <w:sz w:val="10"/>
          <w:szCs w:val="10"/>
          <w:color w:val="auto"/>
        </w:rPr>
        <w:t>The January 1, 2019 incremental borrowing rate was used for leases in existence at the time of adoption of ASU 2016-02.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undiscounted operating lease liabilities to the present value operating lease liabilities at June 30,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b w:val="1"/>
                <w:bCs w:val="1"/>
                <w:color w:val="auto"/>
              </w:rPr>
              <w:t>Operating Leases</w:t>
            </w:r>
          </w:p>
        </w:tc>
      </w:tr>
      <w:tr>
        <w:trPr>
          <w:trHeight w:val="215"/>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53,278</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2023</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93,964</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76,002</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2025</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58,590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35,118</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26,863</w:t>
            </w:r>
          </w:p>
        </w:tc>
      </w:tr>
      <w:tr>
        <w:trPr>
          <w:trHeight w:val="212"/>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undiscounted operating lease liabilities</w:t>
            </w:r>
          </w:p>
        </w:tc>
        <w:tc>
          <w:tcPr>
            <w:tcW w:w="5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343,815</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(36,690)</w:t>
            </w:r>
          </w:p>
        </w:tc>
      </w:tr>
      <w:tr>
        <w:trPr>
          <w:trHeight w:val="23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present value of operating lease liabilities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307,125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effective tax rate was 49.5% and 50.4% for the three and six months ended June 30, 2022, compared to 28.8% and 23.4% for the corresponding period in 2021. The effective tax rate for the six months ended June 30, 2022 was impacted by the difference between recorded goodwill and goodwill recognized for tax purposes, primarily as a result of the Aggregate Stock Consideration issued to employee former owners of Acima Holdings subject to restricted stock agreements. The effective tax rate for the six months ended June 30, 2021 was also impacted by the equity consideration included in the Aggregate Stock Consideration issued to employee former owners of Acima Holdings subject to restricted stock agreements, in addition to discrete income tax items related to excess tax benefits from the vesting of our annual restricted stock award grants and stock option exercises, and the release of domestic and foreign tax valuation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Debt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17, 2021, we entered into a credit agreement with JPMorgan Chase Bank, N.A., as administrative agent, and lenders party thereto, providing for a seven-year $875 million senior secured term loan facility (the “Term Loan Facility”) and an Asset Based Loan Credit Facility (the “ABL Credit Facility”)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bank financing fees and third party legal and other professional fees, of which $25.3 million was capitalized in accordance with ASC Topic 470, “Debt” and recorded as a reduction of our outstanding senior debt, net in our Condensed Consolidated Balance Sheets. Remaining debt issuance costs incurred of $4.9 million were expensed and recorded to Other charges in our Condensed Consolidated Statement of Operations.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21, 2021 we entered into a First Amendment (the “First Amendment”) to the Term Loan Facility, effective as of September 21, 2021. The amendment effected a repricing of the applicable margin under the Term Loan Facility by reducing the LIBOR floor by 25 basis points from 0.75% to 0.50%, and the applicable margin, with respect to any initial term loans, by 75 basis points from 4.00% to 3.25%.</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execution of the First Amendment, we incurred approximately $1.5 million in debt issuance costs, including third party arrangement and other professional fees, of which approximately $1.4 million were expensed as debt refinance charges in our Condensed Consolidated Statement of Operations, and approximately $0.1 million were capitalized and recorded as a reduction to our outstanding senior debt in our Condensed Consolidated Balance Sheets. In addition, in accordance with ASC Topic 470, “Debt”, we recorded approximately $5.4 million in write-offs of unamortized debt issuance costs and original issue discount previously capitalized upon the issuance of the Term Loan Facility on February 17, 2021. The write-offs were recorded as debt refinance charges in our Condensed Consolidated Statement of Operations.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2022, the total remaining balance of unamortized debt issuance costs and original issue discount related to our senior debt reported in the Condensed Consolidated Balance Sheets were approximately $18.3 million and $2.7 million, respectively. Remaining unamortized debt issuance costs and original issue discount will be amortized to interest expense over the remaining term of the Term Loan Facility.</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outstanding under the Term Loan Facility was $864.1 million at June 30, 2022. We had $90.0 million outstanding borrowings under our ABL Credit Facility at June 30, 2022 and borrowing capacity of $387.8 million.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utilize the ABL Credit Facility for the issuance of letters of credit. As of June 30, 2022, we have issued letters of credit in the aggregate outstanding amount of $72.2 million primarily relating to workers compensation insurance claims.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borrowings under the Term Loan Facility is payable at a fluctuating rate of interest determined by reference to the eurodollar rate plus an applicable margin of 3.25%, subject to a 0.50% LIBOR floor. The total interest rate on the Term Loan Facility was 4.94% at June 30, 2022. Borrowings under the Term Loan Facility amortize in equal quarterly installments in an amount equal to 1.000% per annum of the original aggregate principal amount thereof, with the remaining balance due at final maturity.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Term Loan Facility contains covenants that are usual and customary for similar facilities and transactions and that, among other things, restrict our ability and our restricted subsidiaries to create certain liens and enter into certain sale and lease-back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subject to certain limitations described therein. These covenants are subject to a number of limitations and exceptions set forth in the documentation governing the Term Loan.</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Facility was fully drawn at the closing of the Acima Holdings acquisition to fund a portion of the Aggregate Cash Consideration payable in the transaction, repay certain of our outstanding indebtedness and that of our subsidiaries, repay all outstanding indebtedness of Acima Holdings and its subsidiaries and pay certain fees and expenses incurred in connection with the transaction. A portion of such proceeds were used to repay $197.5 million outstanding under the prior term loan facility, dated as of August 5, 2019, among us, JPMorgan Chase Bank, N.A., as administrative agent, and the lenders party thereto (the “Prior Term Loan Facility”).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Credit Agreement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ABL Credit Facility will mature on February 17, 2026.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certain reserves.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ABL Credit Facility bears interest at a fluctuating rate determined by reference to the eurodollar rate plus an applicable margin of 1.50% to 2.00%. The total interest rate on the ABL Credit Facility at June 30, 2022 was 3.375%. A commitment fee equal to 0.250% to 0.375% of the unused portion of the ABL Credit Facility fluctuates dependent upon average utilization for the prior month as defined by a pricing grid included in the documentation governing the ABL Credit Facility. The commitment fee at June 30, 2022 was 0.375%. We paid $0.8 million of commitment fees during the second quarter of 2022.</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Loans under the ABL Credit Facility may be borrowed, repaid and re-borrowed until February 17, 2026, at which time all amounts borrowed must be repaid. 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ABL Credit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spacing w:after="0" w:line="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ABL Credit Facility also requires the maintenance of a consolidated fixed charge coverage ratio of at least 1.10 to 1.00 at the end of each fiscal quarter only in the event either (i) certain specified events of default have occurred and are continuing or (ii) availability is less than or equal to the greater of $56.25 million and 15% of the line cap then in effect. These covenants are subject to a number of limitations and exceptions set forth in the documentation governing the ABL Credit Facility. The fixed charge coverage ratio as of June 30, 2022 was 0.81 to 1.00, however, neither of the conditions in (i) or (ii) described above were applicable. Therefore, the maintenance of the fixed charge coverage ratio as of June 30, 2022 was not required.</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documentation governing the ABL Credit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scheduled maturity dates of our outstanding debt at June 30, 2022 for each of the years ending December 31: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 Loan</w:t>
            </w:r>
          </w:p>
        </w:tc>
        <w:tc>
          <w:tcPr>
            <w:tcW w:w="18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ABL Credit</w:t>
            </w:r>
          </w:p>
        </w:tc>
        <w:tc>
          <w:tcPr>
            <w:tcW w:w="260" w:type="dxa"/>
            <w:vAlign w:val="bottom"/>
          </w:tcPr>
          <w:p>
            <w:pPr>
              <w:spacing w:after="0"/>
              <w:rPr>
                <w:sz w:val="14"/>
                <w:szCs w:val="14"/>
                <w:color w:val="auto"/>
              </w:rPr>
            </w:pPr>
          </w:p>
        </w:tc>
        <w:tc>
          <w:tcPr>
            <w:tcW w:w="94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3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Facility</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98,750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824,687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824,687</w:t>
            </w:r>
          </w:p>
        </w:tc>
        <w:tc>
          <w:tcPr>
            <w:tcW w:w="0" w:type="dxa"/>
            <w:vAlign w:val="bottom"/>
          </w:tcPr>
          <w:p>
            <w:pPr>
              <w:spacing w:after="0"/>
              <w:rPr>
                <w:sz w:val="1"/>
                <w:szCs w:val="1"/>
                <w:color w:val="auto"/>
              </w:rPr>
            </w:pPr>
          </w:p>
        </w:tc>
      </w:tr>
      <w:tr>
        <w:trPr>
          <w:trHeight w:val="234"/>
        </w:trPr>
        <w:tc>
          <w:tcPr>
            <w:tcW w:w="7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senior debt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864,062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954,062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8 -Senior Notes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17, 2021, we issued $450 million in senior unsecured notes due February 15, 2029, at par value, bearing interest at 6.375% (the “Notes”), the proceeds of which were used to fund a portion of the Aggregate Cash Consideration upon closing of the Acima Holdings acquisition. Interest on the Notes is payable in arrears on February 15 and August 15 of each year, beginning on August 15, 2021.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Sheets. Debt issuance costs are amortized as interest expense over the term of the Notes. As of June 30, 2022, the total remaining balance of unamortized debt issuance costs related to our senior notes reported in the Condensed Consolidated Balance Sheets was approximately $13.5 million.</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we will be required to offer to purchase the Notes at a price equal to 101% of the principal amount thereof plus accrued and unpaid interest.</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June 30, 2022 and December 31, 2021,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Notes is based on Level 1 inputs and was as follows at June 30,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285"/>
              <w:spacing w:after="0"/>
              <w:rPr>
                <w:sz w:val="20"/>
                <w:szCs w:val="20"/>
                <w:color w:val="auto"/>
              </w:rPr>
            </w:pPr>
            <w:r>
              <w:rPr>
                <w:rFonts w:ascii="Arial" w:cs="Arial" w:eastAsia="Arial" w:hAnsi="Arial"/>
                <w:sz w:val="14"/>
                <w:szCs w:val="14"/>
                <w:b w:val="1"/>
                <w:bCs w:val="1"/>
                <w:color w:val="auto"/>
                <w:w w:val="92"/>
              </w:rPr>
              <w:t>June 30, 2022</w:t>
            </w: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88"/>
        </w:trPr>
        <w:tc>
          <w:tcPr>
            <w:tcW w:w="4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b w:val="1"/>
                <w:bCs w:val="1"/>
                <w:color w:val="auto"/>
              </w:rPr>
              <w:t>Carrying Value</w:t>
            </w:r>
          </w:p>
        </w:tc>
        <w:tc>
          <w:tcPr>
            <w:tcW w:w="340" w:type="dxa"/>
            <w:vAlign w:val="bottom"/>
          </w:tcPr>
          <w:p>
            <w:pPr>
              <w:spacing w:after="0"/>
              <w:rPr>
                <w:sz w:val="16"/>
                <w:szCs w:val="16"/>
                <w:color w:val="auto"/>
              </w:rPr>
            </w:pPr>
          </w:p>
        </w:tc>
        <w:tc>
          <w:tcPr>
            <w:tcW w:w="1720" w:type="dxa"/>
            <w:vAlign w:val="bottom"/>
          </w:tcPr>
          <w:p>
            <w:pPr>
              <w:jc w:val="center"/>
              <w:ind w:right="285"/>
              <w:spacing w:after="0"/>
              <w:rPr>
                <w:sz w:val="20"/>
                <w:szCs w:val="20"/>
                <w:color w:val="auto"/>
              </w:rPr>
            </w:pPr>
            <w:r>
              <w:rPr>
                <w:rFonts w:ascii="Arial" w:cs="Arial" w:eastAsia="Arial" w:hAnsi="Arial"/>
                <w:sz w:val="14"/>
                <w:szCs w:val="14"/>
                <w:b w:val="1"/>
                <w:bCs w:val="1"/>
                <w:color w:val="auto"/>
                <w:w w:val="95"/>
              </w:rPr>
              <w:t>Fair Value</w:t>
            </w:r>
          </w:p>
        </w:tc>
        <w:tc>
          <w:tcPr>
            <w:tcW w:w="480" w:type="dxa"/>
            <w:vAlign w:val="bottom"/>
          </w:tcPr>
          <w:p>
            <w:pPr>
              <w:spacing w:after="0"/>
              <w:rPr>
                <w:sz w:val="16"/>
                <w:szCs w:val="16"/>
                <w:color w:val="auto"/>
              </w:rPr>
            </w:pPr>
          </w:p>
        </w:tc>
        <w:tc>
          <w:tcPr>
            <w:tcW w:w="1640" w:type="dxa"/>
            <w:vAlign w:val="bottom"/>
          </w:tcPr>
          <w:p>
            <w:pPr>
              <w:jc w:val="right"/>
              <w:ind w:right="624"/>
              <w:spacing w:after="0"/>
              <w:rPr>
                <w:sz w:val="20"/>
                <w:szCs w:val="20"/>
                <w:color w:val="auto"/>
              </w:rPr>
            </w:pPr>
            <w:r>
              <w:rPr>
                <w:rFonts w:ascii="Arial" w:cs="Arial" w:eastAsia="Arial" w:hAnsi="Arial"/>
                <w:sz w:val="14"/>
                <w:szCs w:val="14"/>
                <w:b w:val="1"/>
                <w:bCs w:val="1"/>
                <w:color w:val="auto"/>
              </w:rPr>
              <w:t>Difference</w:t>
            </w:r>
          </w:p>
        </w:tc>
      </w:tr>
      <w:tr>
        <w:trPr>
          <w:trHeight w:val="211"/>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351,000</w:t>
            </w:r>
          </w:p>
        </w:tc>
        <w:tc>
          <w:tcPr>
            <w:tcW w:w="48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(99,000)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Charges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Acima Holdings Acquisition. </w:t>
      </w:r>
      <w:r>
        <w:rPr>
          <w:rFonts w:ascii="Arial" w:cs="Arial" w:eastAsia="Arial" w:hAnsi="Arial"/>
          <w:sz w:val="18"/>
          <w:szCs w:val="18"/>
          <w:color w:val="auto"/>
        </w:rPr>
        <w:t>As described in Note 2, on February 17, 2021, we completed the acquisition of Acima Holdings, a leading provider of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lease-to-own solutions. Included in the aggregate consideration issued to the former owners of Acima Holdings were 8,096,595 common shares, valued at $414.1 million, subject to 36-month vesting conditions under restricted stock agreements, which will be recognized over the vesting term as stock compensation expense. During the six months ended June 30, 2022 and 2021, we recognized approximately $69.4 million and $50.3 million in stock compensation expense related to these restricted stock agreement, respectively.</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assets acquired as part of the transaction included $520 million in intangible assets and $170 million in developed technology. During the six months ended June 30, 2022 and 2021, we recognized approximately $36.4 million and $43.2 million in amortization expense and $8.0 million and $5.3 million in incremental depreciation expense related to these assets, respectively.</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2022 and 2021, we recognized approximately $0.2 million and $17.1 million in transaction costs associated with the closing of the transaction, respectively.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we recognized approximately $3.9 million in post-acquisition integration costs, including $3.1 million in employee severance and $0.8 million in reorganization advisory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Activity with respect to Other charges for the six months ended June 30, 2022 is summarized in the below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Accrued Charges at</w:t>
            </w:r>
          </w:p>
        </w:tc>
        <w:tc>
          <w:tcPr>
            <w:tcW w:w="160" w:type="dxa"/>
            <w:vAlign w:val="bottom"/>
          </w:tcPr>
          <w:p>
            <w:pPr>
              <w:spacing w:after="0"/>
              <w:rPr>
                <w:sz w:val="14"/>
                <w:szCs w:val="14"/>
                <w:color w:val="auto"/>
              </w:rPr>
            </w:pPr>
          </w:p>
        </w:tc>
        <w:tc>
          <w:tcPr>
            <w:tcW w:w="1080" w:type="dxa"/>
            <w:vAlign w:val="bottom"/>
          </w:tcPr>
          <w:p>
            <w:pPr>
              <w:jc w:val="right"/>
              <w:ind w:right="213"/>
              <w:spacing w:after="0"/>
              <w:rPr>
                <w:sz w:val="20"/>
                <w:szCs w:val="20"/>
                <w:color w:val="auto"/>
              </w:rPr>
            </w:pPr>
            <w:r>
              <w:rPr>
                <w:rFonts w:ascii="Arial" w:cs="Arial" w:eastAsia="Arial" w:hAnsi="Arial"/>
                <w:sz w:val="14"/>
                <w:szCs w:val="14"/>
                <w:b w:val="1"/>
                <w:bCs w:val="1"/>
                <w:color w:val="auto"/>
              </w:rPr>
              <w:t>Charges &amp;</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Payments &amp;</w:t>
            </w:r>
          </w:p>
        </w:tc>
        <w:tc>
          <w:tcPr>
            <w:tcW w:w="160" w:type="dxa"/>
            <w:vAlign w:val="bottom"/>
          </w:tcPr>
          <w:p>
            <w:pPr>
              <w:spacing w:after="0"/>
              <w:rPr>
                <w:sz w:val="14"/>
                <w:szCs w:val="14"/>
                <w:color w:val="auto"/>
              </w:rPr>
            </w:pPr>
          </w:p>
        </w:tc>
        <w:tc>
          <w:tcPr>
            <w:tcW w:w="15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Accrued Charges at</w:t>
            </w:r>
          </w:p>
        </w:tc>
        <w:tc>
          <w:tcPr>
            <w:tcW w:w="0" w:type="dxa"/>
            <w:vAlign w:val="bottom"/>
          </w:tcPr>
          <w:p>
            <w:pPr>
              <w:spacing w:after="0"/>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Adjustments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1520" w:type="dxa"/>
            <w:vAlign w:val="bottom"/>
          </w:tcPr>
          <w:p>
            <w:pPr>
              <w:jc w:val="right"/>
              <w:ind w:right="336"/>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11"/>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charges:</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Acima Holdings transaction costs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Labor reduction costs</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Other cash charges</w:t>
            </w: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charges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charges: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Acima Holdings restricted stock agreements</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line="230" w:lineRule="exact"/>
              <w:rPr>
                <w:sz w:val="20"/>
                <w:szCs w:val="20"/>
                <w:color w:val="auto"/>
              </w:rPr>
            </w:pPr>
            <w:r>
              <w:rPr>
                <w:rFonts w:ascii="Arial" w:cs="Arial" w:eastAsia="Arial" w:hAnsi="Arial"/>
                <w:sz w:val="18"/>
                <w:szCs w:val="18"/>
                <w:color w:val="auto"/>
              </w:rPr>
              <w:t>Depreciation and amortization of acquired assets</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44,325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charges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13"/>
          <w:szCs w:val="13"/>
          <w:color w:val="auto"/>
          <w:vertAlign w:val="superscript"/>
        </w:rPr>
      </w:pPr>
      <w:r>
        <w:rPr>
          <w:rFonts w:ascii="Arial" w:cs="Arial" w:eastAsia="Arial" w:hAnsi="Arial"/>
          <w:sz w:val="10"/>
          <w:szCs w:val="10"/>
          <w:color w:val="auto"/>
        </w:rPr>
        <w:t>Represents charges incurred for employee severance.</w:t>
      </w:r>
    </w:p>
    <w:p>
      <w:pPr>
        <w:spacing w:after="0" w:line="9" w:lineRule="exact"/>
        <w:rPr>
          <w:rFonts w:ascii="Arial" w:cs="Arial" w:eastAsia="Arial" w:hAnsi="Arial"/>
          <w:sz w:val="13"/>
          <w:szCs w:val="13"/>
          <w:color w:val="auto"/>
          <w:vertAlign w:val="superscript"/>
        </w:rPr>
      </w:pPr>
    </w:p>
    <w:p>
      <w:pPr>
        <w:ind w:firstLine="8"/>
        <w:spacing w:after="0" w:line="229" w:lineRule="auto"/>
        <w:tabs>
          <w:tab w:leader="none" w:pos="131" w:val="left"/>
        </w:tabs>
        <w:numPr>
          <w:ilvl w:val="0"/>
          <w:numId w:val="11"/>
        </w:numPr>
        <w:rPr>
          <w:rFonts w:ascii="Arial" w:cs="Arial" w:eastAsia="Arial" w:hAnsi="Arial"/>
          <w:sz w:val="15"/>
          <w:szCs w:val="15"/>
          <w:color w:val="auto"/>
          <w:vertAlign w:val="superscript"/>
        </w:rPr>
      </w:pPr>
      <w:r>
        <w:rPr>
          <w:rFonts w:ascii="Arial" w:cs="Arial" w:eastAsia="Arial" w:hAnsi="Arial"/>
          <w:sz w:val="12"/>
          <w:szCs w:val="12"/>
          <w:color w:val="auto"/>
        </w:rPr>
        <w:t>Represents stock compensation expense related to common stock issued to Acima Holdings employees under restricted stock agreements as part of the acquisition proceeds subject to vesting restrictions, as described in Note 2 and Note 12.</w:t>
      </w:r>
    </w:p>
    <w:p>
      <w:pPr>
        <w:ind w:firstLine="8"/>
        <w:spacing w:after="0" w:line="247" w:lineRule="auto"/>
        <w:tabs>
          <w:tab w:leader="none" w:pos="128" w:val="left"/>
        </w:tabs>
        <w:numPr>
          <w:ilvl w:val="0"/>
          <w:numId w:val="11"/>
        </w:numPr>
        <w:rPr>
          <w:rFonts w:ascii="Arial" w:cs="Arial" w:eastAsia="Arial" w:hAnsi="Arial"/>
          <w:sz w:val="14"/>
          <w:szCs w:val="14"/>
          <w:color w:val="auto"/>
          <w:vertAlign w:val="superscript"/>
        </w:rPr>
      </w:pPr>
      <w:r>
        <w:rPr>
          <w:rFonts w:ascii="Arial" w:cs="Arial" w:eastAsia="Arial" w:hAnsi="Arial"/>
          <w:sz w:val="11"/>
          <w:szCs w:val="11"/>
          <w:color w:val="auto"/>
        </w:rPr>
        <w:t>Represents amortization of the total fair value of acquired intangible assets and incremental depreciation related to the fair value increase over net book value of acquired software assets in connection with the acquisition of Acima Holdings as described in Note 2.</w:t>
      </w:r>
    </w:p>
    <w:p>
      <w:pPr>
        <w:spacing w:after="0" w:line="1" w:lineRule="exact"/>
        <w:rPr>
          <w:rFonts w:ascii="Arial" w:cs="Arial" w:eastAsia="Arial" w:hAnsi="Arial"/>
          <w:sz w:val="14"/>
          <w:szCs w:val="14"/>
          <w:color w:val="auto"/>
          <w:vertAlign w:val="superscript"/>
        </w:rPr>
      </w:pPr>
    </w:p>
    <w:p>
      <w:pPr>
        <w:ind w:left="140" w:hanging="132"/>
        <w:spacing w:after="0" w:line="195" w:lineRule="auto"/>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Primarily represents impairment of software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Within our operating segments, we offer merchandise for lease from certain basic product categories: furniture, including mattresses, tires, consumer electronics, appliances, tools, handbags, computers, smartphones, and accessories.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as of and for the three and six months ended June 30, 2022 and 2021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338"/>
        </w:trPr>
        <w:tc>
          <w:tcPr>
            <w:tcW w:w="52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490,185</w:t>
            </w:r>
          </w:p>
        </w:tc>
        <w:tc>
          <w:tcPr>
            <w:tcW w:w="12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505,834</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1,008,690</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1,030,700</w:t>
            </w:r>
          </w:p>
        </w:tc>
      </w:tr>
      <w:tr>
        <w:trPr>
          <w:trHeight w:val="230"/>
        </w:trPr>
        <w:tc>
          <w:tcPr>
            <w:tcW w:w="5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Acima</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1,092,729</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Mexico</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29,753</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77,575</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1,071,255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1,193,975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2,230,976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2,230,757</w:t>
            </w:r>
          </w:p>
        </w:tc>
      </w:tr>
      <w:tr>
        <w:trPr>
          <w:trHeight w:val="21"/>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Represents revenues for our Acima operating segment as defined in Note 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5"/>
                <w:szCs w:val="15"/>
                <w:color w:val="auto"/>
              </w:rPr>
            </w:pPr>
          </w:p>
        </w:tc>
        <w:tc>
          <w:tcPr>
            <w:tcW w:w="26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181"/>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348,060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357,187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711,440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716,356</w:t>
            </w:r>
          </w:p>
        </w:tc>
      </w:tr>
      <w:tr>
        <w:trPr>
          <w:trHeight w:val="229"/>
        </w:trPr>
        <w:tc>
          <w:tcPr>
            <w:tcW w:w="5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Acima</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345,654</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Mexico</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21,030</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14,955</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gross profit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532,544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587,472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1,078,638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1,097,995</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Represents gross profit for our Acima operating segment as defined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99,108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126,487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199,284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247,764</w:t>
            </w:r>
          </w:p>
        </w:tc>
      </w:tr>
      <w:tr>
        <w:trPr>
          <w:trHeight w:val="229"/>
        </w:trPr>
        <w:tc>
          <w:tcPr>
            <w:tcW w:w="5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Acima</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92,913</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Mexico</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4,374</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10,679</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142,195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258,825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355,730</w:t>
            </w:r>
          </w:p>
        </w:tc>
      </w:tr>
      <w:tr>
        <w:trPr>
          <w:trHeight w:val="229"/>
        </w:trPr>
        <w:tc>
          <w:tcPr>
            <w:tcW w:w="5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(179,165)</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operating profit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176,565</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13"/>
          <w:szCs w:val="13"/>
          <w:color w:val="auto"/>
          <w:vertAlign w:val="superscript"/>
        </w:rPr>
      </w:pPr>
      <w:r>
        <w:rPr>
          <w:rFonts w:ascii="Arial" w:cs="Arial" w:eastAsia="Arial" w:hAnsi="Arial"/>
          <w:sz w:val="10"/>
          <w:szCs w:val="10"/>
          <w:color w:val="auto"/>
        </w:rPr>
        <w:t>Represents operating profit for our Acima segment as defined in Note 1.</w:t>
      </w:r>
    </w:p>
    <w:p>
      <w:pPr>
        <w:spacing w:after="0" w:line="53" w:lineRule="exact"/>
        <w:rPr>
          <w:rFonts w:ascii="Arial" w:cs="Arial" w:eastAsia="Arial" w:hAnsi="Arial"/>
          <w:sz w:val="13"/>
          <w:szCs w:val="13"/>
          <w:color w:val="auto"/>
          <w:vertAlign w:val="superscript"/>
        </w:rPr>
      </w:pPr>
    </w:p>
    <w:p>
      <w:pPr>
        <w:ind w:firstLine="8"/>
        <w:spacing w:after="0" w:line="310" w:lineRule="auto"/>
        <w:tabs>
          <w:tab w:leader="none" w:pos="115" w:val="left"/>
        </w:tabs>
        <w:numPr>
          <w:ilvl w:val="0"/>
          <w:numId w:val="14"/>
        </w:numPr>
        <w:rPr>
          <w:rFonts w:ascii="Arial" w:cs="Arial" w:eastAsia="Arial" w:hAnsi="Arial"/>
          <w:sz w:val="13"/>
          <w:szCs w:val="13"/>
          <w:color w:val="auto"/>
          <w:vertAlign w:val="superscript"/>
        </w:rPr>
      </w:pPr>
      <w:r>
        <w:rPr>
          <w:rFonts w:ascii="Arial" w:cs="Arial" w:eastAsia="Arial" w:hAnsi="Arial"/>
          <w:sz w:val="10"/>
          <w:szCs w:val="10"/>
          <w:color w:val="auto"/>
        </w:rPr>
        <w:t>Includes stock compensation expense of $32.9 million and $69.4 million recognized for the three and six months ended June 30, 2022, and $34.4 million and $50.3 million recognized for the three and six months ended June 30, 2021, related to common stock issued to Acima Holdings employees under restricted stock agreements as part of the acquisition consideration subject to vesting restrictions as described in Note 10.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4,622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11,036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9,029</w:t>
            </w:r>
          </w:p>
        </w:tc>
      </w:tr>
      <w:tr>
        <w:trPr>
          <w:trHeight w:val="230"/>
        </w:trPr>
        <w:tc>
          <w:tcPr>
            <w:tcW w:w="5200" w:type="dxa"/>
            <w:vAlign w:val="bottom"/>
            <w:shd w:val="clear" w:color="auto" w:fill="CCEEFF"/>
          </w:tcPr>
          <w:p>
            <w:pPr>
              <w:ind w:left="140"/>
              <w:spacing w:after="0" w:line="230" w:lineRule="exact"/>
              <w:rPr>
                <w:sz w:val="20"/>
                <w:szCs w:val="20"/>
                <w:color w:val="auto"/>
              </w:rPr>
            </w:pPr>
            <w:r>
              <w:rPr>
                <w:rFonts w:ascii="Arial" w:cs="Arial" w:eastAsia="Arial" w:hAnsi="Arial"/>
                <w:sz w:val="26"/>
                <w:szCs w:val="26"/>
                <w:color w:val="auto"/>
                <w:vertAlign w:val="subscript"/>
              </w:rPr>
              <w:t>Acima</w:t>
            </w:r>
            <w:r>
              <w:rPr>
                <w:rFonts w:ascii="Arial" w:cs="Arial" w:eastAsia="Arial" w:hAnsi="Arial"/>
                <w:sz w:val="10"/>
                <w:szCs w:val="10"/>
                <w:color w:val="auto"/>
              </w:rPr>
              <w:t>(1)(2)</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Mexico</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10,300</w:t>
            </w:r>
          </w:p>
        </w:tc>
      </w:tr>
      <w:tr>
        <w:trPr>
          <w:trHeight w:val="229"/>
        </w:trPr>
        <w:tc>
          <w:tcPr>
            <w:tcW w:w="5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16,659</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26,959</w:t>
            </w:r>
          </w:p>
        </w:tc>
      </w:tr>
      <w:tr>
        <w:trPr>
          <w:trHeight w:val="21"/>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13"/>
          <w:szCs w:val="13"/>
          <w:color w:val="auto"/>
          <w:vertAlign w:val="superscript"/>
        </w:rPr>
      </w:pPr>
      <w:r>
        <w:rPr>
          <w:rFonts w:ascii="Arial" w:cs="Arial" w:eastAsia="Arial" w:hAnsi="Arial"/>
          <w:sz w:val="10"/>
          <w:szCs w:val="10"/>
          <w:color w:val="auto"/>
        </w:rPr>
        <w:t>Represents depreciation and amortization for our Acima segment as defined in Note 1.</w:t>
      </w:r>
    </w:p>
    <w:p>
      <w:pPr>
        <w:spacing w:after="0" w:line="8"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vertAlign w:val="superscript"/>
        </w:rPr>
        <w:t>(2)</w:t>
      </w:r>
      <w:r>
        <w:rPr>
          <w:rFonts w:ascii="Arial" w:cs="Arial" w:eastAsia="Arial" w:hAnsi="Arial"/>
          <w:sz w:val="13"/>
          <w:szCs w:val="13"/>
          <w:color w:val="auto"/>
        </w:rPr>
        <w:t>Excludes amortization expense of approximately $14.3 million and $36.4 million for the three and six months ended June 30, 2022, compared to $29.2 million and $43.2 million for the three and six months ended June 30, 2021, recorded to Other charges in the Condensed Consolidated Statement of Operations, related to intangible assets acquired upon closing of the Acima Holdings acquisition. See Note 10 for additional information.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vertAlign w:val="superscript"/>
        </w:rPr>
        <w:t>(3)</w:t>
      </w:r>
      <w:r>
        <w:rPr>
          <w:rFonts w:ascii="Arial" w:cs="Arial" w:eastAsia="Arial" w:hAnsi="Arial"/>
          <w:sz w:val="11"/>
          <w:szCs w:val="11"/>
          <w:color w:val="auto"/>
        </w:rPr>
        <w:t>Excludes depreciation expense of approximately $4.0 million and $8.0 million for the three and six months ended June 30, 2022, compared to $4.0 million and $5.3 million for the three and six months ended June 30, 2021, recorded to Other charges in the Condensed Consolidated Statement of Operations, related to software acquired upon closing of the Acima Holdings acquisition. See Note 10 for additional information.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6,795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8,308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20,203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14,565</w:t>
            </w:r>
          </w:p>
        </w:tc>
      </w:tr>
      <w:tr>
        <w:trPr>
          <w:trHeight w:val="230"/>
        </w:trPr>
        <w:tc>
          <w:tcPr>
            <w:tcW w:w="5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Acima</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Mexico</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7,239</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21,027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15,500</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capital expenditures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25,401</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13"/>
          <w:szCs w:val="13"/>
          <w:color w:val="auto"/>
          <w:vertAlign w:val="superscript"/>
        </w:rPr>
      </w:pPr>
      <w:r>
        <w:rPr>
          <w:rFonts w:ascii="Arial" w:cs="Arial" w:eastAsia="Arial" w:hAnsi="Arial"/>
          <w:sz w:val="10"/>
          <w:szCs w:val="10"/>
          <w:color w:val="auto"/>
        </w:rPr>
        <w:t>Represents capital expenditures for our Acima segment as defined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 2021</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 rent rental merchandise, net</w:t>
            </w:r>
          </w:p>
        </w:tc>
        <w:tc>
          <w:tcPr>
            <w:tcW w:w="3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458,849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477,901</w:t>
            </w:r>
          </w:p>
        </w:tc>
      </w:tr>
      <w:tr>
        <w:trPr>
          <w:trHeight w:val="229"/>
        </w:trPr>
        <w:tc>
          <w:tcPr>
            <w:tcW w:w="76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Acima</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676,279</w:t>
            </w:r>
          </w:p>
        </w:tc>
      </w:tr>
      <w:tr>
        <w:trPr>
          <w:trHeight w:val="230"/>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18,844</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on rent rental merchandise,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1,173,024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120" w:hanging="112"/>
        <w:spacing w:after="0"/>
        <w:tabs>
          <w:tab w:leader="none" w:pos="120" w:val="left"/>
        </w:tabs>
        <w:numPr>
          <w:ilvl w:val="0"/>
          <w:numId w:val="17"/>
        </w:numPr>
        <w:rPr>
          <w:rFonts w:ascii="Arial" w:cs="Arial" w:eastAsia="Arial" w:hAnsi="Arial"/>
          <w:sz w:val="13"/>
          <w:szCs w:val="13"/>
          <w:color w:val="auto"/>
          <w:vertAlign w:val="superscript"/>
        </w:rPr>
      </w:pPr>
      <w:r>
        <w:rPr>
          <w:rFonts w:ascii="Arial" w:cs="Arial" w:eastAsia="Arial" w:hAnsi="Arial"/>
          <w:sz w:val="10"/>
          <w:szCs w:val="10"/>
          <w:color w:val="auto"/>
        </w:rPr>
        <w:t>Represents on-rent rental merchandise for our Acima segment as defined in Note 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5"/>
                <w:szCs w:val="15"/>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5"/>
                <w:szCs w:val="15"/>
                <w:color w:val="auto"/>
              </w:rPr>
            </w:pPr>
          </w:p>
        </w:tc>
        <w:tc>
          <w:tcPr>
            <w:tcW w:w="156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 2021</w:t>
            </w:r>
          </w:p>
        </w:tc>
      </w:tr>
      <w:tr>
        <w:trPr>
          <w:trHeight w:val="20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Held for rent rental merchandise, net</w:t>
            </w:r>
          </w:p>
        </w:tc>
        <w:tc>
          <w:tcPr>
            <w:tcW w:w="3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131,264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123,111</w:t>
            </w:r>
          </w:p>
        </w:tc>
      </w:tr>
      <w:tr>
        <w:trPr>
          <w:trHeight w:val="229"/>
        </w:trPr>
        <w:tc>
          <w:tcPr>
            <w:tcW w:w="76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Acima</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2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held for rent rental merchandise,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132,984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13"/>
          <w:szCs w:val="13"/>
          <w:color w:val="auto"/>
          <w:vertAlign w:val="superscript"/>
        </w:rPr>
      </w:pPr>
      <w:r>
        <w:rPr>
          <w:rFonts w:ascii="Arial" w:cs="Arial" w:eastAsia="Arial" w:hAnsi="Arial"/>
          <w:sz w:val="10"/>
          <w:szCs w:val="10"/>
          <w:color w:val="auto"/>
        </w:rPr>
        <w:t>Represents held-for-rent rental merchandise for our Acima segment as defined in Note 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5"/>
                <w:szCs w:val="15"/>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5"/>
                <w:szCs w:val="15"/>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2021</w:t>
            </w:r>
          </w:p>
        </w:tc>
      </w:tr>
      <w:tr>
        <w:trPr>
          <w:trHeight w:val="210"/>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by segment</w:t>
            </w:r>
          </w:p>
        </w:tc>
        <w:tc>
          <w:tcPr>
            <w:tcW w:w="3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1,041,788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1,026,886</w:t>
            </w:r>
          </w:p>
        </w:tc>
      </w:tr>
      <w:tr>
        <w:trPr>
          <w:trHeight w:val="229"/>
        </w:trPr>
        <w:tc>
          <w:tcPr>
            <w:tcW w:w="76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Acima</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1,476,752</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Mexico</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45,346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41,669</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15,412</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2,329,261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2,560,719</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432,608</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2,767,132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2,993,327</w:t>
            </w: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120" w:hanging="112"/>
        <w:spacing w:after="0"/>
        <w:tabs>
          <w:tab w:leader="none" w:pos="120" w:val="left"/>
        </w:tabs>
        <w:numPr>
          <w:ilvl w:val="0"/>
          <w:numId w:val="19"/>
        </w:numPr>
        <w:rPr>
          <w:rFonts w:ascii="Arial" w:cs="Arial" w:eastAsia="Arial" w:hAnsi="Arial"/>
          <w:sz w:val="13"/>
          <w:szCs w:val="13"/>
          <w:color w:val="auto"/>
          <w:vertAlign w:val="superscript"/>
        </w:rPr>
      </w:pPr>
      <w:r>
        <w:rPr>
          <w:rFonts w:ascii="Arial" w:cs="Arial" w:eastAsia="Arial" w:hAnsi="Arial"/>
          <w:sz w:val="10"/>
          <w:szCs w:val="10"/>
          <w:color w:val="auto"/>
        </w:rPr>
        <w:t>Represents total assets for our Acima segment as defined in Note 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Stock and Stock-Based Compensation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No shares of our common stock were repurchased during the six months ended June 30, 2022 and 2021, respectively.</w:t>
      </w:r>
    </w:p>
    <w:p>
      <w:pPr>
        <w:spacing w:after="0" w:line="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$3.6 million and $5.1 million in compensation expense related to stock awards issued under the Rent-A-Center, Inc. 2021 Long-Term Incentive Plan (the “2021 Plan”) and 2016 Long-Term Incentive Plan (the “2016 Plan”) during the three months ended June 30, 2022 and 2021, and $8.4 million and $9.4 million during the six months ended June 30, 2022 and 2021. During the six months ended June 30, 2022, we granted approximately 687,000 market-based performance units and 323,000 time-vesting units under the 2021 Plan. Performance-based restricted stock units are valued 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six months ended June 30, 2022 was $24.72 and $30.59, respectively.</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 2, Aggregate Stock Consideration issued to the former owners of Acima Holdings included 10,779,923 of common shares valued at $51.14 per share, as of the date of closing. Of this total, 2,683,328 common shares were included in the aggregate purchase price of the transaction for financial reporting purposes, while 8,096,595 common shares, valued at $414.1 million, issued under restricted stock agreements and subject to vesting conditions, are recognized as stock compensation expense over the vesting term in accordance with ASC Topic 718, “Stock-based Compensation”. We recognized $32.9 million and $34.4 million in stock compensation expense related to these restricted stock agreements during the three months ended June 30, 2022 and 2021, and $69.4 million and $50.3 million during the six months ended June 30, 2022 and 2021, which was recorded to Other charges in our Condensed Consolidated Statements of Operations, as described in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Contingencies</w:t>
      </w:r>
    </w:p>
    <w:p>
      <w:pPr>
        <w:spacing w:after="0" w:line="10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w:t>
      </w:r>
    </w:p>
    <w:p>
      <w:pPr>
        <w:spacing w:after="0" w:line="6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i w:val="1"/>
          <w:iCs w:val="1"/>
          <w:color w:val="auto"/>
        </w:rPr>
        <w:t xml:space="preserve">Unclaimed Property. </w:t>
      </w:r>
      <w:r>
        <w:rPr>
          <w:rFonts w:ascii="Arial" w:cs="Arial" w:eastAsia="Arial" w:hAnsi="Arial"/>
          <w:sz w:val="18"/>
          <w:szCs w:val="18"/>
          <w:color w:val="auto"/>
        </w:rPr>
        <w:t>We are subject to unclaimed property audits by states in the ordinary course of business. The property subject to review in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includes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spacing w:after="0" w:line="7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i w:val="1"/>
          <w:iCs w:val="1"/>
          <w:color w:val="auto"/>
        </w:rPr>
        <w:t xml:space="preserve">Acima Consumer Financial Protection Bureau investigation. </w:t>
      </w:r>
      <w:r>
        <w:rPr>
          <w:rFonts w:ascii="Arial" w:cs="Arial" w:eastAsia="Arial" w:hAnsi="Arial"/>
          <w:sz w:val="17"/>
          <w:szCs w:val="17"/>
          <w:color w:val="auto"/>
        </w:rPr>
        <w:t>Prior to the execution of the definitive agreement to acquire Acima Holdings, Acima Holdings</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a Civil Investigative Demand dated October 1, 2020 (the “CID”) from the Consumer Financial Protection Bureau (the “CFPB”) requesting certain information, documents and data relating to Acima Holding’s products, services and practices for the period from January 1, 2015 to the date on which responses to the CID are provided in full. The purpose of the CID is to determine whether Acima Holdings extends credit, offers leases, or otherwise offers or provides a consumer financial product or service and whether Acima Holdings complies with certain consumer financial protection laws. We are fully cooperating with the CFPB investigation. The CFPB has not made any allegations in the investigation, and we are currently unable to predict the eventual scope, ultimate timing or outcome of the CFPB investigation.</w:t>
      </w:r>
    </w:p>
    <w:p>
      <w:pPr>
        <w:spacing w:after="0" w:line="6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On the terms and subject to the conditions set forth in the definitive agreement to acquire Acima Holdings, the former owners of Acima Holdings have agreed to indemnify Rent-A-Center for certain losses arising after the consummation of the transaction with respect to the CID and certain pre-closing taxes. The indemnification obligations of the former owners of Acima Holdings are limited to an indemnity holdback in the aggregate amount of $50 million, which was escrowed at the closing of the transaction, and will be Rent-A-Center’s sole recourse against the former owners of Acima Holdings with respect to all of the indemnifiable claims under the definitive transaction agreement. Other than with respect to any pending or unresolved claims for indemnification submitted by Rent-A-Center prior to such time, and subject to other limited exceptions, the escrowed amount will be released to the former owners of Acima Holdings as follows: (i) in respect of the CID, on the earlier of February 17, 2024 and the date on which a final determination is entered providing for a resolution of the matters regarding the CID and (ii) in respect of certain pre-closing taxes, on August 18, 2022, the first business day following the date that is 18 months after the closing date of the transaction.</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There can be no assurance that the CID will be finally resolved prior to the release to the former owners of Acima Holdings of the escrowed funds reserved therefor, or that such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settlements or changes to Acima Holdings’ business practices or operations that could materially and adversely affect our business, financial condition, results of operations or reputation.</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 xml:space="preserve">California Attorney General. </w:t>
      </w:r>
      <w:r>
        <w:rPr>
          <w:rFonts w:ascii="Arial" w:cs="Arial" w:eastAsia="Arial" w:hAnsi="Arial"/>
          <w:sz w:val="16"/>
          <w:szCs w:val="16"/>
          <w:color w:val="auto"/>
        </w:rPr>
        <w:t>The California Attorney General (the “CAG”) issued an investigative subpoena in 2018 seeking information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of our Acceptance Now business practices (now part of the Acima segment). Since receiving such demand, we have cooperated with the CAG in connection with its investigation and made several productions of requested documents. In March 2020, the CAG put forth proposed settlement terms to address alleged violations of California law. The CAG’s allegations include those with respect to certain consumer fees, charges and communications in</w:t>
      </w:r>
    </w:p>
    <w:p>
      <w:pPr>
        <w:jc w:val="both"/>
        <w:spacing w:after="0" w:line="224" w:lineRule="auto"/>
        <w:rPr>
          <w:sz w:val="20"/>
          <w:szCs w:val="20"/>
          <w:color w:val="auto"/>
        </w:rPr>
      </w:pPr>
      <w:r>
        <w:rPr>
          <w:rFonts w:ascii="Arial" w:cs="Arial" w:eastAsia="Arial" w:hAnsi="Arial"/>
          <w:sz w:val="18"/>
          <w:szCs w:val="18"/>
          <w:color w:val="auto"/>
        </w:rPr>
        <w:t>connection with our lease-to-own transactions. In November 2021, the parties reached an agreement in principle regarding the resolution of this matter. On August 2, 2022, the parties finalized the settlement of this matter, which includes a proposed final judgment for approval by the Superior Court of the State of California. In the agreement and in consideration of the final resolution of this matter, we agreed to pay a total of $15.5 million in restitution to consumers and civil penalties along with certain injunctive provisions, including (1) in the case of rental-purchase transactions in California originating through a third-party host retailer, not to charge a cash price on the rental-purchase agreement that is greater than the cash price offered to the consumer by the host retailer, and (2) to implement certain additional customer disclosures, employee training and other compliance requirements and restrictions as set forth in the stipulated agreement. We did not admit to any violations of law or any wrongdoing. Although we disagree with the CAG’s interpretation of the relevant California statutory language regarding the definition of “cash price”, we entered into the agreement to avoid the expense, risk and distractions associated with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9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protracted litigation. As of December 31, 2021, taking into consideration the agreement in principle reached in November 2021, we reserved the amount of $15.5 million as a loss contingency for this matter in our consolidated financial statements.</w:t>
      </w:r>
    </w:p>
    <w:p>
      <w:pPr>
        <w:spacing w:after="0" w:line="6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i w:val="1"/>
          <w:iCs w:val="1"/>
          <w:color w:val="auto"/>
        </w:rPr>
        <w:t xml:space="preserve">Massachusetts Attorney General. </w:t>
      </w:r>
      <w:r>
        <w:rPr>
          <w:rFonts w:ascii="Arial" w:cs="Arial" w:eastAsia="Arial" w:hAnsi="Arial"/>
          <w:sz w:val="18"/>
          <w:szCs w:val="18"/>
          <w:color w:val="auto"/>
        </w:rPr>
        <w:t>The Massachusetts Attorney General (the “MAG”) issued a civil investigative demand in 2018 seeking information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certain of our business practices, including regarding account management and certain other business practices in connection with our lease-to-own transactions. Since receiving such demand, we have cooperated with the MAG in connection with its investigation. In June 2021, the MAG provided us with proposed settlement terms including a monetary payment, injunctive provisions regarding certain business practices and compliance requirements. We are continuing to cooperate and discuss resolution of the inquiry with the MAG. We are currently unable to predict the ultimate timing or outcome of the MAG investigation.</w:t>
      </w:r>
    </w:p>
    <w:p>
      <w:pPr>
        <w:spacing w:after="0" w:line="67"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 xml:space="preserve">State Attorneys General Investigation. </w:t>
      </w:r>
      <w:r>
        <w:rPr>
          <w:rFonts w:ascii="Arial" w:cs="Arial" w:eastAsia="Arial" w:hAnsi="Arial"/>
          <w:sz w:val="16"/>
          <w:szCs w:val="16"/>
          <w:color w:val="auto"/>
        </w:rPr>
        <w:t>On November 1, 2021, Acima received a letter from the Nebraska Attorney General’s office stating that the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with officials at the lead attorneys general offices and, based on those discussions, it is our understanding that the investigation is looking at business practices within the virtual lease-to-own industry and includes or will include multiple companies. In April 2022, we received a request for information and documents. Acima is cooperating with the investigation and is currently in the process</w:t>
      </w:r>
    </w:p>
    <w:p>
      <w:pPr>
        <w:spacing w:after="0" w:line="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of producing requested information. No specific allegations have been made against Acima pursuant to the investigation. We are currently unable to predict the eventual scope, timing or outcome of this matter.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Summarized basic and diluted earnings per common share were calculated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103,861</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53,875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57,271</w:t>
            </w:r>
          </w:p>
        </w:tc>
      </w:tr>
      <w:tr>
        <w:trPr>
          <w:trHeight w:val="230"/>
        </w:trPr>
        <w:tc>
          <w:tcPr>
            <w:tcW w:w="520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Effect of dilutive stock awards</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9,787</w:t>
            </w: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Weighted-average dilutive shares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67,058</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Diluted earnings per common share</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175"/>
        </w:trPr>
        <w:tc>
          <w:tcPr>
            <w:tcW w:w="5200" w:type="dxa"/>
            <w:vAlign w:val="bottom"/>
          </w:tcPr>
          <w:p>
            <w:pPr>
              <w:ind w:left="20"/>
              <w:spacing w:after="0" w:line="176" w:lineRule="exact"/>
              <w:rPr>
                <w:sz w:val="20"/>
                <w:szCs w:val="20"/>
                <w:color w:val="auto"/>
              </w:rPr>
            </w:pPr>
            <w:r>
              <w:rPr>
                <w:rFonts w:ascii="Arial" w:cs="Arial" w:eastAsia="Arial" w:hAnsi="Arial"/>
                <w:sz w:val="18"/>
                <w:szCs w:val="18"/>
                <w:color w:val="auto"/>
                <w:w w:val="97"/>
              </w:rPr>
              <w:t>Anti-dilutive securities excluded from diluted earnings per common</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Anti-dilutive restricted share units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Anti-dilutive performance share units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5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Anti-dilutive stock options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bl>
    <w:p>
      <w:pPr>
        <w:spacing w:after="0" w:line="80" w:lineRule="exact"/>
        <w:rPr>
          <w:sz w:val="20"/>
          <w:szCs w:val="20"/>
          <w:color w:val="auto"/>
        </w:rPr>
      </w:pPr>
    </w:p>
    <w:p>
      <w:pPr>
        <w:ind w:firstLine="8"/>
        <w:spacing w:after="0" w:line="280" w:lineRule="auto"/>
        <w:tabs>
          <w:tab w:leader="none" w:pos="129" w:val="left"/>
        </w:tabs>
        <w:numPr>
          <w:ilvl w:val="0"/>
          <w:numId w:val="20"/>
        </w:numPr>
        <w:rPr>
          <w:rFonts w:ascii="Arial" w:cs="Arial" w:eastAsia="Arial" w:hAnsi="Arial"/>
          <w:sz w:val="14"/>
          <w:szCs w:val="14"/>
          <w:color w:val="auto"/>
          <w:vertAlign w:val="superscript"/>
        </w:rPr>
      </w:pPr>
      <w:r>
        <w:rPr>
          <w:rFonts w:ascii="Arial" w:cs="Arial" w:eastAsia="Arial" w:hAnsi="Arial"/>
          <w:sz w:val="11"/>
          <w:szCs w:val="11"/>
          <w:color w:val="auto"/>
        </w:rPr>
        <w:t>Weighted-average dilutive shares outstanding for the six months ended June 30, 2022 and 2021, includes approximately 5.2 million and 8.1 million common shares, respectively, issued in connection with the acquisition of Acima Holdings and subject to vesting conditions under restricted stock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potential effects of the pandemic of the respiratory disease caused by a novel coronavirus (“COVID-19”) on our business, operations, financial performance and prospects, the future business prospects and financial performance of our Company following our acquisition of Acima Holdings, LLC (“Acima Holdings”), cost and revenue synergies and other benefits expected to result from the Acima Holdings acquisition, our expectations, plans and strategy relating to our capital structure and capital allocation, including any share repurchases under the Company's share repurchase program, and other statements that are not historical facts.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in our Annual Report on Form 10-K for the year ended December 31, 2021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10" w:lineRule="exact"/>
        <w:rPr>
          <w:sz w:val="20"/>
          <w:szCs w:val="20"/>
          <w:color w:val="auto"/>
        </w:rPr>
      </w:pPr>
    </w:p>
    <w:p>
      <w:pPr>
        <w:ind w:left="660" w:hanging="166"/>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possibility that the anticipated benefits from the Acima Holdings acquisition may not be fully realized or may take longer to realize than expected;</w:t>
      </w:r>
    </w:p>
    <w:p>
      <w:pPr>
        <w:spacing w:after="0" w:line="8" w:lineRule="exact"/>
        <w:rPr>
          <w:rFonts w:ascii="Arial" w:cs="Arial" w:eastAsia="Arial" w:hAnsi="Arial"/>
          <w:sz w:val="18"/>
          <w:szCs w:val="18"/>
          <w:color w:val="auto"/>
        </w:rPr>
      </w:pPr>
    </w:p>
    <w:p>
      <w:pPr>
        <w:ind w:left="660" w:hanging="166"/>
        <w:spacing w:after="0" w:line="277" w:lineRule="auto"/>
        <w:tabs>
          <w:tab w:leader="none" w:pos="6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possibility that costs, difficulties or disruptions related to the integration of Acima Holdings operations into our other operations will be greater than expected;</w:t>
      </w:r>
    </w:p>
    <w:p>
      <w:pPr>
        <w:spacing w:after="0" w:line="8" w:lineRule="exact"/>
        <w:rPr>
          <w:rFonts w:ascii="Arial" w:cs="Arial" w:eastAsia="Arial" w:hAnsi="Arial"/>
          <w:sz w:val="18"/>
          <w:szCs w:val="18"/>
          <w:color w:val="auto"/>
        </w:rPr>
      </w:pPr>
    </w:p>
    <w:p>
      <w:pPr>
        <w:jc w:val="both"/>
        <w:ind w:left="660" w:hanging="166"/>
        <w:spacing w:after="0" w:line="263" w:lineRule="auto"/>
        <w:tabs>
          <w:tab w:leader="none" w:pos="622"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 effectively adjust to changes in the composition of our offerings and product mix as a result of acquiring Acima Holdings and continue to maintain the quality of existing offerings and (ii) successfully introduce other new product or service offerings on a timely and cost-effective basis;</w:t>
      </w:r>
    </w:p>
    <w:p>
      <w:pPr>
        <w:spacing w:after="0" w:line="21" w:lineRule="exact"/>
        <w:rPr>
          <w:rFonts w:ascii="Arial" w:cs="Arial" w:eastAsia="Arial" w:hAnsi="Arial"/>
          <w:sz w:val="18"/>
          <w:szCs w:val="18"/>
          <w:color w:val="auto"/>
        </w:rPr>
      </w:pPr>
    </w:p>
    <w:p>
      <w:pPr>
        <w:ind w:left="660" w:right="20" w:hanging="166"/>
        <w:spacing w:after="0" w:line="27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future cash requirements as a result of the Acima Holdings acquisition, whether caused by unanticipated increases in capital expenditures or working capital needs, unanticipated liabilities or otherwise;</w:t>
      </w:r>
    </w:p>
    <w:p>
      <w:pPr>
        <w:spacing w:after="0" w:line="8" w:lineRule="exact"/>
        <w:rPr>
          <w:rFonts w:ascii="Arial" w:cs="Arial" w:eastAsia="Arial" w:hAnsi="Arial"/>
          <w:sz w:val="18"/>
          <w:szCs w:val="18"/>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identify potential acquisition candidates, complete acquisitions and successfully integrate acquired companies;</w:t>
      </w:r>
    </w:p>
    <w:p>
      <w:pPr>
        <w:spacing w:after="0" w:line="11" w:lineRule="exact"/>
        <w:rPr>
          <w:rFonts w:ascii="Arial" w:cs="Arial" w:eastAsia="Arial" w:hAnsi="Arial"/>
          <w:sz w:val="18"/>
          <w:szCs w:val="18"/>
          <w:color w:val="auto"/>
        </w:rPr>
      </w:pPr>
    </w:p>
    <w:p>
      <w:pPr>
        <w:jc w:val="both"/>
        <w:ind w:left="660" w:hanging="166"/>
        <w:spacing w:after="0" w:line="246"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impact of the COVID-19 pandemic and related government and regulatory restrictions issued to combat the pandemic, including adverse changes in such restrictions, the expiration of governmental stimulus programs, and impacts on (i) demand for our lease-to-own products offered in our operating segments, (ii) our Acima retail partners, (iii) our customers and their willingness and ability to satisfy their lease obligations,</w:t>
      </w:r>
    </w:p>
    <w:p>
      <w:pPr>
        <w:spacing w:after="0" w:line="1" w:lineRule="exact"/>
        <w:rPr>
          <w:rFonts w:ascii="Arial" w:cs="Arial" w:eastAsia="Arial" w:hAnsi="Arial"/>
          <w:sz w:val="16"/>
          <w:szCs w:val="16"/>
          <w:color w:val="auto"/>
        </w:rPr>
      </w:pPr>
    </w:p>
    <w:p>
      <w:pPr>
        <w:ind w:left="660" w:hanging="4"/>
        <w:spacing w:after="0" w:line="219" w:lineRule="auto"/>
        <w:tabs>
          <w:tab w:leader="none" w:pos="9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our suppliers' ability to satisfy our merchandise needs and related supply chain disruptions, (v) our employees, including our ability to adequately staff our operating locations, (vi) our financial and operational performance, and (vii) our liquidity;</w:t>
      </w:r>
    </w:p>
    <w:p>
      <w:pPr>
        <w:ind w:left="660" w:hanging="166"/>
        <w:spacing w:after="0" w:line="23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general strength of the economy and other economic conditions affecting consumer preferences and spending, including the availability of credit to our target consumers, impacts from the high level of inflation, and possible recession;</w:t>
      </w:r>
    </w:p>
    <w:p>
      <w:pPr>
        <w:spacing w:after="0" w:line="27"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factors affecting the disposable income available to our current and potential customers;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unemployment rate;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market conditions, including availability of funding sources for us;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encountered in improving the financial and operational performance of our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pricing changes and strategies being deployed in our businesses;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continue to realize benefits from our initiatives regarding cost-savings and other EBITDA enhancements, efficiencies and working capital improvements;</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continue to effectively execute our strategic initiatives, including mitigating risks associated with any potential mergers and acquisitions, or refranchising opportunities;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manage our store labor and other store expenses, including merchandise losses;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caused by the operation of our store information management systems or disruptions in the systems of our host retailers;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our virtual lease-to-own business, including our ability to continue to develop and successfully implement the necessary technologies;</w:t>
      </w:r>
    </w:p>
    <w:p>
      <w:pPr>
        <w:spacing w:after="0" w:line="8" w:lineRule="exact"/>
        <w:rPr>
          <w:rFonts w:ascii="Arial" w:cs="Arial" w:eastAsia="Arial" w:hAnsi="Arial"/>
          <w:sz w:val="18"/>
          <w:szCs w:val="18"/>
          <w:color w:val="auto"/>
        </w:rPr>
      </w:pPr>
    </w:p>
    <w:p>
      <w:pPr>
        <w:ind w:left="166" w:hanging="166"/>
        <w:spacing w:after="0" w:line="251" w:lineRule="auto"/>
        <w:tabs>
          <w:tab w:leader="none" w:pos="1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achieve the benefits expected from our integrated virtual and staffed retail partner offering and to successfully grow this business segment;</w:t>
      </w:r>
    </w:p>
    <w:p>
      <w:pPr>
        <w:spacing w:after="0" w:line="1" w:lineRule="exact"/>
        <w:rPr>
          <w:rFonts w:ascii="Arial" w:cs="Arial" w:eastAsia="Arial" w:hAnsi="Arial"/>
          <w:sz w:val="18"/>
          <w:szCs w:val="18"/>
          <w:color w:val="auto"/>
        </w:rPr>
      </w:pPr>
    </w:p>
    <w:p>
      <w:pPr>
        <w:ind w:left="166" w:hanging="166"/>
        <w:spacing w:after="0" w:line="233" w:lineRule="auto"/>
        <w:tabs>
          <w:tab w:leader="none" w:pos="1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potential operating margin degradation due to the higher cost of merchandise in our Acima offering and higher merchandise losses than compared to our Rent-A-Center Business segment;</w:t>
      </w:r>
    </w:p>
    <w:p>
      <w:pPr>
        <w:spacing w:after="0" w:line="27"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our transition to more-readily scalable “cloud-based” solutions;</w:t>
      </w:r>
    </w:p>
    <w:p>
      <w:pPr>
        <w:spacing w:after="0" w:line="63" w:lineRule="exact"/>
        <w:rPr>
          <w:rFonts w:ascii="Arial" w:cs="Arial" w:eastAsia="Arial" w:hAnsi="Arial"/>
          <w:sz w:val="18"/>
          <w:szCs w:val="18"/>
          <w:i w:val="1"/>
          <w:iCs w:val="1"/>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and successfully implement digital or E-commerce capabilities, including mobile applications;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protect our proprietary intellectual property;</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or that of our host retailers to protect the integrity and security of customer, employee and host retailer information, which may be adversely affected by hacking, computer viruses, or similar disruptions;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in our supply chain;</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of, or disruptions in, our distribution network;</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rapid inflation or deflation in the prices of our products and other related costs;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execute and the effectiveness of store consolidations, including our ability to retain the revenue from customer accounts merged into another store location as a result of a store consolidation;</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available cash flow and our ability to generate sufficient cash flow to continue paying dividends;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competition from traditional competitors, virtual lease-to-own competitors, online retailers, Buy-Now-Pay-Later and other Fintech companies and other competitors, including subprime lenders;</w:t>
      </w:r>
    </w:p>
    <w:p>
      <w:pPr>
        <w:spacing w:after="0" w:line="8"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identify and successfully market products and services that appeal to our current and future targeted customer segments and to accurately estimate the size of the total addressable market;</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consumer preferences and perceptions of our brands;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retain the revenue associated with acquired customer accounts and enhance the performance of acquired stores;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enter into new and collect on our rental or lease purchase agreements;</w:t>
      </w:r>
    </w:p>
    <w:p>
      <w:pPr>
        <w:spacing w:after="0" w:line="63" w:lineRule="exact"/>
        <w:rPr>
          <w:rFonts w:ascii="Arial" w:cs="Arial" w:eastAsia="Arial" w:hAnsi="Arial"/>
          <w:sz w:val="18"/>
          <w:szCs w:val="18"/>
          <w:color w:val="auto"/>
        </w:rPr>
      </w:pPr>
    </w:p>
    <w:p>
      <w:pPr>
        <w:jc w:val="both"/>
        <w:ind w:left="166" w:hanging="166"/>
        <w:spacing w:after="0" w:line="263" w:lineRule="auto"/>
        <w:tabs>
          <w:tab w:leader="none" w:pos="1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enforcement of existing laws and regulations and the enactment of new laws and regulations adversely affecting our business, including any legislative or regulatory enforcement efforts that seek to re-characterize store-based or virtual lease-to-own transactions as credit sales and to apply consumer credit laws and regulations to our business;</w:t>
      </w:r>
    </w:p>
    <w:p>
      <w:pPr>
        <w:spacing w:after="0" w:line="21"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compliance with applicable statutes or regulations governing our businesses;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tariff policies;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changes in the economic conditions of the industries, countries or markets that we serve;</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technology and data security costs;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any breaches in data security or other disturbances to our information technology and other networks;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estimates relating to self-insurance liabilities and income tax and litigation reserves;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 including in connection with the integration of Acima;</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or administrative proceedings to which we are or may be a party to from time to time; and</w:t>
      </w:r>
    </w:p>
    <w:p>
      <w:pPr>
        <w:sectPr>
          <w:pgSz w:w="11900" w:h="16838" w:orient="portrait"/>
          <w:cols w:equalWidth="0" w:num="1">
            <w:col w:w="10746"/>
          </w:cols>
          <w:pgMar w:left="814"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74"/>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89" w:right="339" w:bottom="1440" w:gutter="0" w:footer="0" w:header="0"/>
          <w:type w:val="continuous"/>
        </w:sectPr>
      </w:pPr>
    </w:p>
    <w:bookmarkStart w:id="26" w:name="page27"/>
    <w:bookmarkEnd w:id="26"/>
    <w:p>
      <w:pPr>
        <w:ind w:left="660" w:right="20" w:hanging="166"/>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other risks detailed from time to time in our reports furnished or filed with the United States Securities and Exchange Commission (the “SEC”).</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 important factors that could cause our actual results to differ materially from our expectations are discussed under the section “</w:t>
      </w:r>
      <w:r>
        <w:rPr>
          <w:rFonts w:ascii="Arial" w:cs="Arial" w:eastAsia="Arial" w:hAnsi="Arial"/>
          <w:sz w:val="17"/>
          <w:szCs w:val="17"/>
          <w:i w:val="1"/>
          <w:iCs w:val="1"/>
          <w:color w:val="auto"/>
        </w:rPr>
        <w:t>Risk Factors</w:t>
      </w:r>
      <w:r>
        <w:rPr>
          <w:rFonts w:ascii="Arial" w:cs="Arial" w:eastAsia="Arial" w:hAnsi="Arial"/>
          <w:sz w:val="17"/>
          <w:szCs w:val="17"/>
          <w:color w:val="auto"/>
        </w:rPr>
        <w:t>” in our Annual Report on Form 10-K for the year ended December 31, 2021 and elsewhere in this Quarterly Report on Form 10-Q.</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are a leading lease-to-own provider with operations in the United States, Puerto Rico and Mexico. We provide a critical service for a large portion of underserved consumers by providing them with access to, and the opportunity to obtain ownership of, high-quality, durable products via small payments over time under a flexible lease-purchase agreement with no long-term debt obligation. Through our Rent-A-Center Business, we provide a fully integrated customer experience through our e-commerce platform and brick and mortar presence. Our Acima business offers lease-to-own solutions through retailers in stores and online enabling such retailers to grow sales by expanding their customer base utilizing our differentiated offering. We were incorporated in the State of Delaware in 1986, and our common stock is traded on the Nasdaq Global Select Market under the ticker symbol </w:t>
      </w:r>
      <w:r>
        <w:rPr>
          <w:rFonts w:ascii="Arial" w:cs="Arial" w:eastAsia="Arial" w:hAnsi="Arial"/>
          <w:sz w:val="16"/>
          <w:szCs w:val="16"/>
          <w:i w:val="1"/>
          <w:iCs w:val="1"/>
          <w:color w:val="auto"/>
        </w:rPr>
        <w:t>“</w:t>
      </w:r>
      <w:r>
        <w:rPr>
          <w:rFonts w:ascii="Arial" w:cs="Arial" w:eastAsia="Arial" w:hAnsi="Arial"/>
          <w:sz w:val="16"/>
          <w:szCs w:val="16"/>
          <w:color w:val="auto"/>
        </w:rPr>
        <w:t>RCII.</w:t>
      </w:r>
      <w:r>
        <w:rPr>
          <w:rFonts w:ascii="Arial" w:cs="Arial" w:eastAsia="Arial" w:hAnsi="Arial"/>
          <w:sz w:val="16"/>
          <w:szCs w:val="16"/>
          <w:i w:val="1"/>
          <w:iCs w:val="1"/>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focused on growing our business model through emphasis on the following key initiatives:</w:t>
      </w:r>
    </w:p>
    <w:p>
      <w:pPr>
        <w:spacing w:after="0" w:line="63" w:lineRule="exact"/>
        <w:rPr>
          <w:sz w:val="20"/>
          <w:szCs w:val="20"/>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executing on market opportunities and enhancing our competitive position across both traditional and virtual lease-to-own solutions;</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accelerating the shift to e-commerce, expanding product categories, including into emerging product categories, and improving the fully integrated customer experience;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using technology to support frictionless retailer onboarding with seamless integration to retailers′ platforms;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continuing to generate repeat business while expanding our potential customer base;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leveraging the integration of the Acima Holdings decision engine and expanding digital payments and communication channels; and</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generating favorable adjusted EBITDA margin and strong free cash flow to fund strategic priorities and deliver and return capital to shareholders.</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we pursue our strategy, we may take advantage of merger and acquisition opportunities from time to time that advance our key initiatives, and engage in discussions regarding these opportunities, which could include mergers, consolidations or acquisitions or dispositions or other transactions, although there can be no assurance that any such activities will be consummated.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7, 2022, we announced that our board of directors approved a quarterly cash dividend of $0.34 per share for the second quarter of 2022. The dividend was paid on July 12, 2022 to our common stockholders of record as of the close of business on June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b w:val="1"/>
          <w:bCs w:val="1"/>
          <w:i w:val="1"/>
          <w:iCs w:val="1"/>
          <w:color w:val="auto"/>
        </w:rPr>
        <w:t>Business and Operational Trends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COVID-19 Pandemic. </w:t>
      </w:r>
      <w:r>
        <w:rPr>
          <w:rFonts w:ascii="Arial" w:cs="Arial" w:eastAsia="Arial" w:hAnsi="Arial"/>
          <w:sz w:val="18"/>
          <w:szCs w:val="18"/>
          <w:color w:val="auto"/>
        </w:rPr>
        <w:t>Beginning in the first quarter of 2020, the worldwide spread of COVID-19 caused significant disruptions to the U.S. and world</w:t>
      </w:r>
      <w:r>
        <w:rPr>
          <w:rFonts w:ascii="Arial" w:cs="Arial" w:eastAsia="Arial" w:hAnsi="Arial"/>
          <w:sz w:val="18"/>
          <w:szCs w:val="18"/>
          <w:i w:val="1"/>
          <w:iCs w:val="1"/>
          <w:color w:val="auto"/>
        </w:rPr>
        <w:t xml:space="preserve"> </w:t>
      </w:r>
      <w:r>
        <w:rPr>
          <w:rFonts w:ascii="Arial" w:cs="Arial" w:eastAsia="Arial" w:hAnsi="Arial"/>
          <w:sz w:val="18"/>
          <w:szCs w:val="18"/>
          <w:color w:val="auto"/>
        </w:rPr>
        <w:t>economies, as a result of U.S. state and local and foreign jurisdictions implementing various containment or mitigation measures, including temporary shelter-in-place orders and the temporary closure of non-essential businesses. Despite the availability of COVID-19 vaccines, the number of COVID-19 cases has increased at various times over the course of the pandemic resulting in certain governmental authorities imposing or re-imposing certain restrictions on businesses.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response to COVID-19, the U.S. government enacted the Coronavirus Aid, Relief, and Economic Security Act (the “CARES Act”), providing U.S. citizens and businesses with various stimulus and income tax relief benefits throughout 2020 and early 2021 to help offset immediate negative financial impacts sustained as a result of COVID-19. In addition, we proactively implemented certain response measures, including the implementation of certain cost savings initiatives following the onset of the pandemic and providing our Rent-A-Center Business and Acima customers with additional electronic payment methods to facilitate contactless transactions. These response measures resulted in improved customer payment behaviors contributing to higher revenues and lower merchandise losses in 2020 and the first half of 2021. However, in the third quarter of 2021 we began to see negative trends in customer behavior, payment and loss activity, which were accelerated in the fourth quarter of 2021, as a result of lower discretionary income levels for our consumers following the expiration of government stimulus and relief programs combined with a significant rise in the US consumer price index. These trends continued to negatively impact our business during the first half of 2022.</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Other Macroeconomic Conditions. </w:t>
      </w:r>
      <w:r>
        <w:rPr>
          <w:rFonts w:ascii="Arial" w:cs="Arial" w:eastAsia="Arial" w:hAnsi="Arial"/>
          <w:sz w:val="17"/>
          <w:szCs w:val="17"/>
          <w:color w:val="auto"/>
        </w:rPr>
        <w:t>In addition to the above, we believe that we have been impacted by other negative macroeconomic trends, including a</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condensed labor market, wage inflation, and global supply chain issues resulting in reduced product availability and rising product costs.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Changes in underwriting. </w:t>
      </w:r>
      <w:r>
        <w:rPr>
          <w:rFonts w:ascii="Arial" w:cs="Arial" w:eastAsia="Arial" w:hAnsi="Arial"/>
          <w:sz w:val="18"/>
          <w:szCs w:val="18"/>
          <w:color w:val="auto"/>
        </w:rPr>
        <w:t>In our Acima segment, we implemented changes to our underwriting process during the first half of 2022 designed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risk management of our lease portfolio, taking into consideration recent increases in inflation levels and the corresponding pressure on the discretionary income of our consumers.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lease-to-own industry has historically remained a resilient business model throughout various economic cycles, providing credit constrained customers with a viable option to obtain merchandise they may not otherwise be able to obtain, at this time we are unable to predict the full extent to which our risk management strategy, consumer spending behavior, other macro-economic trends, may impact our business in future periods.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“Risk Factors” in Part I, Item 1A in our Annual Report on Form 10-K for the year ended December 31, 2021, for additional discussion of operational impacts to our business and additional risks associated with COVID-19 and these macroeconomic conditions.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focuses on our results of operations and our liquidity and capital resources. You should read this discussion in conjunction with the condensed consolidated financial statements and notes thereto for the three and six months ended June 30, 2022 included in Part I, Item I of this Quarterly Report on Form 10-Q.</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briefly summarizes certain of our financial information for the six months ended June 30, 2022 as compared to the six months ended June 30, 2021.</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first six months of 2022, consolidated revenues increased approximately $0.2 million, while operating profit decreased approximately $107.4 million, primarily due to a decrease in gross profit, and increases in other store expenses, and labor described further below.</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in our Rent-A-Center Business segment decreased approximately $22.0 million for the six months ended June 30, 2022, primarily due to a decrease in same store sales. Operating profit decreased approximately $48.5 million for the six months ended June 30, 2022, primarily due to lower revenues, increased labor costs and higher merchandise losses.</w:t>
      </w:r>
    </w:p>
    <w:p>
      <w:pPr>
        <w:spacing w:after="0" w:line="7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Acima segment revenues increased approximately $36.8 million for the six months ended June 30, 2022, driven primarily by the acquisition of Acima Holdings. However, operating profit decreased approximately $47.5 million for the six months ended June 30, 2022, primarily due to a decrease in gross profit and higher merchandise losses, partially offset by decreases in labor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8" w:name="page29"/>
    <w:bookmarkEnd w:id="28"/>
    <w:p>
      <w:pPr>
        <w:spacing w:after="0" w:line="308" w:lineRule="auto"/>
        <w:rPr>
          <w:sz w:val="20"/>
          <w:szCs w:val="20"/>
          <w:color w:val="auto"/>
        </w:rPr>
      </w:pPr>
      <w:r>
        <w:rPr>
          <w:rFonts w:ascii="Arial" w:cs="Arial" w:eastAsia="Arial" w:hAnsi="Arial"/>
          <w:sz w:val="17"/>
          <w:szCs w:val="17"/>
          <w:color w:val="auto"/>
        </w:rPr>
        <w:t>The Mexico segment revenues increased by 8.9% for the six months ended June 30, 2022, contributing to an increase in gross profit of 8.9%, or $1.9 million. Operating profit, however, decreased $0.4 million for the six months ended June 30, 2022, primarily due to increases in operating expenses.</w:t>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Revenues for the Franchising segment decreased $17.2 million for the six months ended June 30, 2022, primarily due to lower inventory purchases by franchisees. Operating profit decreased $0.6 million for the six months ended June 30, 2022.</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flow from operations was $287.1 million for the six months ended June 30, 2022. As of June 30, 2022, we held $112.2 million of cash and cash equivalents and outstanding indebtedness of $1.4 billion.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reference for the discussion that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4"/>
        </w:trPr>
        <w:tc>
          <w:tcPr>
            <w:tcW w:w="2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7"/>
              </w:rPr>
              <w:t>Change</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r>
      <w:tr>
        <w:trPr>
          <w:trHeight w:val="188"/>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r>
      <w:tr>
        <w:trPr>
          <w:trHeight w:val="19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3"/>
        </w:trPr>
        <w:tc>
          <w:tcPr>
            <w:tcW w:w="2960" w:type="dxa"/>
            <w:vAlign w:val="bottom"/>
          </w:tcPr>
          <w:p>
            <w:pPr>
              <w:ind w:left="140"/>
              <w:spacing w:after="0"/>
              <w:rPr>
                <w:sz w:val="20"/>
                <w:szCs w:val="20"/>
                <w:color w:val="auto"/>
              </w:rPr>
            </w:pPr>
            <w:r>
              <w:rPr>
                <w:rFonts w:ascii="Arial" w:cs="Arial" w:eastAsia="Arial" w:hAnsi="Arial"/>
                <w:sz w:val="16"/>
                <w:szCs w:val="16"/>
                <w:color w:val="auto"/>
              </w:rPr>
              <w:t>Store</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Rentals and fees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857,298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1,661,939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13"/>
        </w:trPr>
        <w:tc>
          <w:tcPr>
            <w:tcW w:w="296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160,769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221,229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(60,460)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393,649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454,022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(60,373)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9"/>
        </w:trPr>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Installment sales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2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20.7 %</w:t>
            </w:r>
          </w:p>
        </w:tc>
      </w:tr>
      <w:tr>
        <w:trPr>
          <w:trHeight w:val="213"/>
        </w:trPr>
        <w:tc>
          <w:tcPr>
            <w:tcW w:w="2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store revenue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1,037,683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1,156,860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(119,177)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2,171,989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2,153,878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13"/>
        </w:trPr>
        <w:tc>
          <w:tcPr>
            <w:tcW w:w="2960" w:type="dxa"/>
            <w:vAlign w:val="bottom"/>
          </w:tcPr>
          <w:p>
            <w:pPr>
              <w:ind w:left="140"/>
              <w:spacing w:after="0"/>
              <w:rPr>
                <w:sz w:val="20"/>
                <w:szCs w:val="20"/>
                <w:color w:val="auto"/>
              </w:rPr>
            </w:pPr>
            <w:r>
              <w:rPr>
                <w:rFonts w:ascii="Arial" w:cs="Arial" w:eastAsia="Arial" w:hAnsi="Arial"/>
                <w:sz w:val="16"/>
                <w:szCs w:val="16"/>
                <w:color w:val="auto"/>
              </w:rPr>
              <w:t>Franchise</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13"/>
        </w:trPr>
        <w:tc>
          <w:tcPr>
            <w:tcW w:w="2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Royalty income and fees</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2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1,071,255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1,193,975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(122,720)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2,230,976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2,230,757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Store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2960" w:type="dxa"/>
            <w:vAlign w:val="bottom"/>
          </w:tcPr>
          <w:p>
            <w:pPr>
              <w:ind w:left="220"/>
              <w:spacing w:after="0"/>
              <w:rPr>
                <w:sz w:val="20"/>
                <w:szCs w:val="20"/>
                <w:color w:val="auto"/>
              </w:rPr>
            </w:pPr>
            <w:r>
              <w:rPr>
                <w:rFonts w:ascii="Arial" w:cs="Arial" w:eastAsia="Arial" w:hAnsi="Arial"/>
                <w:sz w:val="16"/>
                <w:szCs w:val="16"/>
                <w:color w:val="auto"/>
              </w:rPr>
              <w:t>Cost of rentals and fees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319,943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320,873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658,576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567,908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90,668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16.0 %</w:t>
            </w:r>
          </w:p>
        </w:tc>
      </w:tr>
      <w:tr>
        <w:trPr>
          <w:trHeight w:val="219"/>
        </w:trPr>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merchandise sold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489,959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3"/>
        </w:trPr>
        <w:tc>
          <w:tcPr>
            <w:tcW w:w="2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Cost of installment sales</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0.6 %</w:t>
            </w:r>
          </w:p>
        </w:tc>
      </w:tr>
      <w:tr>
        <w:trPr>
          <w:trHeight w:val="213"/>
        </w:trPr>
        <w:tc>
          <w:tcPr>
            <w:tcW w:w="2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cost of store revenues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576,960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1,106,989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1,070,142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13"/>
        </w:trPr>
        <w:tc>
          <w:tcPr>
            <w:tcW w:w="29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Franchise cost of merchandise sold</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29,543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45,349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62,620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(27.6)%</w:t>
            </w:r>
          </w:p>
        </w:tc>
      </w:tr>
      <w:tr>
        <w:trPr>
          <w:trHeight w:val="213"/>
        </w:trPr>
        <w:tc>
          <w:tcPr>
            <w:tcW w:w="2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cost of revenues</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538,711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606,503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(67,792)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1,152,338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1,132,762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06"/>
        </w:trPr>
        <w:tc>
          <w:tcPr>
            <w:tcW w:w="2960" w:type="dxa"/>
            <w:vAlign w:val="bottom"/>
          </w:tcPr>
          <w:p>
            <w:pPr>
              <w:ind w:left="22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532,544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587,472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(54,928)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1,078,638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5"/>
              </w:rPr>
              <w:t>1,097,995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2960" w:type="dxa"/>
            <w:vAlign w:val="bottom"/>
          </w:tcPr>
          <w:p>
            <w:pPr>
              <w:ind w:left="14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Labor</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13"/>
        </w:trPr>
        <w:tc>
          <w:tcPr>
            <w:tcW w:w="2960" w:type="dxa"/>
            <w:vAlign w:val="bottom"/>
          </w:tcPr>
          <w:p>
            <w:pPr>
              <w:ind w:left="220"/>
              <w:spacing w:after="0"/>
              <w:rPr>
                <w:sz w:val="20"/>
                <w:szCs w:val="20"/>
                <w:color w:val="auto"/>
              </w:rPr>
            </w:pPr>
            <w:r>
              <w:rPr>
                <w:rFonts w:ascii="Arial" w:cs="Arial" w:eastAsia="Arial" w:hAnsi="Arial"/>
                <w:sz w:val="16"/>
                <w:szCs w:val="16"/>
                <w:color w:val="auto"/>
              </w:rPr>
              <w:t>Other store expenses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199,091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181,012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18,079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426,459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351,145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75,314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21.4 %</w:t>
            </w:r>
          </w:p>
        </w:tc>
      </w:tr>
      <w:tr>
        <w:trPr>
          <w:trHeight w:val="219"/>
        </w:trPr>
        <w:tc>
          <w:tcPr>
            <w:tcW w:w="2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29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26,959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charges</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72,653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123,772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7"/>
        </w:trPr>
        <w:tc>
          <w:tcPr>
            <w:tcW w:w="2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474,463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480,953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1,009,515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921,430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88,085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9.6 %</w:t>
            </w:r>
          </w:p>
        </w:tc>
      </w:tr>
      <w:tr>
        <w:trPr>
          <w:trHeight w:val="213"/>
        </w:trPr>
        <w:tc>
          <w:tcPr>
            <w:tcW w:w="2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profit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r>
      <w:tr>
        <w:trPr>
          <w:trHeight w:val="213"/>
        </w:trPr>
        <w:tc>
          <w:tcPr>
            <w:tcW w:w="2960" w:type="dxa"/>
            <w:vAlign w:val="bottom"/>
          </w:tcPr>
          <w:p>
            <w:pPr>
              <w:ind w:left="180"/>
              <w:spacing w:after="0"/>
              <w:rPr>
                <w:sz w:val="20"/>
                <w:szCs w:val="20"/>
                <w:color w:val="auto"/>
              </w:rPr>
            </w:pPr>
            <w:r>
              <w:rPr>
                <w:rFonts w:ascii="Arial" w:cs="Arial" w:eastAsia="Arial" w:hAnsi="Arial"/>
                <w:sz w:val="16"/>
                <w:szCs w:val="16"/>
                <w:color w:val="auto"/>
              </w:rPr>
              <w:t>Debt refinancing charges</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net</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20,391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32,307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17.4 %</w:t>
            </w:r>
          </w:p>
        </w:tc>
      </w:tr>
      <w:tr>
        <w:trPr>
          <w:trHeight w:val="207"/>
        </w:trPr>
        <w:tc>
          <w:tcPr>
            <w:tcW w:w="2960" w:type="dxa"/>
            <w:vAlign w:val="bottom"/>
          </w:tcPr>
          <w:p>
            <w:pPr>
              <w:ind w:left="400"/>
              <w:spacing w:after="0"/>
              <w:rPr>
                <w:sz w:val="20"/>
                <w:szCs w:val="20"/>
                <w:color w:val="auto"/>
              </w:rPr>
            </w:pPr>
            <w:r>
              <w:rPr>
                <w:rFonts w:ascii="Arial" w:cs="Arial" w:eastAsia="Arial" w:hAnsi="Arial"/>
                <w:sz w:val="16"/>
                <w:szCs w:val="16"/>
                <w:color w:val="auto"/>
              </w:rPr>
              <w:t>Earnings before income taxes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39,084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86,128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(47,044)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31,202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135,515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(104,313)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(77.0)%</w:t>
            </w: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31,654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r>
      <w:tr>
        <w:trPr>
          <w:trHeight w:val="213"/>
        </w:trPr>
        <w:tc>
          <w:tcPr>
            <w:tcW w:w="2960" w:type="dxa"/>
            <w:vAlign w:val="bottom"/>
          </w:tcPr>
          <w:p>
            <w:pPr>
              <w:ind w:left="220"/>
              <w:spacing w:after="0"/>
              <w:rPr>
                <w:sz w:val="20"/>
                <w:szCs w:val="20"/>
                <w:color w:val="auto"/>
              </w:rPr>
            </w:pPr>
            <w:r>
              <w:rPr>
                <w:rFonts w:ascii="Arial" w:cs="Arial" w:eastAsia="Arial" w:hAnsi="Arial"/>
                <w:sz w:val="16"/>
                <w:szCs w:val="16"/>
                <w:color w:val="auto"/>
              </w:rPr>
              <w:t>Net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61,309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(41,584)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103,861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(85.1)%</w:t>
            </w: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b w:val="1"/>
          <w:bCs w:val="1"/>
          <w:i w:val="1"/>
          <w:iCs w:val="1"/>
          <w:color w:val="auto"/>
        </w:rPr>
        <w:t>Three Months Ended June 30, 2022, compared to Three Months Ended June 30, 2021</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Store Revenue. </w:t>
      </w:r>
      <w:r>
        <w:rPr>
          <w:rFonts w:ascii="Arial" w:cs="Arial" w:eastAsia="Arial" w:hAnsi="Arial"/>
          <w:sz w:val="16"/>
          <w:szCs w:val="16"/>
          <w:color w:val="auto"/>
        </w:rPr>
        <w:t>Total store revenue decreased by $119.2 million, or 10.3%, to $1,037.7 million for the three months ended June 30, 2022, from</w:t>
      </w:r>
      <w:r>
        <w:rPr>
          <w:rFonts w:ascii="Arial" w:cs="Arial" w:eastAsia="Arial" w:hAnsi="Arial"/>
          <w:sz w:val="16"/>
          <w:szCs w:val="16"/>
          <w:i w:val="1"/>
          <w:iCs w:val="1"/>
          <w:color w:val="auto"/>
        </w:rPr>
        <w:t xml:space="preserve"> </w:t>
      </w:r>
      <w:r>
        <w:rPr>
          <w:rFonts w:ascii="Arial" w:cs="Arial" w:eastAsia="Arial" w:hAnsi="Arial"/>
          <w:sz w:val="16"/>
          <w:szCs w:val="16"/>
          <w:color w:val="auto"/>
        </w:rPr>
        <w:t>$1,156.9 million for the three months ended June 30, 2021. This increase was primarily due to decreases of approximately $105.1 million and $15.6 million in revenues in the Acima and Rent-A-Center Business segments, respectively, as discussed further in the section “Segment Performance” below.</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Rentals and Fees. </w:t>
      </w:r>
      <w:r>
        <w:rPr>
          <w:rFonts w:ascii="Arial" w:cs="Arial" w:eastAsia="Arial" w:hAnsi="Arial"/>
          <w:sz w:val="18"/>
          <w:szCs w:val="18"/>
          <w:color w:val="auto"/>
        </w:rPr>
        <w:t>Cost of rentals and fees consists primarily of depreciation of rental merchandise. Cost of rentals and fees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2022, decreased by $1.0 million, or 0.3%, to $319.9 million as compared to $320.9 million in 2021. The decrease was primarily attributable to a decrease of $2.8 million in the Acima segment, partially offset by an increase of $1.4 million in the Rent-A-Center Business segments, respectively. Cost of rentals and fees expressed as a percentage of rentals and fees revenue was 37.3% for the three months ended June 30, 2022, as compared to 35.0% in 2021.</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Cost of Merchandise Sold. </w:t>
      </w:r>
      <w:r>
        <w:rPr>
          <w:rFonts w:ascii="Arial" w:cs="Arial" w:eastAsia="Arial" w:hAnsi="Arial"/>
          <w:sz w:val="16"/>
          <w:szCs w:val="16"/>
          <w:color w:val="auto"/>
        </w:rPr>
        <w:t>Cost of merchandise sold decreased by $64.2 million, or 25.7%, to $185.7 million for the three months ended June 30, 2022,</w:t>
      </w:r>
      <w:r>
        <w:rPr>
          <w:rFonts w:ascii="Arial" w:cs="Arial" w:eastAsia="Arial" w:hAnsi="Arial"/>
          <w:sz w:val="16"/>
          <w:szCs w:val="16"/>
          <w:i w:val="1"/>
          <w:iCs w:val="1"/>
          <w:color w:val="auto"/>
        </w:rPr>
        <w:t xml:space="preserve"> </w:t>
      </w:r>
      <w:r>
        <w:rPr>
          <w:rFonts w:ascii="Arial" w:cs="Arial" w:eastAsia="Arial" w:hAnsi="Arial"/>
          <w:sz w:val="16"/>
          <w:szCs w:val="16"/>
          <w:color w:val="auto"/>
        </w:rPr>
        <w:t>from $249.9 million in 2021, primarily attributable to a decrease of $55.9 million and $8.1 million in the Acima and Rent-A-Center Business segments, respectively. The gross margin percent of merchandise sales decreased to (15.5)% for the three months ended June 30, 2022, from (12.9)% in 2021.</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by $55.0 million, or 9.3%, to $532.5 million for the three months ended June 30, 2022, from $587.5 million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decreases of $46.3 million and $9.1 million in the Acima and Rent-A-Center Business segments, respectively, as discussed further in the section “Segment Performance” below. Gross profit as a percentage of total revenue increased to 49.7% for the three months ended June 30, 2022, as compared to 49.2% in 2021.</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Store Labor. </w:t>
      </w:r>
      <w:r>
        <w:rPr>
          <w:rFonts w:ascii="Arial" w:cs="Arial" w:eastAsia="Arial" w:hAnsi="Arial"/>
          <w:sz w:val="18"/>
          <w:szCs w:val="18"/>
          <w:color w:val="auto"/>
        </w:rPr>
        <w:t>Store labor increased by $4.7 million, or 2.9%, to $164.0 million, for the three months ended June 30, 2022, as compared to $159.3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2021, primarily due to an increase of $7.7 million in the Rent-A-Center Business segment, partially offset by a decrease of $3.6 million in the Acima segment, as discussed further in the section “Segment Performance” below. Store labor expressed as a percentage of total store revenue was 15.8% for the three months ended June 30, 2022, as compared to 13.8% in 2021.</w:t>
      </w:r>
    </w:p>
    <w:p>
      <w:pPr>
        <w:spacing w:after="0" w:line="7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 xml:space="preserve">Other Store Expenses. </w:t>
      </w:r>
      <w:r>
        <w:rPr>
          <w:rFonts w:ascii="Arial" w:cs="Arial" w:eastAsia="Arial" w:hAnsi="Arial"/>
          <w:sz w:val="16"/>
          <w:szCs w:val="16"/>
          <w:color w:val="auto"/>
        </w:rPr>
        <w:t>Other store expenses increased by $18.1 million, or 10.0%, to $199.1 million for the three months ended June 30, 2022,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$181.0 million in 2021, primarily due to increases of $6.6 million and $11.0 million in the Acima and Rent-A-Center Business segments, respectively. Other store expenses expressed as a percentage of total store revenue were 19.2% for the three months ended June 30, 2022, compared to 15.6% in 2021.</w:t>
      </w:r>
    </w:p>
    <w:p>
      <w:pPr>
        <w:spacing w:after="0" w:line="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decreased by $9.5 million, or 17.5%, to $44.9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2022, as compared to $54.4 million in 2021, primarily due to lower overhead labor and incentive compensation. General and administrative expenses expressed as a percentage of total revenue were 4.2% for the three months ended June 30, 2022, compared to 4.6% in 2021.</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Other Charges. </w:t>
      </w:r>
      <w:r>
        <w:rPr>
          <w:rFonts w:ascii="Arial" w:cs="Arial" w:eastAsia="Arial" w:hAnsi="Arial"/>
          <w:sz w:val="18"/>
          <w:szCs w:val="18"/>
          <w:color w:val="auto"/>
        </w:rPr>
        <w:t>Other charges decreased by $19.0 million, or 26.1%, to $53.7 million for the three months ended June 30, 2022,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$72.7 million in 2021. Other charges for the three months ended June 30, 2022 primarily included stock compensation expense related to the vesting of a portion of the equity consideration issued in the acquisition of Acima Holdings, depreciation and amortization of acquired software and intangible assets, state sales tax assessment reserves, and Acima retailer partner conversion losses. Other charges for the three months ended June 30, 2021 primarily included stock</w:t>
      </w:r>
    </w:p>
    <w:p>
      <w:pPr>
        <w:spacing w:after="0" w:line="3" w:lineRule="exact"/>
        <w:rPr>
          <w:sz w:val="20"/>
          <w:szCs w:val="20"/>
          <w:color w:val="auto"/>
        </w:rPr>
      </w:pPr>
    </w:p>
    <w:p>
      <w:pPr>
        <w:ind w:right="2180"/>
        <w:spacing w:after="0" w:line="255" w:lineRule="auto"/>
        <w:rPr>
          <w:sz w:val="20"/>
          <w:szCs w:val="20"/>
          <w:color w:val="auto"/>
        </w:rPr>
      </w:pPr>
      <w:r>
        <w:rPr>
          <w:rFonts w:ascii="Arial" w:cs="Arial" w:eastAsia="Arial" w:hAnsi="Arial"/>
          <w:sz w:val="18"/>
          <w:szCs w:val="18"/>
          <w:color w:val="auto"/>
        </w:rPr>
        <w:t>compensation expense related to equity consideration subject to vesting conditions, depreciation and amortization of acquired software and intangible assets, and other one-time transaction and integration costs related to the acquisition of Acima Holdings.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decreased by $48.4 million, to $58.1 million for the three months ended June 30, 2022, as compared to $106.5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primarily due to the decrease in gross profit, partially offset by a net decrease in operating expenses as described above. Operating profit expressed as a percentage of total revenue was 5.4% for the three months ended June 30, 2022, compared to 8.9% in 2021.</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for the three months ended June 30, 2022 was $19.4 million, as compared to $24.8 million in 2021. The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rate was 49.5% for the three months ended June 30, 2022, compared to 28.8% in 2021.</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2022, compared to Six Months Ended June 30, 2021</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Store Revenue. </w:t>
      </w:r>
      <w:r>
        <w:rPr>
          <w:rFonts w:ascii="Arial" w:cs="Arial" w:eastAsia="Arial" w:hAnsi="Arial"/>
          <w:sz w:val="18"/>
          <w:szCs w:val="18"/>
          <w:color w:val="auto"/>
        </w:rPr>
        <w:t>Total store revenue increased by $18.1 million, or 0.8%, to $2,172.0 million for the six months ended June 30, 2022, from $2,153.9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2021. The increase was primarily due to increases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approximately $36.8 million in the Acima segment, partially offset by a decrease of $22.0 million in the Rent-A-Center Business segment, as discussed further in the section “Segment Performance” below.</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Rentals and Fees. </w:t>
      </w:r>
      <w:r>
        <w:rPr>
          <w:rFonts w:ascii="Arial" w:cs="Arial" w:eastAsia="Arial" w:hAnsi="Arial"/>
          <w:sz w:val="18"/>
          <w:szCs w:val="18"/>
          <w:color w:val="auto"/>
        </w:rPr>
        <w:t>Cost of rentals and fees consists primarily of depreciation of rental merchandise. Cost of rentals and fees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2022, increased by $90.7 million, or 16.0%, to $658.6 million as compared to $567.9 million in 2021. This increase in cost of rentals and fees was primarily attributable to increases of $84.3 million and $5.5 million in the Acima and Rent-A-Center Business segments, respectively. Cost of rentals and fees expressed as a percentage of rentals and fees revenue increased to 37.8% for the six months ended June 30, 2022 as compared to 34.2% in 2021.</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Cost of Merchandise Sold. </w:t>
      </w:r>
      <w:r>
        <w:rPr>
          <w:rFonts w:ascii="Arial" w:cs="Arial" w:eastAsia="Arial" w:hAnsi="Arial"/>
          <w:sz w:val="17"/>
          <w:szCs w:val="17"/>
          <w:color w:val="auto"/>
        </w:rPr>
        <w:t>Cost of merchandise sold decreased by $53.9 million, or 11.0%, to $436.1 million for the six months ended June 30, 2022, from</w:t>
      </w:r>
      <w:r>
        <w:rPr>
          <w:rFonts w:ascii="Arial" w:cs="Arial" w:eastAsia="Arial" w:hAnsi="Arial"/>
          <w:sz w:val="17"/>
          <w:szCs w:val="17"/>
          <w:i w:val="1"/>
          <w:iCs w:val="1"/>
          <w:color w:val="auto"/>
        </w:rPr>
        <w:t xml:space="preserve"> </w:t>
      </w:r>
      <w:r>
        <w:rPr>
          <w:rFonts w:ascii="Arial" w:cs="Arial" w:eastAsia="Arial" w:hAnsi="Arial"/>
          <w:sz w:val="17"/>
          <w:szCs w:val="17"/>
          <w:color w:val="auto"/>
        </w:rPr>
        <w:t>$490.0 million in 2021, primarily attributable to decreases of $31.2 million and $22.6 million in the Acima and Rent-A-Center Business segments, respectively. The gross margin percent of merchandise sales decreased to (10.8)% for the six months ended June 30, 2022, from (7.9)% in 2021.</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by $19.4 million, or 1.8%, to $1,078.6 million for the six months ended June 30, 2022, from $1,098.0 million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decreases of $16.3 million and $4.9 million in the Acima and Rent-A-Center Business segments, respectively, as discussed further in the section “Segment Performance” below. Gross profit as a percentage of total revenue decreased to 48.3% for the six months ended June 30, 2022, as compared to 49.2% in 2021.</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Store Labor. </w:t>
      </w:r>
      <w:r>
        <w:rPr>
          <w:rFonts w:ascii="Arial" w:cs="Arial" w:eastAsia="Arial" w:hAnsi="Arial"/>
          <w:sz w:val="18"/>
          <w:szCs w:val="18"/>
          <w:color w:val="auto"/>
        </w:rPr>
        <w:t>Store labor increased by $14.6 million, or 4.6%, to $330.6 million, for the six months ended June 30, 2022, as compared to $316.0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2021, primarily attributable to an increase of $16.2 million in the Rent-A-Center Business segment, partially offset by a decrease of $2.6 million in the Acima segment, as discussed further in the section “Segment Performance” below. Store labor expressed as a percentage of total store revenue was 15.2% for the six months ended June 30, 2022, as compared to 14.7% in 2021.</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Other Store Expenses. </w:t>
      </w:r>
      <w:r>
        <w:rPr>
          <w:rFonts w:ascii="Arial" w:cs="Arial" w:eastAsia="Arial" w:hAnsi="Arial"/>
          <w:sz w:val="16"/>
          <w:szCs w:val="16"/>
          <w:color w:val="auto"/>
        </w:rPr>
        <w:t>Other store expenses increased by $75.4 million, to $426.5 million for the six months ended June 30, 2022,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$351.1 million in 2021, due to increases of $48.0 million and $26.2 million in the Acima and Rent-A-Center Business segments, respectively, primarily attributable to higher customer stolen merchandise losses and delivery expenses, as discussed further in the section “Segment Performance” below. Other store expenses expressed as a percentage of total store revenue were 19.6% for the six months ended June 30, 2022, compared to 16.3% in 2021.</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by $2.2 million, or 2.2%, to $101.3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2022, as compared to $103.5 million in 2021. General and administrative expenses expressed as a percentage of total revenue were 4.5% for the six months ended June 30, 2022, compared to 4.6% in 2021.</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Other Charges. </w:t>
      </w:r>
      <w:r>
        <w:rPr>
          <w:rFonts w:ascii="Arial" w:cs="Arial" w:eastAsia="Arial" w:hAnsi="Arial"/>
          <w:sz w:val="17"/>
          <w:szCs w:val="17"/>
          <w:color w:val="auto"/>
        </w:rPr>
        <w:t>Other charges of $123.8 million for the six months ended June 30, 2022 were flat compared to the same period in 2021. Other charges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2022 primarily included stock compensation expense related to the vesting of a portion of the equity consideration issued in the acquisition of Acima Holdings, depreciation and amortization of acquired software and intangible assets, software asset impairment, employee severance, state sales tax assessment reserves, and Acima retail partner conversion losses. Other charges for the six months ended June 30, 2021 primarily included one-time transaction and integration costs, stock compensation expense related to equity consideration subject to vesting conditions, and depreciation and amortization of acquired software and intangible assets, related to the acquisition of Acima Holdings, and one-time transaction and integration costs related to the acquisition of Acima Holdings.</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decreased by $107.5 million, to $69.1 million for the six months ended June 30, 2022, as compared to $176.6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primarily due to a decrease in gross profit, in addition to increases in labor and other store expenses, as described above. Operating profit expressed as a percentage of total revenue was 3.1% for the six months ended June 30, 2022, compared to 7.9% in 2021.</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for the six months ended June 30, 2022 was $15.7 million, as compared to $31.7 million in 2021, primarily due</w:t>
      </w:r>
      <w:r>
        <w:rPr>
          <w:rFonts w:ascii="Arial" w:cs="Arial" w:eastAsia="Arial" w:hAnsi="Arial"/>
          <w:sz w:val="17"/>
          <w:szCs w:val="17"/>
          <w:i w:val="1"/>
          <w:iCs w:val="1"/>
          <w:color w:val="auto"/>
        </w:rPr>
        <w:t xml:space="preserve"> </w:t>
      </w:r>
      <w:r>
        <w:rPr>
          <w:rFonts w:ascii="Arial" w:cs="Arial" w:eastAsia="Arial" w:hAnsi="Arial"/>
          <w:sz w:val="17"/>
          <w:szCs w:val="17"/>
          <w:color w:val="auto"/>
        </w:rPr>
        <w:t>to a decrease in earnings before taxes of approximately $104.3 million. The effective tax rate was 50.4% for the six months ended June 30, 2022, compared to 23.4% in 2021, primarily due to the difference between recorded goodwill and goodwill recognized for tax purposes, as a result of the Aggregate Stock Consideration from the Acima Holdings transaction subject to restricted stock agreements. In addition, the effective tax rate for the six months ended June 30, 2021, was further impacted by discrete income tax items related to excess tax benefits from the vesting of our annual restricted stock award grants and stock option exercises, and the release of domestic and foreign tax valuation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Six Months Ended</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484"/>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7"/>
              </w:rPr>
              <w:t>Change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490,185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505,834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1,008,690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1,030,700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348,060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357,187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711,440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716,356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199,284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Arial" w:cs="Arial" w:eastAsia="Arial" w:hAnsi="Arial"/>
                <w:sz w:val="16"/>
                <w:szCs w:val="16"/>
                <w:color w:val="auto"/>
              </w:rPr>
              <w:t>Change in same store revenue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Stores in same store revenue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1,753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221"/>
              <w:spacing w:after="0"/>
              <w:rPr>
                <w:sz w:val="20"/>
                <w:szCs w:val="20"/>
                <w:color w:val="auto"/>
              </w:rPr>
            </w:pPr>
            <w:r>
              <w:rPr>
                <w:rFonts w:ascii="Arial" w:cs="Arial" w:eastAsia="Arial" w:hAnsi="Arial"/>
                <w:sz w:val="16"/>
                <w:szCs w:val="16"/>
                <w:color w:val="auto"/>
                <w:w w:val="99"/>
              </w:rPr>
              <w:t>1,753</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80"/>
              <w:spacing w:after="0" w:line="213" w:lineRule="exact"/>
              <w:rPr>
                <w:sz w:val="20"/>
                <w:szCs w:val="20"/>
                <w:color w:val="auto"/>
              </w:rPr>
            </w:pPr>
            <w:r>
              <w:rPr>
                <w:rFonts w:ascii="Arial" w:cs="Arial" w:eastAsia="Arial" w:hAnsi="Arial"/>
                <w:sz w:val="16"/>
                <w:szCs w:val="16"/>
                <w:color w:val="auto"/>
              </w:rPr>
              <w:t>calculation</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40" w:firstLine="8"/>
        <w:spacing w:after="0" w:line="273" w:lineRule="auto"/>
        <w:tabs>
          <w:tab w:leader="none" w:pos="127"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Same store sales generally represents revenue earned in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30th full month following account transfer. Due to the COVID-19 pandemic and related temporary store closures, all 32 stores in Puerto Rico were excluded starting in March 2020 through March 2022.</w:t>
      </w:r>
    </w:p>
    <w:p>
      <w:pPr>
        <w:spacing w:after="0" w:line="2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The decrease in revenue for the three and six months ended June 30, 2022, as compared to 2021, was primarily due to a decrease in same store</w:t>
      </w:r>
      <w:r>
        <w:rPr>
          <w:rFonts w:ascii="Arial" w:cs="Arial" w:eastAsia="Arial" w:hAnsi="Arial"/>
          <w:sz w:val="17"/>
          <w:szCs w:val="17"/>
          <w:i w:val="1"/>
          <w:iCs w:val="1"/>
          <w:color w:val="auto"/>
        </w:rPr>
        <w:t xml:space="preserve"> </w:t>
      </w:r>
      <w:r>
        <w:rPr>
          <w:rFonts w:ascii="Arial" w:cs="Arial" w:eastAsia="Arial" w:hAnsi="Arial"/>
          <w:sz w:val="17"/>
          <w:szCs w:val="17"/>
          <w:color w:val="auto"/>
        </w:rPr>
        <w:t>sales revenue driven primarily by lower merchandise sales, as a result of less customers exercising early payout options. Merchandise sales benefited during the three and six months ended June 30, 2021 from government stimulus, but were negatively impacted during the three and six months ended June 30, 2022 due to higher inflation stemming from significant increases in the consumer price index.</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for the three and six months ended June 30, 2022, as compared to 2021, driven primarily by the decrease in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above. Gross profit as a percentage of segment revenues was 71.0% and 70.5% for the three and six months ended June 30, 2022, as compared to 70.6% and 69.5% for the corresponding period in 2021.</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as a percentage of segment revenues was 20.2% and 19.8% for the three and six months ended June 30, 2022,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25.0% and 24.0% for the corresponding period in 2021. The decrease in operating margin for the three and six months ended June 30, 2022, as compared to 2021, was partially driven by the decrease in revenues and gross profit described above, in addition to higher merchandise losses, and increases in labor and delivery expenses. Charge-offs in our Rent-A-Center Business lease-to-own stores due to customer stolen merchandise, expressed as a percentage of Rent-A-Center Business lease-to-own revenues, were approximately 4.2% and 4.1% for the three and six months ended June 30, 2022, compared to 2.3% and 2.5% for the corresponding period in 2021. Charge-offs in our Rent-A-Center Business lease-to-own stores due to other merchandise losses, expressed as a percentage of Rent-A-Center Business lease-to-own revenues, were approximately 1.6% and 1.7% for the three and six months ended June 30, 2022, compared to approximately 1.5% and 1.4% for the corresponding period in 2021. Other merchandise losses include unrepairable and missing merchandise, and loss/damage waiver claims.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Acima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4"/>
        </w:trPr>
        <w:tc>
          <w:tcPr>
            <w:tcW w:w="2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84"/>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r>
      <w:tr>
        <w:trPr>
          <w:trHeight w:val="188"/>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w:t>
            </w:r>
          </w:p>
        </w:tc>
      </w:tr>
      <w:tr>
        <w:trPr>
          <w:trHeight w:val="211"/>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530,170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635,280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1,129,546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1,092,729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center"/>
              <w:ind w:left="83"/>
              <w:spacing w:after="0"/>
              <w:rPr>
                <w:sz w:val="20"/>
                <w:szCs w:val="20"/>
                <w:color w:val="auto"/>
              </w:rPr>
            </w:pPr>
            <w:r>
              <w:rPr>
                <w:rFonts w:ascii="Arial" w:cs="Arial" w:eastAsia="Arial" w:hAnsi="Arial"/>
                <w:sz w:val="16"/>
                <w:szCs w:val="16"/>
                <w:color w:val="auto"/>
                <w:w w:val="89"/>
              </w:rPr>
              <w:t>36,817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165,081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211,404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(46,323)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329,308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345,654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center"/>
              <w:ind w:left="43"/>
              <w:spacing w:after="0"/>
              <w:rPr>
                <w:sz w:val="20"/>
                <w:szCs w:val="20"/>
                <w:color w:val="auto"/>
              </w:rPr>
            </w:pPr>
            <w:r>
              <w:rPr>
                <w:rFonts w:ascii="Arial" w:cs="Arial" w:eastAsia="Arial" w:hAnsi="Arial"/>
                <w:sz w:val="16"/>
                <w:szCs w:val="16"/>
                <w:color w:val="auto"/>
                <w:w w:val="93"/>
              </w:rPr>
              <w:t>(16,346)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35,835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68,099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43"/>
              <w:spacing w:after="0"/>
              <w:rPr>
                <w:sz w:val="20"/>
                <w:szCs w:val="20"/>
                <w:color w:val="auto"/>
              </w:rPr>
            </w:pPr>
            <w:r>
              <w:rPr>
                <w:rFonts w:ascii="Arial" w:cs="Arial" w:eastAsia="Arial" w:hAnsi="Arial"/>
                <w:sz w:val="16"/>
                <w:szCs w:val="16"/>
                <w:color w:val="auto"/>
                <w:w w:val="93"/>
              </w:rPr>
              <w:t>(47,480)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r>
    </w:tbl>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R</w:t>
      </w:r>
      <w:r>
        <w:rPr>
          <w:rFonts w:ascii="Arial" w:cs="Arial" w:eastAsia="Arial" w:hAnsi="Arial"/>
          <w:sz w:val="18"/>
          <w:szCs w:val="18"/>
          <w:color w:val="auto"/>
        </w:rPr>
        <w:t>evenues. The decrease in revenue for the three months ended June 30, 2022 compared to 2021, was primarily attributable to a decline in rental and fee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 driven by a lower lease portfolio balance and higher provisions on delinquencies compared to the prior year period, in addition to lower merchandise sales as a result of as a result of less customers exercising early payout options. The decline in our lease portfolio balance was partly attributable to changes implemented in our underwriting process, described above in </w:t>
      </w:r>
      <w:r>
        <w:rPr>
          <w:rFonts w:ascii="Arial" w:cs="Arial" w:eastAsia="Arial" w:hAnsi="Arial"/>
          <w:sz w:val="18"/>
          <w:szCs w:val="18"/>
          <w:i w:val="1"/>
          <w:iCs w:val="1"/>
          <w:color w:val="auto"/>
        </w:rPr>
        <w:t>Business and Operational Trends</w:t>
      </w:r>
      <w:r>
        <w:rPr>
          <w:rFonts w:ascii="Arial" w:cs="Arial" w:eastAsia="Arial" w:hAnsi="Arial"/>
          <w:sz w:val="18"/>
          <w:szCs w:val="18"/>
          <w:color w:val="auto"/>
        </w:rPr>
        <w:t>, while higher delinquency provisions and lower merchandise sales were primarily impacted from higher inflation levels negatively impacting discretionary income for our consumers in the current year, which were conversely benefited in the prior year due to government stimulus. The increase in revenue for the six months ended June 30, 2022 compared to 2021, was driven primarily by the acquisition of Acima Holdings in February 2021, partially offset by a lower lease portfolio and higher delinquency provisions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jc w:val="both"/>
        <w:spacing w:after="0" w:line="31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as a percentage of segment revenues decreased to 31.1% and 29.2% for the three and six months ended June 30, 2022,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33.3% and 31.6% for the corresponding period in 2021. Gross profit margin decreased for the three and six months ended June 30, 2022, compared to 2021, primarily due to a higher mix of rental agreements generated from our virtual business model, driven by the acquisition of Acima Holdings.</w:t>
      </w:r>
    </w:p>
    <w:p>
      <w:pPr>
        <w:spacing w:after="0" w:line="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as a percentage of segment revenues decreased to 6.8% and 4.0% for the three and six months ended June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10.7% and 8.5% for the corresponding period in 2021. Operating profit margin decreased for the three and six months ended June 30, 2022, as compared to 2021, primarily due to the decrease in gross profit margin described above and higher merchandise losses; partially offset by decreases in other operating expenses, including labor and general &amp; administrative expenses, amortization expense related to acquired intangible assets, and lower integration costs. Charge-offs in our Acima locations due to customer stolen merchandise, expressed as a percentage of revenues, were approximately 11.6% and 12.1% for the three and six months ended June 30, 2022, compared to 8.7% for both the three and six months ended June 30, 2021. Charge-offs in our Acima locations due to other merchandise losses, expressed as a percentage of revenues, were approximately 0.1% for both the three and six months ended June 30, 2022, compared to 0.1% and 0.2% for the corresponding period in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5"/>
        </w:trPr>
        <w:tc>
          <w:tcPr>
            <w:tcW w:w="2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384"/>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r>
      <w:tr>
        <w:trPr>
          <w:trHeight w:val="188"/>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w:t>
            </w:r>
          </w:p>
        </w:tc>
      </w:tr>
      <w:tr>
        <w:trPr>
          <w:trHeight w:val="211"/>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15,255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9.5 %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29,753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10,818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22,912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21,030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8.9 %</w:t>
            </w: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2,420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2780" w:type="dxa"/>
            <w:vAlign w:val="bottom"/>
          </w:tcPr>
          <w:p>
            <w:pPr>
              <w:ind w:left="180"/>
              <w:spacing w:after="0"/>
              <w:rPr>
                <w:sz w:val="20"/>
                <w:szCs w:val="20"/>
                <w:color w:val="auto"/>
              </w:rPr>
            </w:pPr>
            <w:r>
              <w:rPr>
                <w:rFonts w:ascii="Arial" w:cs="Arial" w:eastAsia="Arial" w:hAnsi="Arial"/>
                <w:sz w:val="16"/>
                <w:szCs w:val="16"/>
                <w:color w:val="auto"/>
              </w:rPr>
              <w:t>Change in same store revenue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19"/>
        </w:trPr>
        <w:tc>
          <w:tcPr>
            <w:tcW w:w="27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w w:val="89"/>
              </w:rPr>
              <w:t>Stores in same store revenue calculation</w:t>
            </w:r>
            <w:r>
              <w:rPr>
                <w:rFonts w:ascii="Arial" w:cs="Arial" w:eastAsia="Arial" w:hAnsi="Arial"/>
                <w:sz w:val="21"/>
                <w:szCs w:val="21"/>
                <w:color w:val="auto"/>
                <w:w w:val="89"/>
                <w:vertAlign w:val="superscript"/>
              </w:rPr>
              <w:t>(1)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108</w:t>
            </w:r>
          </w:p>
        </w:tc>
      </w:tr>
    </w:tbl>
    <w:p>
      <w:pPr>
        <w:spacing w:after="0" w:line="80" w:lineRule="exact"/>
        <w:rPr>
          <w:sz w:val="20"/>
          <w:szCs w:val="20"/>
          <w:color w:val="auto"/>
        </w:rPr>
      </w:pPr>
    </w:p>
    <w:p>
      <w:pPr>
        <w:ind w:right="40" w:firstLine="8"/>
        <w:spacing w:after="0" w:line="276" w:lineRule="auto"/>
        <w:tabs>
          <w:tab w:leader="none" w:pos="127" w:val="left"/>
        </w:tabs>
        <w:numPr>
          <w:ilvl w:val="0"/>
          <w:numId w:val="26"/>
        </w:numPr>
        <w:rPr>
          <w:rFonts w:ascii="Arial" w:cs="Arial" w:eastAsia="Arial" w:hAnsi="Arial"/>
          <w:sz w:val="14"/>
          <w:szCs w:val="14"/>
          <w:color w:val="auto"/>
          <w:vertAlign w:val="superscript"/>
        </w:rPr>
      </w:pPr>
      <w:r>
        <w:rPr>
          <w:rFonts w:ascii="Arial" w:cs="Arial" w:eastAsia="Arial" w:hAnsi="Arial"/>
          <w:sz w:val="11"/>
          <w:szCs w:val="11"/>
          <w:color w:val="auto"/>
        </w:rPr>
        <w:t>Same store sales generally represents revenue earned in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30th full month following account transfer.</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were negatively impacted by exchange rate fluctuations of approximately $0.2 million for the six months ended June 30, 2022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minimally impacted by exchange rate fluctuations for the three months ended June 30, 2022, as compared to the same periods in 2021. On a constant currency basis, revenues for the three and six months ended June 30, 2022 increased approximately $1.4 million and $2.8 million, compared to the corresponding periods in 2021.</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negatively impacted by exchange rate fluctuations of approximately $0.1 million for the six months ended June 30,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was minimally impacted by exchange rate fluctuations for the three months ended June 30, 2022, as compared to the same periods in 2021. On a constant currency basis, gross profit for the three and six months ended June 30, 2022 increased by approximately $1.0 million and $2.0 million as compared to the same periods in 2021. Gross profit as a percentage of segment revenues was 70.7% for the three and six months ended June 30, 2022, compared to 70.9% and 70.7% for the corresponding period in 2021.</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for the three and six months ended June 30, 2022 was minimally impacted by exchange rate fluctuations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2021. Operating profit as a percentage of segment revenues decreased to 11.7% and 12.4% for the three and six months ended June 30, 2022, compared to 15.9% and 14.7% for the corresponding periods in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4"/>
        </w:trPr>
        <w:tc>
          <w:tcPr>
            <w:tcW w:w="2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9"/>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r>
      <w:tr>
        <w:trPr>
          <w:trHeight w:val="188"/>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w:t>
            </w:r>
          </w:p>
        </w:tc>
      </w:tr>
      <w:tr>
        <w:trPr>
          <w:trHeight w:val="211"/>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8"/>
              </w:rPr>
              <w:t>60,327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6"/>
                <w:szCs w:val="16"/>
                <w:color w:val="auto"/>
                <w:w w:val="98"/>
              </w:rPr>
              <w:t>14,978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14,955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8"/>
              </w:rPr>
              <w:t>10,093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bl>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decreased for the three and six months ended June 30, 2022 compared to the corresponding period in 2021,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purchases by franchisees.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as a percentage of segment revenues was 22.2% and 24.8% for the three and six months ended June 30, 2022, compared to 21.4%</w:t>
      </w:r>
      <w:r>
        <w:rPr>
          <w:rFonts w:ascii="Arial" w:cs="Arial" w:eastAsia="Arial" w:hAnsi="Arial"/>
          <w:sz w:val="18"/>
          <w:szCs w:val="18"/>
          <w:i w:val="1"/>
          <w:iCs w:val="1"/>
          <w:color w:val="auto"/>
        </w:rPr>
        <w:t xml:space="preserve"> </w:t>
      </w:r>
      <w:r>
        <w:rPr>
          <w:rFonts w:ascii="Arial" w:cs="Arial" w:eastAsia="Arial" w:hAnsi="Arial"/>
          <w:sz w:val="18"/>
          <w:szCs w:val="18"/>
          <w:color w:val="auto"/>
        </w:rPr>
        <w:t>and 19.3% for the corresponding period in 2021. The increase for the three and six months ended June 30, 2022 was primarily due to a higher percentage of royalty income and fees included in revenues, compared to the corresponding period in 2021.</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as a percentage of segment revenues was 15.5% and 16.7%, for the three and six months ended June 30, 2022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15.1% and 13.8% for the corresponding period in 2021. The increase for the three and six months ended June 30, 2022, compared to the corresponding period in 2021 was primarily due to a higher percentage of royalty income and fees included in revenues as described above.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For the six months ended June 30, 2022, we generated $287.1 million in operating cash flow. We paid down debt by $294.4 million from cash</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generated from operations and also used cash in the amount of $39.5 million for dividends and $30.9 million for capital expenditures. We ended the second quarter of 2022 with $112.2 million of cash and cash equivalents and outstanding indebtedness of $1.4 billion.</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Analysis of Cash Flow. </w:t>
      </w:r>
      <w:r>
        <w:rPr>
          <w:rFonts w:ascii="Arial" w:cs="Arial" w:eastAsia="Arial" w:hAnsi="Arial"/>
          <w:sz w:val="18"/>
          <w:szCs w:val="18"/>
          <w:color w:val="auto"/>
        </w:rPr>
        <w:t>Cash provided by operating activities increased by $36.6 million to $287.1 million for the six months ended June 30, 2022, from</w:t>
      </w:r>
      <w:r>
        <w:rPr>
          <w:rFonts w:ascii="Arial" w:cs="Arial" w:eastAsia="Arial" w:hAnsi="Arial"/>
          <w:sz w:val="18"/>
          <w:szCs w:val="18"/>
          <w:i w:val="1"/>
          <w:iCs w:val="1"/>
          <w:color w:val="auto"/>
        </w:rPr>
        <w:t xml:space="preserve"> </w:t>
      </w:r>
      <w:r>
        <w:rPr>
          <w:rFonts w:ascii="Arial" w:cs="Arial" w:eastAsia="Arial" w:hAnsi="Arial"/>
          <w:sz w:val="18"/>
          <w:szCs w:val="18"/>
          <w:color w:val="auto"/>
        </w:rPr>
        <w:t>$250.5 million in 2021, primarily due to lower inventory purchases, partially offset by lower earnings.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was $31.3 million for the six months ended June 30, 2022, compared to $1,298.9 million in 2021, primarily due to $1,296.6 million attributable to the acquisition of Acima Holdings in February 2021.</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provided by financing activities was $(252.0) million for the six months ended June 30, 2022, compared to $1,033.9 million in 2021, representing a change of $1,285.9 million. The change was primarily due to debt proceeds of $1.5 billion received in the first quarter of 2021 used to fund the acquisition of Acima Holdings in February 2021, partially offset by debt issuance costs of $46.1 million paid in the first quarter of 2021 in connection with the receipt of debt proceeds, in addition to lower debt repayments of $70.0 million for the six months ended June 30, 2022 compared to the same period in 2021.</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Liquidity Requirements</w:t>
      </w:r>
      <w:r>
        <w:rPr>
          <w:rFonts w:ascii="Arial" w:cs="Arial" w:eastAsia="Arial" w:hAnsi="Arial"/>
          <w:sz w:val="18"/>
          <w:szCs w:val="18"/>
          <w:color w:val="auto"/>
        </w:rPr>
        <w:t>. Our primary liquidity requirements are for rental merchandise purchases. Other capital requirements include expenditures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assets, debt service, and dividends. Our primary sources of liquidity have been cash provided by operations.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12 months. At July 27, 2022, we had approximately $116.1 million in cash on hand, and $387.8 million available under our ABL Credit Facility.</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Deferred Taxes. </w:t>
      </w:r>
      <w:r>
        <w:rPr>
          <w:rFonts w:ascii="Arial" w:cs="Arial" w:eastAsia="Arial" w:hAnsi="Arial"/>
          <w:sz w:val="18"/>
          <w:szCs w:val="18"/>
          <w:color w:val="auto"/>
        </w:rPr>
        <w:t>Certain federal tax legislation enacted during the period 2009 to 2017 permitted bonus first-year depreciation deductions ranging from 50%</w:t>
      </w:r>
      <w:r>
        <w:rPr>
          <w:rFonts w:ascii="Arial" w:cs="Arial" w:eastAsia="Arial" w:hAnsi="Arial"/>
          <w:sz w:val="18"/>
          <w:szCs w:val="18"/>
          <w:i w:val="1"/>
          <w:iCs w:val="1"/>
          <w:color w:val="auto"/>
        </w:rPr>
        <w:t xml:space="preserve"> </w:t>
      </w:r>
      <w:r>
        <w:rPr>
          <w:rFonts w:ascii="Arial" w:cs="Arial" w:eastAsia="Arial" w:hAnsi="Arial"/>
          <w:sz w:val="18"/>
          <w:szCs w:val="18"/>
          <w:color w:val="auto"/>
        </w:rPr>
        <w:t>to 100% of the adjusted basis of qualified property placed in service during such years. The depreciation benefits associated with these tax acts are now reversing. The Protecting Americans from Tax Hikes Act of 2015 (“PATH”) extended the 50% bonus depreciation to 2015 and through September 26, 2017, when it was updated by the Tax Cuts and Jobs Act of 2017 (“Tax Act”). The Tax Act allows 100% bonus depreciation for certain property placed in service between September 27, 2017 and December 31, 2022, at which point it will begin to phase out. The bonus depreciation provided by the Tax Act resulted in an estimated benefit of $349 million for us in 2021. We estimate the remaining tax deferral associated with bonus depreciation from these Acts is approximately $402 million at December 31, 2021, of which approximately 80%, or $320 million, will reverse in 2022, and the majority of the remainder will reverse between 2023 and 2024.</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Merchandise Losses</w:t>
      </w:r>
      <w:r>
        <w:rPr>
          <w:rFonts w:ascii="Arial" w:cs="Arial" w:eastAsia="Arial" w:hAnsi="Arial"/>
          <w:sz w:val="18"/>
          <w:szCs w:val="18"/>
          <w:color w:val="auto"/>
        </w:rPr>
        <w:t>. Merchandise losses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96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49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Customer stolen merchandise</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85,489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69,088</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125,676</w:t>
            </w:r>
          </w:p>
        </w:tc>
      </w:tr>
      <w:tr>
        <w:trPr>
          <w:trHeight w:val="230"/>
        </w:trPr>
        <w:tc>
          <w:tcPr>
            <w:tcW w:w="49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merchandise losses</w:t>
            </w:r>
            <w:r>
              <w:rPr>
                <w:rFonts w:ascii="Arial" w:cs="Arial" w:eastAsia="Arial" w:hAnsi="Arial"/>
                <w:sz w:val="23"/>
                <w:szCs w:val="23"/>
                <w:color w:val="auto"/>
                <w:vertAlign w:val="superscript"/>
              </w:rPr>
              <w:t>(2)</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8,524</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w:t>
            </w: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16,760</w:t>
            </w:r>
          </w:p>
        </w:tc>
      </w:tr>
      <w:tr>
        <w:trPr>
          <w:trHeight w:val="248"/>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merchandise losses</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94,013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77,174</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142,436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260" w:hanging="171"/>
        <w:spacing w:after="0" w:line="227" w:lineRule="auto"/>
        <w:tabs>
          <w:tab w:leader="none" w:pos="252" w:val="left"/>
        </w:tabs>
        <w:numPr>
          <w:ilvl w:val="0"/>
          <w:numId w:val="27"/>
        </w:numPr>
        <w:rPr>
          <w:rFonts w:ascii="Arial" w:cs="Arial" w:eastAsia="Arial" w:hAnsi="Arial"/>
          <w:sz w:val="16"/>
          <w:szCs w:val="16"/>
          <w:color w:val="auto"/>
          <w:vertAlign w:val="superscript"/>
        </w:rPr>
      </w:pPr>
      <w:r>
        <w:rPr>
          <w:rFonts w:ascii="Arial" w:cs="Arial" w:eastAsia="Arial" w:hAnsi="Arial"/>
          <w:sz w:val="13"/>
          <w:szCs w:val="13"/>
          <w:color w:val="auto"/>
        </w:rPr>
        <w:t>Increase is primarily due to the increase in customer stolen merchandise loss rates for the three and six months ended June 30, 2022 compared to the corresponding periods in 2021, as described in the Results of Operations section above. In addition, the increase for the six months ended June 30, 2022 is also partly attributable to the timing of the acquisition of Acima Holdings on February 17, 2021, resulting in a partial period of losses for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4" w:name="page35"/>
    <w:bookmarkEnd w:id="34"/>
    <w:p>
      <w:pPr>
        <w:ind w:left="240" w:hanging="151"/>
        <w:spacing w:after="0"/>
        <w:tabs>
          <w:tab w:leader="none" w:pos="240" w:val="left"/>
        </w:tabs>
        <w:numPr>
          <w:ilvl w:val="0"/>
          <w:numId w:val="28"/>
        </w:numPr>
        <w:rPr>
          <w:rFonts w:ascii="Arial" w:cs="Arial" w:eastAsia="Arial" w:hAnsi="Arial"/>
          <w:sz w:val="16"/>
          <w:szCs w:val="16"/>
          <w:color w:val="auto"/>
          <w:vertAlign w:val="superscript"/>
        </w:rPr>
      </w:pPr>
      <w:r>
        <w:rPr>
          <w:rFonts w:ascii="Arial" w:cs="Arial" w:eastAsia="Arial" w:hAnsi="Arial"/>
          <w:sz w:val="13"/>
          <w:szCs w:val="13"/>
          <w:color w:val="auto"/>
        </w:rPr>
        <w:t>Other merchandise losses include unrepairable and missing merchandise, and loss/damage waiver claims.</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We make capital expenditures in order to maintain our existing operations, acquire new capital assets in new and acquired stores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information technology. We spent $30.9 million and $25.4 million on capital expenditures during the six months ended June 30, 2022 and 2021, respectively.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Acquisitions and New Location Openings. </w:t>
      </w:r>
      <w:r>
        <w:rPr>
          <w:rFonts w:ascii="Arial" w:cs="Arial" w:eastAsia="Arial" w:hAnsi="Arial"/>
          <w:sz w:val="18"/>
          <w:szCs w:val="18"/>
          <w:color w:val="auto"/>
        </w:rPr>
        <w:t>During the first six months of 2022, we acquired one rent-to-own store location and customer accounts for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purchase price of approximately $0.3 million. The store location was closed upon acquisition and consolidated into existing store operations in our Rent-A-Center Business segment.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store location activity for the six-month period ended June 30, 2022 for our Rent-A-Center Business, Mexico and Franchising operating segments.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Rent-A-Center</w:t>
            </w:r>
          </w:p>
        </w:tc>
        <w:tc>
          <w:tcPr>
            <w:tcW w:w="280" w:type="dxa"/>
            <w:vAlign w:val="bottom"/>
          </w:tcPr>
          <w:p>
            <w:pPr>
              <w:spacing w:after="0"/>
              <w:rPr>
                <w:sz w:val="14"/>
                <w:szCs w:val="14"/>
                <w:color w:val="auto"/>
              </w:rPr>
            </w:pPr>
          </w:p>
        </w:tc>
        <w:tc>
          <w:tcPr>
            <w:tcW w:w="13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Mexico</w:t>
            </w: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28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Locations at beginning of period</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New location openings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Closed locations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360"/>
              <w:spacing w:after="0"/>
              <w:rPr>
                <w:sz w:val="20"/>
                <w:szCs w:val="20"/>
                <w:color w:val="auto"/>
              </w:rPr>
            </w:pPr>
            <w:r>
              <w:rPr>
                <w:rFonts w:ascii="Arial" w:cs="Arial" w:eastAsia="Arial" w:hAnsi="Arial"/>
                <w:sz w:val="18"/>
                <w:szCs w:val="18"/>
                <w:color w:val="auto"/>
              </w:rPr>
              <w:t>Merged with existing locations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Sold or closed with no surviving location</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line="223" w:lineRule="exact"/>
              <w:rPr>
                <w:sz w:val="20"/>
                <w:szCs w:val="20"/>
                <w:color w:val="auto"/>
              </w:rPr>
            </w:pPr>
            <w:r>
              <w:rPr>
                <w:rFonts w:ascii="Arial" w:cs="Arial" w:eastAsia="Arial" w:hAnsi="Arial"/>
                <w:sz w:val="18"/>
                <w:szCs w:val="18"/>
                <w:color w:val="auto"/>
              </w:rPr>
              <w:t>Locations at end of period</w:t>
            </w:r>
            <w:r>
              <w:rPr>
                <w:rFonts w:ascii="Arial" w:cs="Arial" w:eastAsia="Arial" w:hAnsi="Arial"/>
                <w:sz w:val="23"/>
                <w:szCs w:val="23"/>
                <w:color w:val="auto"/>
                <w:vertAlign w:val="superscript"/>
              </w:rPr>
              <w:t>(1)</w:t>
            </w: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Acquired locations closed and accounts merged with existing locations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Total approximate purchase price of acquired stores </w:t>
            </w:r>
            <w:r>
              <w:rPr>
                <w:rFonts w:ascii="Arial" w:cs="Arial" w:eastAsia="Arial" w:hAnsi="Arial"/>
                <w:sz w:val="18"/>
                <w:szCs w:val="18"/>
                <w:i w:val="1"/>
                <w:iCs w:val="1"/>
                <w:color w:val="auto"/>
              </w:rPr>
              <w:t>(in millions)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hanging="132"/>
        <w:spacing w:after="0"/>
        <w:tabs>
          <w:tab w:leader="none" w:pos="140" w:val="left"/>
        </w:tabs>
        <w:numPr>
          <w:ilvl w:val="0"/>
          <w:numId w:val="29"/>
        </w:numPr>
        <w:rPr>
          <w:rFonts w:ascii="Arial" w:cs="Arial" w:eastAsia="Arial" w:hAnsi="Arial"/>
          <w:sz w:val="16"/>
          <w:szCs w:val="16"/>
          <w:color w:val="auto"/>
          <w:vertAlign w:val="superscript"/>
        </w:rPr>
      </w:pPr>
      <w:r>
        <w:rPr>
          <w:rFonts w:ascii="Arial" w:cs="Arial" w:eastAsia="Arial" w:hAnsi="Arial"/>
          <w:sz w:val="13"/>
          <w:szCs w:val="13"/>
          <w:color w:val="auto"/>
        </w:rPr>
        <w:t>Does not include locations in our Acima segment.</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Senior Debt. </w:t>
      </w:r>
      <w:r>
        <w:rPr>
          <w:rFonts w:ascii="Arial" w:cs="Arial" w:eastAsia="Arial" w:hAnsi="Arial"/>
          <w:sz w:val="18"/>
          <w:szCs w:val="18"/>
          <w:color w:val="auto"/>
        </w:rPr>
        <w:t>On February 17, 2021, we entered into a credit agreement with JPMorgan Chase Bank, N.A., as administrative agent, and lenders party</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reserves. The ABL Credit Facility bears interest at a fluctuating rate determined by reference to the eurodollar rate plus an applicable margin of 1.50% to 2.00%, which margin, as of July 27, 2022, was 3.375%.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February 17, 2026, at which time all amounts borrowed must be repaid.</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17, 2021, we also entered into a term loan credit agreement with JPMorgan Chase Bank, N.A., as administrative agent, and lenders party thereto, that provides for a seven-year $875 million senior secured term loan facility (as amended on September 21, 2021,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eurodollar rate plus an applicable margin of 3.25%, subject to a 0.50% LIBOR floor. 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the Company and the subsidiary guarantors, other than the ABL Priority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5" w:name="page36"/>
    <w:bookmarkEnd w:id="35"/>
    <w:p>
      <w:pPr>
        <w:jc w:val="both"/>
        <w:ind w:right="20"/>
        <w:spacing w:after="0" w:line="308" w:lineRule="auto"/>
        <w:rPr>
          <w:sz w:val="20"/>
          <w:szCs w:val="20"/>
          <w:color w:val="auto"/>
        </w:rPr>
      </w:pPr>
      <w:r>
        <w:rPr>
          <w:rFonts w:ascii="Arial" w:cs="Arial" w:eastAsia="Arial" w:hAnsi="Arial"/>
          <w:sz w:val="17"/>
          <w:szCs w:val="17"/>
          <w:color w:val="auto"/>
        </w:rPr>
        <w:t>and by a second-priority security interest in the ABL Priority Collateral, subject to certain exceptions. The obligations under the Term Loan Facility are guaranteed by the Company and the Company’s material wholly-owned domestic restricted subsidiaries that also guarantee the ABL Credit Facility.</w:t>
      </w:r>
    </w:p>
    <w:p>
      <w:pPr>
        <w:spacing w:after="0" w:line="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Term Loan Facility was fully drawn at the closing of the Acima Holdings acquisition to fund a portion of the Aggregate Cash Consideration, repay certain our outstanding indebtedness under the previous term loan facility, repay all outstanding indebtedness of Acima and its subsidiaries and pay certain fees and expenses incurred in connection with the Acima Holdings acquisition.</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July 27, 2022, we had outstanding borrowings of $864.1 million under our Term Loan Facility and available commitments of $387.8 million under our ABL Credit Facility, net of letters of credit.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 7 of our condensed consolidated financial statements included in this report for additional information regarding our senior debt.</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Senior Notes</w:t>
      </w:r>
      <w:r>
        <w:rPr>
          <w:rFonts w:ascii="Arial" w:cs="Arial" w:eastAsia="Arial" w:hAnsi="Arial"/>
          <w:sz w:val="16"/>
          <w:szCs w:val="16"/>
          <w:color w:val="auto"/>
        </w:rPr>
        <w:t>. On February 17, 2021, we issued $450.0 million in senior unsecured notes due February 15, 2029, at par value, bearing interest at 6.375%</w:t>
      </w:r>
      <w:r>
        <w:rPr>
          <w:rFonts w:ascii="Arial" w:cs="Arial" w:eastAsia="Arial" w:hAnsi="Arial"/>
          <w:sz w:val="16"/>
          <w:szCs w:val="16"/>
          <w:i w:val="1"/>
          <w:iCs w:val="1"/>
          <w:color w:val="auto"/>
        </w:rPr>
        <w:t xml:space="preserve"> </w:t>
      </w:r>
      <w:r>
        <w:rPr>
          <w:rFonts w:ascii="Arial" w:cs="Arial" w:eastAsia="Arial" w:hAnsi="Arial"/>
          <w:sz w:val="16"/>
          <w:szCs w:val="16"/>
          <w:color w:val="auto"/>
        </w:rPr>
        <w:t>(the “Notes”), the proceeds of which were used to fund a portion of the Aggregate Cash Consideration upon closing of the Acima Holdings acquisition. Interest on the Notes is payable in arrears on February 15 and August 15 of each year, beginning on August 15, 2021. 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it will be required to offer to purchase the Notes at a price equal to 101% of the principal amount thereof plus accrued and unpaid interest.</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lease space for all of our Rent-A-Center Business and Mexico stores under operating leases expiring at various times through 2030.</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agreed-upon formulas. As of June 30, 2022, our total remaining obligation for existing store lease contracts was approximately $342.7 million.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lease vehicles for all of our Rent-A-Center Business stores under operating leases with lease terms expiring 12 months after the start date of the lease. We classify these leases as short-term and have elected the short-term lease exemption for our vehicle leases, and have therefore excluded them from our operating lease right-of-use assets within our Condensed Consolidated Balance Sheets. As of June 30, 2022, our total remaining minimum obligation for existing Rent-A-Center Business vehicle lease contracts was approximately $0.6 million.</w:t>
      </w:r>
    </w:p>
    <w:p>
      <w:pPr>
        <w:spacing w:after="0" w:line="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also lease vehicles for all of our Mexico stores which have terms expiring at various times through 2026 with rental rates adjusted periodically for inflation. As of June 30, 2022, our total remaining obligation for existing Mexico vehicle lease contracts was approximately $1.1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5 of our condensed consolidated financial statements included in this report for additional discussion of our store operating leases.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Uncertain Tax Position. </w:t>
      </w:r>
      <w:r>
        <w:rPr>
          <w:rFonts w:ascii="Arial" w:cs="Arial" w:eastAsia="Arial" w:hAnsi="Arial"/>
          <w:sz w:val="18"/>
          <w:szCs w:val="18"/>
          <w:color w:val="auto"/>
        </w:rPr>
        <w:t>As of June 30, 2022, we have recorded $6.4 million in uncertain tax positions. Although these positions represent a potential future</w:t>
      </w:r>
      <w:r>
        <w:rPr>
          <w:rFonts w:ascii="Arial" w:cs="Arial" w:eastAsia="Arial" w:hAnsi="Arial"/>
          <w:sz w:val="18"/>
          <w:szCs w:val="18"/>
          <w:i w:val="1"/>
          <w:iCs w:val="1"/>
          <w:color w:val="auto"/>
        </w:rPr>
        <w:t xml:space="preserve"> </w:t>
      </w:r>
      <w:r>
        <w:rPr>
          <w:rFonts w:ascii="Arial" w:cs="Arial" w:eastAsia="Arial" w:hAnsi="Arial"/>
          <w:sz w:val="18"/>
          <w:szCs w:val="18"/>
          <w:color w:val="auto"/>
        </w:rPr>
        <w:t>cash liability to us, the amounts and timing of such payments are uncertain.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revenue mix is moderately seasonal, with the first quarter of each fiscal year generally providing higher merchandise sales than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during a fiscal year. Generally, our customers will more frequently exercise the early purchase option on their existing lease purchase agreements or purchase pre-leased merchandise off the showroom floor during the first quarter of each fiscal year, primarily due to the receipt of federal income tax refunds.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we adopt as of the specified effective date. As of June 30, 2022, we believe the impact of any recently issued standards that are not yet effective are either not applicable to us at this time, or will not have a material impact on our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June 30, 2022, we had $450 million in Notes outstanding at a fixed interest rate of 6.375%. We also had $864.1 million outstanding under the Term Loan Facility and $90.0 million outstanding under our ABL Credit Facility, each at interest rates indexed to the Eurodollar rate or the prime rate. Carrying value approximates fair value for such indebtedness. Based on our overall interest rate exposure at June 30, 2022, a hypothetical 1.0% increase or decrease in market interest rates would have the effect of causing an additional $9.7 million additional annualized pre-tax charge or credit to our condensed consolidated statement of operations. We have not entered into any interest rate swap agreements as of June 30, 2022.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In accordance with Rule 13a-15(b) under the Securities Exchange Act of 1934, an evaluation was performed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June 30, 2022, our disclosure controls and procedures (as defined in Rules 13a– 15(e) and 15d–15(e) under the Securities Exchange Act of 1934) were effective.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Changes in internal controls over financial reporting</w:t>
      </w:r>
      <w:r>
        <w:rPr>
          <w:rFonts w:ascii="Arial" w:cs="Arial" w:eastAsia="Arial" w:hAnsi="Arial"/>
          <w:sz w:val="18"/>
          <w:szCs w:val="18"/>
          <w:color w:val="auto"/>
        </w:rPr>
        <w:t>. For the quarter ended June 30, 2022, there have been no changes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defined in Rule 13a-15(f) under the Securities Exchange Act of 1934)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 Please see Note 13 of our condensed consolidated financial statements included in this report for additional discussion of certain of our legal proceedings.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of Part 1, “Risk Factors” of our Annual Report on Form 10-K for the year ended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50"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40" w:type="dxa"/>
            <w:vAlign w:val="bottom"/>
            <w:gridSpan w:val="15"/>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1"/>
                <w:szCs w:val="21"/>
                <w:color w:val="auto"/>
              </w:rPr>
            </w:pPr>
          </w:p>
        </w:tc>
        <w:tc>
          <w:tcPr>
            <w:tcW w:w="9960" w:type="dxa"/>
            <w:vAlign w:val="bottom"/>
            <w:gridSpan w:val="23"/>
          </w:tcPr>
          <w:p>
            <w:pPr>
              <w:spacing w:after="0"/>
              <w:rPr>
                <w:rFonts w:ascii="Arial" w:cs="Arial" w:eastAsia="Arial" w:hAnsi="Arial"/>
                <w:sz w:val="18"/>
                <w:szCs w:val="18"/>
                <w:color w:val="0000FF"/>
                <w:w w:val="97"/>
              </w:rPr>
            </w:pPr>
            <w:hyperlink r:id="rId51">
              <w:r>
                <w:rPr>
                  <w:rFonts w:ascii="Arial" w:cs="Arial" w:eastAsia="Arial" w:hAnsi="Arial"/>
                  <w:sz w:val="18"/>
                  <w:szCs w:val="18"/>
                  <w:color w:val="0000FF"/>
                  <w:w w:val="97"/>
                </w:rPr>
                <w:t>Certificate of Incorporation of Rent-A-Center, Inc., as amended (incorporated herein by reference to Exhibit 3.1 to the registrant's</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Current Report on Form 8-K dated as of December 31, 2002)</w:t>
              </w:r>
            </w:hyperlink>
          </w:p>
        </w:tc>
        <w:tc>
          <w:tcPr>
            <w:tcW w:w="55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8"/>
              </w:rPr>
            </w:pPr>
            <w:hyperlink r:id="rId52">
              <w:r>
                <w:rPr>
                  <w:rFonts w:ascii="Arial" w:cs="Arial" w:eastAsia="Arial" w:hAnsi="Arial"/>
                  <w:sz w:val="18"/>
                  <w:szCs w:val="18"/>
                  <w:color w:val="0000FF"/>
                  <w:w w:val="98"/>
                </w:rPr>
                <w:t>Certificate of Amendment to the Certificate of Incorporation of Rent-A-Center, Inc., dated May 19, 2004 (incorporated herein by</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9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reference to Exhibit 3.2 to the registrant's Quarterly Report on Form 10-Q for the quarter ended June 30, 2004)</w:t>
              </w:r>
            </w:hyperlink>
          </w:p>
        </w:tc>
        <w:tc>
          <w:tcPr>
            <w:tcW w:w="4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3.3</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9"/>
              </w:rPr>
            </w:pPr>
            <w:hyperlink r:id="rId53">
              <w:r>
                <w:rPr>
                  <w:rFonts w:ascii="Arial" w:cs="Arial" w:eastAsia="Arial" w:hAnsi="Arial"/>
                  <w:sz w:val="18"/>
                  <w:szCs w:val="18"/>
                  <w:color w:val="0000FF"/>
                  <w:w w:val="99"/>
                </w:rPr>
                <w:t>Certificate of Amendment to the Certificate of Incorporation of Rent-A-Center, Inc., dated June 8, 2021 (incorporated herein by</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reference to Exhibit 3.1 to the registrant's Current Report on Form 8-K dated as of June 8, 2021)</w:t>
              </w:r>
            </w:hyperlink>
          </w:p>
        </w:tc>
        <w:tc>
          <w:tcPr>
            <w:tcW w:w="29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3.4</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5"/>
              </w:rPr>
            </w:pPr>
            <w:hyperlink r:id="rId54">
              <w:r>
                <w:rPr>
                  <w:rFonts w:ascii="Arial" w:cs="Arial" w:eastAsia="Arial" w:hAnsi="Arial"/>
                  <w:sz w:val="18"/>
                  <w:szCs w:val="18"/>
                  <w:color w:val="0000FF"/>
                  <w:w w:val="95"/>
                </w:rPr>
                <w:t>Certificate of Designations of Series D Preferred Stock of Rent-A-Center, Inc. (incorporated herein by reference to Exhibit 3.1 to the</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registrant's Current Report on Form 8-K dated as of March 29, 2017)</w:t>
              </w:r>
            </w:hyperlink>
          </w:p>
        </w:tc>
        <w:tc>
          <w:tcPr>
            <w:tcW w:w="4920" w:type="dxa"/>
            <w:vAlign w:val="bottom"/>
            <w:tcBorders>
              <w:top w:val="single" w:sz="8" w:color="0000FF"/>
            </w:tcBorders>
            <w:gridSpan w:val="11"/>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3.5</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7"/>
              </w:rPr>
            </w:pPr>
            <w:hyperlink r:id="rId55">
              <w:r>
                <w:rPr>
                  <w:rFonts w:ascii="Arial" w:cs="Arial" w:eastAsia="Arial" w:hAnsi="Arial"/>
                  <w:sz w:val="18"/>
                  <w:szCs w:val="18"/>
                  <w:color w:val="0000FF"/>
                  <w:w w:val="97"/>
                </w:rPr>
                <w:t>Amended and Restated Bylaws of Rent-A-Center, Inc. (incorporated herein by reference to Exhibit 3.1 to the registrant's Current</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Report on Form 8-K dated as of June 6, 2022)</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5"/>
              </w:rPr>
            </w:pPr>
            <w:hyperlink r:id="rId56">
              <w:r>
                <w:rPr>
                  <w:rFonts w:ascii="Arial" w:cs="Arial" w:eastAsia="Arial" w:hAnsi="Arial"/>
                  <w:sz w:val="18"/>
                  <w:szCs w:val="18"/>
                  <w:color w:val="0000FF"/>
                  <w:w w:val="95"/>
                </w:rPr>
                <w:t>Form of Certificate evidencing Common Stock (Incorporated herein by reference to Exhibit 4.1 to the registrant's Current Report on</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Form 10-Q dated as of March 31, 2017.)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8"/>
              </w:rPr>
            </w:pPr>
            <w:hyperlink r:id="rId57">
              <w:r>
                <w:rPr>
                  <w:rFonts w:ascii="Arial" w:cs="Arial" w:eastAsia="Arial" w:hAnsi="Arial"/>
                  <w:sz w:val="18"/>
                  <w:szCs w:val="18"/>
                  <w:color w:val="0000FF"/>
                  <w:w w:val="98"/>
                </w:rPr>
                <w:t>Indenture, dated as of February 17, 2021, by and between Radiant Funding SPV, LLC and Truist Bank (Incorporated herein by</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reference to Exhibit 4.1 to the registrant's Current Report on Form 8-K dated as of February 17, 2021.)</w:t>
              </w:r>
            </w:hyperlink>
          </w:p>
        </w:tc>
        <w:tc>
          <w:tcPr>
            <w:tcW w:w="244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4.3</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4"/>
              </w:rPr>
            </w:pPr>
            <w:hyperlink r:id="rId58">
              <w:r>
                <w:rPr>
                  <w:rFonts w:ascii="Arial" w:cs="Arial" w:eastAsia="Arial" w:hAnsi="Arial"/>
                  <w:sz w:val="18"/>
                  <w:szCs w:val="18"/>
                  <w:color w:val="0000FF"/>
                  <w:w w:val="94"/>
                </w:rPr>
                <w:t>Description of Rent-A-Center, Inc.’s Common Stock (Incorporated herein by reference to Exhibit 4.3 to the registrant’s Annual Report</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on Form 10-K for the year ended December 31, 2020.)</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5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3"/>
              </w:rPr>
            </w:pPr>
            <w:hyperlink w:anchor="page41">
              <w:r>
                <w:rPr>
                  <w:rFonts w:ascii="Arial" w:cs="Arial" w:eastAsia="Arial" w:hAnsi="Arial"/>
                  <w:sz w:val="18"/>
                  <w:szCs w:val="18"/>
                  <w:color w:val="0000FF"/>
                  <w:w w:val="93"/>
                </w:rPr>
                <w:t>Certification pursuant to Rule 13a-14(a) of the Securities Exchange Act of 1934 implementing Section 302 of the Sarbanes-Oxley Act</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41">
              <w:r>
                <w:rPr>
                  <w:rFonts w:ascii="Arial" w:cs="Arial" w:eastAsia="Arial" w:hAnsi="Arial"/>
                  <w:sz w:val="18"/>
                  <w:szCs w:val="18"/>
                  <w:color w:val="0000FF"/>
                </w:rPr>
                <w:t>of 2002 by Mitchell E. Fadel</w:t>
              </w:r>
            </w:hyperlink>
          </w:p>
        </w:tc>
        <w:tc>
          <w:tcPr>
            <w:tcW w:w="80" w:type="dxa"/>
            <w:vAlign w:val="bottom"/>
            <w:gridSpan w:val="4"/>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64"/>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3"/>
              </w:rPr>
            </w:pPr>
            <w:hyperlink w:anchor="page42">
              <w:r>
                <w:rPr>
                  <w:rFonts w:ascii="Arial" w:cs="Arial" w:eastAsia="Arial" w:hAnsi="Arial"/>
                  <w:sz w:val="18"/>
                  <w:szCs w:val="18"/>
                  <w:color w:val="0000FF"/>
                  <w:w w:val="93"/>
                </w:rPr>
                <w:t>Certification pursuant to Rule 13a-14(a) of the Securities Exchange Act of 1934 implementing Section 302 of the Sarbanes-Oxley Act</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w:anchor="page42">
              <w:r>
                <w:rPr>
                  <w:rFonts w:ascii="Arial" w:cs="Arial" w:eastAsia="Arial" w:hAnsi="Arial"/>
                  <w:sz w:val="18"/>
                  <w:szCs w:val="18"/>
                  <w:color w:val="0000FF"/>
                  <w:w w:val="91"/>
                </w:rPr>
                <w:t>of 2002 by Maureen B. Short</w:t>
              </w:r>
            </w:hyperlink>
          </w:p>
        </w:tc>
        <w:tc>
          <w:tcPr>
            <w:tcW w:w="7760" w:type="dxa"/>
            <w:vAlign w:val="bottom"/>
            <w:tcBorders>
              <w:top w:val="single" w:sz="8" w:color="0000FF"/>
            </w:tcBorders>
            <w:gridSpan w:val="1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3"/>
              </w:rPr>
            </w:pPr>
            <w:hyperlink w:anchor="page43">
              <w:r>
                <w:rPr>
                  <w:rFonts w:ascii="Arial" w:cs="Arial" w:eastAsia="Arial" w:hAnsi="Arial"/>
                  <w:sz w:val="18"/>
                  <w:szCs w:val="18"/>
                  <w:color w:val="0000FF"/>
                  <w:w w:val="93"/>
                </w:rPr>
                <w:t>Certification pursuant to 18 U.S.C. Section 1350 as adopted pursuant to Section 906 of the Sarbanes-Oxley Act of 2002 by Mitchell E.</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43">
              <w:r>
                <w:rPr>
                  <w:rFonts w:ascii="Arial" w:cs="Arial" w:eastAsia="Arial" w:hAnsi="Arial"/>
                  <w:sz w:val="18"/>
                  <w:szCs w:val="18"/>
                  <w:color w:val="0000FF"/>
                  <w:w w:val="88"/>
                </w:rPr>
                <w:t>Fadel</w:t>
              </w:r>
            </w:hyperlink>
          </w:p>
        </w:tc>
        <w:tc>
          <w:tcPr>
            <w:tcW w:w="9360" w:type="dxa"/>
            <w:vAlign w:val="bottom"/>
            <w:tcBorders>
              <w:top w:val="single" w:sz="8" w:color="0000FF"/>
            </w:tcBorders>
            <w:gridSpan w:val="12"/>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Certification pursuant to 18 U.S.C. Section 1350 as adopted pursuant to Section 906 of the Sarbanes-Oxley Act of 2002 by Maureen B.</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44">
              <w:r>
                <w:rPr>
                  <w:rFonts w:ascii="Arial" w:cs="Arial" w:eastAsia="Arial" w:hAnsi="Arial"/>
                  <w:sz w:val="18"/>
                  <w:szCs w:val="18"/>
                  <w:color w:val="0000FF"/>
                  <w:w w:val="88"/>
                </w:rPr>
                <w:t>Short</w:t>
              </w:r>
            </w:hyperlink>
          </w:p>
        </w:tc>
        <w:tc>
          <w:tcPr>
            <w:tcW w:w="9360" w:type="dxa"/>
            <w:vAlign w:val="bottom"/>
            <w:tcBorders>
              <w:top w:val="single" w:sz="8" w:color="0000FF"/>
            </w:tcBorders>
            <w:gridSpan w:val="12"/>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5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7"/>
              </w:rPr>
              <w:t>101.INS*</w:t>
            </w:r>
          </w:p>
        </w:tc>
        <w:tc>
          <w:tcPr>
            <w:tcW w:w="200" w:type="dxa"/>
            <w:vAlign w:val="bottom"/>
          </w:tcPr>
          <w:p>
            <w:pPr>
              <w:spacing w:after="0"/>
              <w:rPr>
                <w:sz w:val="21"/>
                <w:szCs w:val="21"/>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files because its XBRL tags are embedded</w:t>
            </w:r>
          </w:p>
        </w:tc>
      </w:tr>
      <w:tr>
        <w:trPr>
          <w:trHeight w:val="230"/>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200" w:type="dxa"/>
            <w:vAlign w:val="bottom"/>
          </w:tcPr>
          <w:p>
            <w:pPr>
              <w:spacing w:after="0"/>
              <w:rPr>
                <w:sz w:val="24"/>
                <w:szCs w:val="24"/>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200" w:type="dxa"/>
            <w:vAlign w:val="bottom"/>
          </w:tcPr>
          <w:p>
            <w:pPr>
              <w:spacing w:after="0"/>
              <w:rPr>
                <w:sz w:val="24"/>
                <w:szCs w:val="24"/>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101.DEF*</w:t>
            </w:r>
          </w:p>
        </w:tc>
        <w:tc>
          <w:tcPr>
            <w:tcW w:w="200" w:type="dxa"/>
            <w:vAlign w:val="bottom"/>
          </w:tcPr>
          <w:p>
            <w:pPr>
              <w:spacing w:after="0"/>
              <w:rPr>
                <w:sz w:val="24"/>
                <w:szCs w:val="24"/>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200" w:type="dxa"/>
            <w:vAlign w:val="bottom"/>
          </w:tcPr>
          <w:p>
            <w:pPr>
              <w:spacing w:after="0"/>
              <w:rPr>
                <w:sz w:val="24"/>
                <w:szCs w:val="24"/>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101.PRE*</w:t>
            </w:r>
          </w:p>
        </w:tc>
        <w:tc>
          <w:tcPr>
            <w:tcW w:w="200" w:type="dxa"/>
            <w:vAlign w:val="bottom"/>
          </w:tcPr>
          <w:p>
            <w:pPr>
              <w:spacing w:after="0"/>
              <w:rPr>
                <w:sz w:val="24"/>
                <w:szCs w:val="24"/>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4"/>
        </w:trPr>
        <w:tc>
          <w:tcPr>
            <w:tcW w:w="96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200" w:type="dxa"/>
            <w:vAlign w:val="bottom"/>
          </w:tcPr>
          <w:p>
            <w:pPr>
              <w:spacing w:after="0"/>
              <w:rPr>
                <w:sz w:val="24"/>
                <w:szCs w:val="24"/>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rPr>
              <w:t>Cover page Interactive Data File (embedded within the inline XBRL document contained in Exhibit 101)</w:t>
            </w:r>
          </w:p>
        </w:tc>
      </w:tr>
      <w:tr>
        <w:trPr>
          <w:trHeight w:val="231"/>
        </w:trPr>
        <w:tc>
          <w:tcPr>
            <w:tcW w:w="960" w:type="dxa"/>
            <w:vAlign w:val="bottom"/>
          </w:tcPr>
          <w:p>
            <w:pPr>
              <w:spacing w:after="0"/>
              <w:rPr>
                <w:sz w:val="20"/>
                <w:szCs w:val="20"/>
                <w:color w:val="auto"/>
              </w:rPr>
            </w:pPr>
          </w:p>
        </w:tc>
        <w:tc>
          <w:tcPr>
            <w:tcW w:w="10160" w:type="dxa"/>
            <w:vAlign w:val="bottom"/>
            <w:gridSpan w:val="24"/>
          </w:tcPr>
          <w:p>
            <w:pPr>
              <w:ind w:left="100"/>
              <w:spacing w:after="0"/>
              <w:rPr>
                <w:sz w:val="20"/>
                <w:szCs w:val="20"/>
                <w:color w:val="auto"/>
              </w:rPr>
            </w:pPr>
            <w:r>
              <w:rPr>
                <w:rFonts w:ascii="Arial" w:cs="Arial" w:eastAsia="Arial" w:hAnsi="Arial"/>
                <w:sz w:val="14"/>
                <w:szCs w:val="14"/>
                <w:color w:val="auto"/>
              </w:rPr>
              <w:t>*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RENT-A-CENTER, INC.</w:t>
      </w:r>
    </w:p>
    <w:p>
      <w:pPr>
        <w:spacing w:after="0" w:line="29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MAUREEN B. SHORT</w:t>
            </w:r>
          </w:p>
        </w:tc>
      </w:tr>
      <w:tr>
        <w:trPr>
          <w:trHeight w:val="222"/>
        </w:trPr>
        <w:tc>
          <w:tcPr>
            <w:tcW w:w="2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0"/>
              </w:rPr>
              <w:t>Maureen B. Short</w:t>
            </w:r>
          </w:p>
        </w:tc>
      </w:tr>
      <w:tr>
        <w:trPr>
          <w:trHeight w:val="230"/>
        </w:trPr>
        <w:tc>
          <w:tcPr>
            <w:tcW w:w="28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i w:val="1"/>
                <w:iCs w:val="1"/>
                <w:color w:val="auto"/>
                <w:w w:val="93"/>
              </w:rPr>
              <w:t>EVP, Chief Financial Officer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039" w:right="37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u w:val="single" w:color="auto"/>
          <w:color w:val="auto"/>
        </w:rPr>
        <w:t>Exhibit 31.1</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Mitchell E. Fadel, certify that:</w:t>
      </w:r>
    </w:p>
    <w:p>
      <w:pPr>
        <w:spacing w:after="0" w:line="225"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Mitchell E. Fadel</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Mitchell E. Fadel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3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u w:val="single" w:color="auto"/>
          <w:color w:val="auto"/>
        </w:rPr>
        <w:t>Exhibit 31.2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Maureen B. Short, certify that:</w:t>
      </w:r>
    </w:p>
    <w:p>
      <w:pPr>
        <w:spacing w:after="0" w:line="225"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Maureen B. Short</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Maureen B. Short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Executive Vice President - 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3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207"/>
        <w:spacing w:after="0" w:line="265" w:lineRule="auto"/>
        <w:rPr>
          <w:sz w:val="20"/>
          <w:szCs w:val="20"/>
          <w:color w:val="auto"/>
        </w:rPr>
      </w:pPr>
      <w:r>
        <w:rPr>
          <w:rFonts w:ascii="Arial" w:cs="Arial" w:eastAsia="Arial" w:hAnsi="Arial"/>
          <w:sz w:val="21"/>
          <w:szCs w:val="21"/>
          <w:color w:val="auto"/>
        </w:rPr>
        <w:t>In connection with the Quarterly Report on Form 10-Q of Rent-A-Center,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 the period ended June 30, 2022, as filed with the Securities and Exchange Commission on the date hereof (the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202"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Mitchell E. Fadel</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Mitchell E. Fadel</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 and Director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August 4, 2022</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207"/>
        <w:spacing w:after="0" w:line="250" w:lineRule="auto"/>
        <w:rPr>
          <w:sz w:val="20"/>
          <w:szCs w:val="20"/>
          <w:color w:val="auto"/>
        </w:rPr>
      </w:pPr>
      <w:r>
        <w:rPr>
          <w:rFonts w:ascii="Arial" w:cs="Arial" w:eastAsia="Arial" w:hAnsi="Arial"/>
          <w:sz w:val="22"/>
          <w:szCs w:val="22"/>
          <w:color w:val="auto"/>
        </w:rPr>
        <w:t>In connection with the Quarterly Report on Form 10-Q of Rent-A-Center,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for the period ended June 30, 2022, as filed with the Securities and Exchange Commission on the date hereof (the "</w:t>
      </w:r>
      <w:r>
        <w:rPr>
          <w:rFonts w:ascii="Arial" w:cs="Arial" w:eastAsia="Arial" w:hAnsi="Arial"/>
          <w:sz w:val="22"/>
          <w:szCs w:val="22"/>
          <w:b w:val="1"/>
          <w:bCs w:val="1"/>
          <w:i w:val="1"/>
          <w:iCs w:val="1"/>
          <w:color w:val="auto"/>
        </w:rPr>
        <w:t>Report</w:t>
      </w:r>
      <w:r>
        <w:rPr>
          <w:rFonts w:ascii="Arial" w:cs="Arial" w:eastAsia="Arial" w:hAnsi="Arial"/>
          <w:sz w:val="22"/>
          <w:szCs w:val="22"/>
          <w:color w:val="auto"/>
        </w:rPr>
        <w:t>"), I, Maureen B. Short, Chief Financial Officer of the Company, hereby certify, pursuant to 18 U.S.C. Section 1350, as adopted pursuant to Section 906 of the Sarbanes-Oxley Act of 2002, that, to the best of my knowledge:</w:t>
      </w:r>
    </w:p>
    <w:p>
      <w:pPr>
        <w:spacing w:after="0" w:line="215"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Maureen B. Short</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Maureen B. Short</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Executive Vice President,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August 4, 2022</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lvl w:ilvl="1">
      <w:lvlJc w:val="left"/>
      <w:lvlText w:val="(%2)"/>
      <w:numFmt w:val="lowerRoman"/>
      <w:start w:val="4"/>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2"/>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9" Type="http://schemas.openxmlformats.org/officeDocument/2006/relationships/image" Target="media/image44.png"/><Relationship Id="rId51" Type="http://schemas.openxmlformats.org/officeDocument/2006/relationships/hyperlink" Target="http://www.sec.gov/Archives/edgar/data/933036/000095013402016210/d02215exv3w1.txt" TargetMode="External"/><Relationship Id="rId52" Type="http://schemas.openxmlformats.org/officeDocument/2006/relationships/hyperlink" Target="http://www.sec.gov/Archives/edgar/data/933036/000095013404010948/d17068exv3w2.txt" TargetMode="External"/><Relationship Id="rId53" Type="http://schemas.openxmlformats.org/officeDocument/2006/relationships/hyperlink" Target="http://www.sec.gov/Archives/edgar/data/0000933036/000110465921078652/tm2119045d1_ex3-1.htm" TargetMode="External"/><Relationship Id="rId54" Type="http://schemas.openxmlformats.org/officeDocument/2006/relationships/hyperlink" Target="http://www.sec.gov/Archives/edgar/data/933036/000093303617000022/exhibit31march282017america.htm" TargetMode="External"/><Relationship Id="rId55" Type="http://schemas.openxmlformats.org/officeDocument/2006/relationships/hyperlink" Target="http://www.sec.gov/Archives/edgar/data/933036/000110465922070158/tm2218057d1_ex3-1.htm" TargetMode="External"/><Relationship Id="rId56" Type="http://schemas.openxmlformats.org/officeDocument/2006/relationships/hyperlink" Target="http://www.sec.gov/Archives/edgar/data/933036/000093303617000033/ex-41_q12017.htm" TargetMode="External"/><Relationship Id="rId57" Type="http://schemas.openxmlformats.org/officeDocument/2006/relationships/hyperlink" Target="http://www.sec.gov/Archives/edgar/data/933036/000110465921024846/tm216741d1_ex4-1.htm" TargetMode="External"/><Relationship Id="rId58" Type="http://schemas.openxmlformats.org/officeDocument/2006/relationships/hyperlink" Target="http://www.sec.gov/Archives/edgar/data/933036/000093303621000049/ex-43_q4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2022-08-05T05:27:50Z</dcterms:created>
  <dcterms:modified xsi:type="dcterms:W3CDTF">2022-08-05T05:27:50Z</dcterms:modified>
</cp:coreProperties>
</file>