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3979545</wp:posOffset>
            </wp:positionH>
            <wp:positionV relativeFrom="paragraph">
              <wp:posOffset>-624840</wp:posOffset>
            </wp:positionV>
            <wp:extent cx="57785" cy="638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741680</wp:posOffset>
            </wp:positionV>
            <wp:extent cx="7046595" cy="4592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9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LANGENSTEIN MOLLY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5501 HEADQUARTERS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UPBOUND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UPBD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640" w:firstLine="2"/>
        <w:spacing w:after="0" w:line="25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9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9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10/27/2026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16.99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37,734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54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Deferred Stock Unit represents the right to receive one share of the common stock, $.01 par value per share, of the issuer ("Common Stock"). The Director Deferred Stock Units are fully vested and non-forfeitable. The Common Stock will be issued to the reporting person upon the termination of their service as a member of the issuer's board of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Andrew West,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33246" TargetMode="External"/><Relationship Id="rId14" Type="http://schemas.openxmlformats.org/officeDocument/2006/relationships/hyperlink" Target="http://www.sec.gov/cgi-bin/browse-edgar?action=getcompany&amp;CIK=0000933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2026-10-29T16:24:35Z</dcterms:created>
  <dcterms:modified xsi:type="dcterms:W3CDTF">2026-10-29T16:24:35Z</dcterms:modified>
</cp:coreProperties>
</file>