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0"/>
        <w:spacing w:after="0"/>
        <w:rPr>
          <w:sz w:val="20"/>
          <w:szCs w:val="20"/>
          <w:color w:val="auto"/>
        </w:rPr>
      </w:pPr>
      <w:r>
        <w:rPr>
          <w:rFonts w:ascii="Times New Roman" w:cs="Times New Roman" w:eastAsia="Times New Roman" w:hAnsi="Times New Roman"/>
          <w:sz w:val="23"/>
          <w:szCs w:val="23"/>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3"/>
          <w:szCs w:val="23"/>
          <w:b w:val="1"/>
          <w:bCs w:val="1"/>
          <w:color w:val="auto"/>
        </w:rPr>
        <w:t>SECURITIES AND EXCHANGE COMMISSION</w:t>
      </w:r>
    </w:p>
    <w:p>
      <w:pPr>
        <w:spacing w:after="0" w:line="14" w:lineRule="exact"/>
        <w:rPr>
          <w:sz w:val="24"/>
          <w:szCs w:val="24"/>
          <w:color w:val="auto"/>
        </w:rPr>
      </w:pPr>
    </w:p>
    <w:p>
      <w:pPr>
        <w:ind w:left="4760"/>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10"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1"/>
          <w:szCs w:val="31"/>
          <w:b w:val="1"/>
          <w:bCs w:val="1"/>
          <w:color w:val="auto"/>
        </w:rPr>
        <w:t>Form 10-Q</w:t>
      </w:r>
    </w:p>
    <w:p>
      <w:pPr>
        <w:spacing w:after="0" w:line="105"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(Mark One)</w:t>
      </w:r>
    </w:p>
    <w:p>
      <w:pPr>
        <w:spacing w:after="0" w:line="26" w:lineRule="exact"/>
        <w:rPr>
          <w:sz w:val="24"/>
          <w:szCs w:val="24"/>
          <w:color w:val="auto"/>
        </w:rPr>
      </w:pPr>
    </w:p>
    <w:p>
      <w:pPr>
        <w:ind w:left="660" w:hanging="652"/>
        <w:spacing w:after="0"/>
        <w:tabs>
          <w:tab w:leader="none" w:pos="660" w:val="left"/>
        </w:tabs>
        <w:numPr>
          <w:ilvl w:val="0"/>
          <w:numId w:val="1"/>
        </w:numPr>
        <w:rPr>
          <w:rFonts w:ascii="MS PGothic" w:cs="MS PGothic" w:eastAsia="MS PGothic" w:hAnsi="MS PGothic"/>
          <w:sz w:val="15"/>
          <w:szCs w:val="15"/>
          <w:color w:val="auto"/>
        </w:rPr>
      </w:pPr>
      <w:r>
        <w:rPr>
          <w:rFonts w:ascii="Times New Roman" w:cs="Times New Roman" w:eastAsia="Times New Roman" w:hAnsi="Times New Roman"/>
          <w:sz w:val="15"/>
          <w:szCs w:val="15"/>
          <w:b w:val="1"/>
          <w:bCs w:val="1"/>
          <w:color w:val="auto"/>
        </w:rPr>
        <w:t>QUARTERLY REPORT PURSUANT TO SECTION 13 OR 15(d) OF THE SECURITIES EXCHANGE ACT OF 1934</w:t>
      </w:r>
    </w:p>
    <w:p>
      <w:pPr>
        <w:spacing w:after="0" w:line="64"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5"/>
          <w:szCs w:val="15"/>
          <w:b w:val="1"/>
          <w:bCs w:val="1"/>
          <w:color w:val="auto"/>
        </w:rPr>
        <w:t>For the quarterly period ended September 30, 2026</w:t>
      </w:r>
    </w:p>
    <w:p>
      <w:pPr>
        <w:jc w:val="center"/>
        <w:ind w:right="40"/>
        <w:spacing w:after="0"/>
        <w:rPr>
          <w:sz w:val="20"/>
          <w:szCs w:val="20"/>
          <w:color w:val="auto"/>
        </w:rPr>
      </w:pPr>
      <w:r>
        <w:rPr>
          <w:rFonts w:ascii="Times New Roman" w:cs="Times New Roman" w:eastAsia="Times New Roman" w:hAnsi="Times New Roman"/>
          <w:sz w:val="13"/>
          <w:szCs w:val="13"/>
          <w:b w:val="1"/>
          <w:bCs w:val="1"/>
          <w:color w:val="auto"/>
        </w:rPr>
        <w:t>or</w:t>
      </w:r>
    </w:p>
    <w:p>
      <w:pPr>
        <w:spacing w:after="0" w:line="9" w:lineRule="exact"/>
        <w:rPr>
          <w:sz w:val="24"/>
          <w:szCs w:val="24"/>
          <w:color w:val="auto"/>
        </w:rPr>
      </w:pPr>
    </w:p>
    <w:p>
      <w:pPr>
        <w:ind w:left="660" w:hanging="652"/>
        <w:spacing w:after="0"/>
        <w:tabs>
          <w:tab w:leader="none" w:pos="660" w:val="left"/>
        </w:tabs>
        <w:numPr>
          <w:ilvl w:val="0"/>
          <w:numId w:val="2"/>
        </w:numPr>
        <w:rPr>
          <w:rFonts w:ascii="MS PGothic" w:cs="MS PGothic" w:eastAsia="MS PGothic" w:hAnsi="MS PGothic"/>
          <w:sz w:val="15"/>
          <w:szCs w:val="15"/>
          <w:color w:val="auto"/>
        </w:rPr>
      </w:pPr>
      <w:r>
        <w:rPr>
          <w:rFonts w:ascii="Times New Roman" w:cs="Times New Roman" w:eastAsia="Times New Roman" w:hAnsi="Times New Roman"/>
          <w:sz w:val="15"/>
          <w:szCs w:val="15"/>
          <w:b w:val="1"/>
          <w:bCs w:val="1"/>
          <w:color w:val="auto"/>
        </w:rPr>
        <w:t>TRANSITION REPORT PURSUANT TO SECTION 13 OR 15(d) OF THE SECURITIES EXCHANGE ACT OF 1934</w:t>
      </w:r>
    </w:p>
    <w:p>
      <w:pPr>
        <w:spacing w:after="0" w:line="6" w:lineRule="exact"/>
        <w:rPr>
          <w:sz w:val="24"/>
          <w:szCs w:val="24"/>
          <w:color w:val="auto"/>
        </w:rPr>
      </w:pPr>
    </w:p>
    <w:tbl>
      <w:tblPr>
        <w:tblLayout w:type="fixed"/>
        <w:tblInd w:w="1260" w:type="dxa"/>
        <w:tblCellMar>
          <w:top w:w="0" w:type="dxa"/>
          <w:left w:w="0" w:type="dxa"/>
          <w:bottom w:w="0" w:type="dxa"/>
          <w:right w:w="0" w:type="dxa"/>
        </w:tblCellMar>
      </w:tblPr>
      <w:tr>
        <w:trPr>
          <w:trHeight w:val="172"/>
        </w:trPr>
        <w:tc>
          <w:tcPr>
            <w:tcW w:w="5800" w:type="dxa"/>
            <w:vAlign w:val="bottom"/>
          </w:tcPr>
          <w:p>
            <w:pPr>
              <w:ind w:left="2700"/>
              <w:spacing w:after="0"/>
              <w:rPr>
                <w:sz w:val="20"/>
                <w:szCs w:val="20"/>
                <w:color w:val="auto"/>
              </w:rPr>
            </w:pPr>
            <w:r>
              <w:rPr>
                <w:rFonts w:ascii="Times New Roman" w:cs="Times New Roman" w:eastAsia="Times New Roman" w:hAnsi="Times New Roman"/>
                <w:sz w:val="15"/>
                <w:szCs w:val="15"/>
                <w:b w:val="1"/>
                <w:bCs w:val="1"/>
                <w:color w:val="auto"/>
              </w:rPr>
              <w:t>For the transition period from</w:t>
            </w:r>
          </w:p>
        </w:tc>
        <w:tc>
          <w:tcPr>
            <w:tcW w:w="2220" w:type="dxa"/>
            <w:vAlign w:val="bottom"/>
          </w:tcPr>
          <w:p>
            <w:pPr>
              <w:ind w:left="100"/>
              <w:spacing w:after="0"/>
              <w:rPr>
                <w:sz w:val="20"/>
                <w:szCs w:val="20"/>
                <w:color w:val="auto"/>
              </w:rPr>
            </w:pPr>
            <w:r>
              <w:rPr>
                <w:rFonts w:ascii="Times New Roman" w:cs="Times New Roman" w:eastAsia="Times New Roman" w:hAnsi="Times New Roman"/>
                <w:sz w:val="15"/>
                <w:szCs w:val="15"/>
                <w:b w:val="1"/>
                <w:bCs w:val="1"/>
                <w:color w:val="auto"/>
              </w:rPr>
              <w:t>to</w:t>
            </w:r>
          </w:p>
        </w:tc>
      </w:tr>
      <w:tr>
        <w:trPr>
          <w:trHeight w:val="156"/>
        </w:trPr>
        <w:tc>
          <w:tcPr>
            <w:tcW w:w="5800" w:type="dxa"/>
            <w:vAlign w:val="bottom"/>
          </w:tcPr>
          <w:p>
            <w:pPr>
              <w:jc w:val="center"/>
              <w:ind w:left="2813"/>
              <w:spacing w:after="0" w:line="156" w:lineRule="exact"/>
              <w:rPr>
                <w:sz w:val="20"/>
                <w:szCs w:val="20"/>
                <w:color w:val="auto"/>
              </w:rPr>
            </w:pPr>
            <w:r>
              <w:rPr>
                <w:rFonts w:ascii="Times New Roman" w:cs="Times New Roman" w:eastAsia="Times New Roman" w:hAnsi="Times New Roman"/>
                <w:sz w:val="15"/>
                <w:szCs w:val="15"/>
                <w:b w:val="1"/>
                <w:bCs w:val="1"/>
                <w:color w:val="auto"/>
              </w:rPr>
              <w:t>Commission File Number: 001-38047</w:t>
            </w:r>
          </w:p>
        </w:tc>
        <w:tc>
          <w:tcPr>
            <w:tcW w:w="2220" w:type="dxa"/>
            <w:vAlign w:val="bottom"/>
          </w:tcPr>
          <w:p>
            <w:pPr>
              <w:spacing w:after="0"/>
              <w:rPr>
                <w:sz w:val="13"/>
                <w:szCs w:val="13"/>
                <w:color w:val="auto"/>
              </w:rPr>
            </w:pPr>
          </w:p>
        </w:tc>
      </w:tr>
      <w:tr>
        <w:trPr>
          <w:trHeight w:val="452"/>
        </w:trPr>
        <w:tc>
          <w:tcPr>
            <w:tcW w:w="8020" w:type="dxa"/>
            <w:vAlign w:val="bottom"/>
            <w:gridSpan w:val="2"/>
          </w:tcPr>
          <w:p>
            <w:pPr>
              <w:ind w:left="2480"/>
              <w:spacing w:after="0" w:line="451" w:lineRule="exact"/>
              <w:rPr>
                <w:sz w:val="20"/>
                <w:szCs w:val="20"/>
                <w:color w:val="auto"/>
              </w:rPr>
            </w:pPr>
            <w:r>
              <w:rPr>
                <w:rFonts w:ascii="Times New Roman" w:cs="Times New Roman" w:eastAsia="Times New Roman" w:hAnsi="Times New Roman"/>
                <w:sz w:val="40"/>
                <w:szCs w:val="40"/>
                <w:b w:val="1"/>
                <w:bCs w:val="1"/>
                <w:color w:val="auto"/>
              </w:rPr>
              <w:t>Upbound Group, Inc.</w:t>
            </w:r>
          </w:p>
        </w:tc>
      </w:tr>
      <w:tr>
        <w:trPr>
          <w:trHeight w:val="166"/>
        </w:trPr>
        <w:tc>
          <w:tcPr>
            <w:tcW w:w="5800" w:type="dxa"/>
            <w:vAlign w:val="bottom"/>
          </w:tcPr>
          <w:p>
            <w:pPr>
              <w:jc w:val="center"/>
              <w:ind w:left="2833"/>
              <w:spacing w:after="0"/>
              <w:rPr>
                <w:sz w:val="20"/>
                <w:szCs w:val="20"/>
                <w:color w:val="auto"/>
              </w:rPr>
            </w:pPr>
            <w:r>
              <w:rPr>
                <w:rFonts w:ascii="Times New Roman" w:cs="Times New Roman" w:eastAsia="Times New Roman" w:hAnsi="Times New Roman"/>
                <w:sz w:val="13"/>
                <w:szCs w:val="13"/>
                <w:i w:val="1"/>
                <w:iCs w:val="1"/>
                <w:color w:val="auto"/>
                <w:w w:val="96"/>
              </w:rPr>
              <w:t>(Exact name of registrant as specified in its charter)</w:t>
            </w:r>
          </w:p>
        </w:tc>
        <w:tc>
          <w:tcPr>
            <w:tcW w:w="2220" w:type="dxa"/>
            <w:vAlign w:val="bottom"/>
          </w:tcPr>
          <w:p>
            <w:pPr>
              <w:spacing w:after="0"/>
              <w:rPr>
                <w:sz w:val="14"/>
                <w:szCs w:val="14"/>
                <w:color w:val="auto"/>
              </w:rPr>
            </w:pPr>
          </w:p>
        </w:tc>
      </w:tr>
      <w:tr>
        <w:trPr>
          <w:trHeight w:val="251"/>
        </w:trPr>
        <w:tc>
          <w:tcPr>
            <w:tcW w:w="5800" w:type="dxa"/>
            <w:vAlign w:val="bottom"/>
          </w:tcPr>
          <w:p>
            <w:pPr>
              <w:jc w:val="center"/>
              <w:ind w:right="3173"/>
              <w:spacing w:after="0"/>
              <w:rPr>
                <w:sz w:val="20"/>
                <w:szCs w:val="20"/>
                <w:color w:val="auto"/>
              </w:rPr>
            </w:pPr>
            <w:r>
              <w:rPr>
                <w:rFonts w:ascii="Times New Roman" w:cs="Times New Roman" w:eastAsia="Times New Roman" w:hAnsi="Times New Roman"/>
                <w:sz w:val="15"/>
                <w:szCs w:val="15"/>
                <w:b w:val="1"/>
                <w:bCs w:val="1"/>
                <w:color w:val="auto"/>
              </w:rPr>
              <w:t>Delaware</w:t>
            </w:r>
          </w:p>
        </w:tc>
        <w:tc>
          <w:tcPr>
            <w:tcW w:w="2220" w:type="dxa"/>
            <w:vAlign w:val="bottom"/>
          </w:tcPr>
          <w:p>
            <w:pPr>
              <w:jc w:val="right"/>
              <w:ind w:right="126"/>
              <w:spacing w:after="0"/>
              <w:rPr>
                <w:sz w:val="20"/>
                <w:szCs w:val="20"/>
                <w:color w:val="auto"/>
              </w:rPr>
            </w:pPr>
            <w:r>
              <w:rPr>
                <w:rFonts w:ascii="Times New Roman" w:cs="Times New Roman" w:eastAsia="Times New Roman" w:hAnsi="Times New Roman"/>
                <w:sz w:val="15"/>
                <w:szCs w:val="15"/>
                <w:b w:val="1"/>
                <w:bCs w:val="1"/>
                <w:color w:val="auto"/>
              </w:rPr>
              <w:t>45-0491516</w:t>
            </w:r>
          </w:p>
        </w:tc>
      </w:tr>
      <w:tr>
        <w:trPr>
          <w:trHeight w:val="162"/>
        </w:trPr>
        <w:tc>
          <w:tcPr>
            <w:tcW w:w="5800" w:type="dxa"/>
            <w:vAlign w:val="bottom"/>
          </w:tcPr>
          <w:p>
            <w:pPr>
              <w:jc w:val="center"/>
              <w:ind w:right="3153"/>
              <w:spacing w:after="0" w:line="162" w:lineRule="exact"/>
              <w:rPr>
                <w:sz w:val="20"/>
                <w:szCs w:val="20"/>
                <w:color w:val="auto"/>
              </w:rPr>
            </w:pPr>
            <w:r>
              <w:rPr>
                <w:rFonts w:ascii="Times New Roman" w:cs="Times New Roman" w:eastAsia="Times New Roman" w:hAnsi="Times New Roman"/>
                <w:sz w:val="15"/>
                <w:szCs w:val="15"/>
                <w:i w:val="1"/>
                <w:iCs w:val="1"/>
                <w:color w:val="auto"/>
              </w:rPr>
              <w:t>(State or other jurisdiction of</w:t>
            </w:r>
          </w:p>
        </w:tc>
        <w:tc>
          <w:tcPr>
            <w:tcW w:w="2220" w:type="dxa"/>
            <w:vAlign w:val="bottom"/>
          </w:tcPr>
          <w:p>
            <w:pPr>
              <w:jc w:val="center"/>
              <w:ind w:left="1006"/>
              <w:spacing w:after="0" w:line="162" w:lineRule="exact"/>
              <w:rPr>
                <w:sz w:val="20"/>
                <w:szCs w:val="20"/>
                <w:color w:val="auto"/>
              </w:rPr>
            </w:pPr>
            <w:r>
              <w:rPr>
                <w:rFonts w:ascii="Times New Roman" w:cs="Times New Roman" w:eastAsia="Times New Roman" w:hAnsi="Times New Roman"/>
                <w:sz w:val="15"/>
                <w:szCs w:val="15"/>
                <w:i w:val="1"/>
                <w:iCs w:val="1"/>
                <w:color w:val="auto"/>
              </w:rPr>
              <w:t>(I.R.S. Employer</w:t>
            </w:r>
          </w:p>
        </w:tc>
      </w:tr>
      <w:tr>
        <w:trPr>
          <w:trHeight w:val="162"/>
        </w:trPr>
        <w:tc>
          <w:tcPr>
            <w:tcW w:w="5800" w:type="dxa"/>
            <w:vAlign w:val="bottom"/>
          </w:tcPr>
          <w:p>
            <w:pPr>
              <w:jc w:val="center"/>
              <w:ind w:right="3153"/>
              <w:spacing w:after="0" w:line="162" w:lineRule="exact"/>
              <w:rPr>
                <w:sz w:val="20"/>
                <w:szCs w:val="20"/>
                <w:color w:val="auto"/>
              </w:rPr>
            </w:pPr>
            <w:r>
              <w:rPr>
                <w:rFonts w:ascii="Times New Roman" w:cs="Times New Roman" w:eastAsia="Times New Roman" w:hAnsi="Times New Roman"/>
                <w:sz w:val="15"/>
                <w:szCs w:val="15"/>
                <w:i w:val="1"/>
                <w:iCs w:val="1"/>
                <w:color w:val="auto"/>
              </w:rPr>
              <w:t>incorporation or organization)</w:t>
            </w:r>
          </w:p>
        </w:tc>
        <w:tc>
          <w:tcPr>
            <w:tcW w:w="2220" w:type="dxa"/>
            <w:vAlign w:val="bottom"/>
          </w:tcPr>
          <w:p>
            <w:pPr>
              <w:jc w:val="center"/>
              <w:ind w:left="1026"/>
              <w:spacing w:after="0" w:line="162" w:lineRule="exact"/>
              <w:rPr>
                <w:sz w:val="20"/>
                <w:szCs w:val="20"/>
                <w:color w:val="auto"/>
              </w:rPr>
            </w:pPr>
            <w:r>
              <w:rPr>
                <w:rFonts w:ascii="Times New Roman" w:cs="Times New Roman" w:eastAsia="Times New Roman" w:hAnsi="Times New Roman"/>
                <w:sz w:val="15"/>
                <w:szCs w:val="15"/>
                <w:i w:val="1"/>
                <w:iCs w:val="1"/>
                <w:color w:val="auto"/>
              </w:rPr>
              <w:t>Identification No.)</w:t>
            </w:r>
          </w:p>
        </w:tc>
      </w:tr>
      <w:tr>
        <w:trPr>
          <w:trHeight w:val="177"/>
        </w:trPr>
        <w:tc>
          <w:tcPr>
            <w:tcW w:w="5800" w:type="dxa"/>
            <w:vAlign w:val="bottom"/>
          </w:tcPr>
          <w:p>
            <w:pPr>
              <w:jc w:val="center"/>
              <w:ind w:right="3153"/>
              <w:spacing w:after="0"/>
              <w:rPr>
                <w:sz w:val="20"/>
                <w:szCs w:val="20"/>
                <w:color w:val="auto"/>
              </w:rPr>
            </w:pPr>
            <w:r>
              <w:rPr>
                <w:rFonts w:ascii="Times New Roman" w:cs="Times New Roman" w:eastAsia="Times New Roman" w:hAnsi="Times New Roman"/>
                <w:sz w:val="15"/>
                <w:szCs w:val="15"/>
                <w:b w:val="1"/>
                <w:bCs w:val="1"/>
                <w:color w:val="auto"/>
              </w:rPr>
              <w:t>5501 Headquarters Drive, Plano, Texas</w:t>
            </w:r>
          </w:p>
        </w:tc>
        <w:tc>
          <w:tcPr>
            <w:tcW w:w="2220" w:type="dxa"/>
            <w:vAlign w:val="bottom"/>
          </w:tcPr>
          <w:p>
            <w:pPr>
              <w:jc w:val="right"/>
              <w:ind w:right="306"/>
              <w:spacing w:after="0"/>
              <w:rPr>
                <w:sz w:val="20"/>
                <w:szCs w:val="20"/>
                <w:color w:val="auto"/>
              </w:rPr>
            </w:pPr>
            <w:r>
              <w:rPr>
                <w:rFonts w:ascii="Times New Roman" w:cs="Times New Roman" w:eastAsia="Times New Roman" w:hAnsi="Times New Roman"/>
                <w:sz w:val="15"/>
                <w:szCs w:val="15"/>
                <w:b w:val="1"/>
                <w:bCs w:val="1"/>
                <w:color w:val="auto"/>
              </w:rPr>
              <w:t>75024</w:t>
            </w:r>
          </w:p>
        </w:tc>
      </w:tr>
      <w:tr>
        <w:trPr>
          <w:trHeight w:val="166"/>
        </w:trPr>
        <w:tc>
          <w:tcPr>
            <w:tcW w:w="5800" w:type="dxa"/>
            <w:vAlign w:val="bottom"/>
          </w:tcPr>
          <w:p>
            <w:pPr>
              <w:jc w:val="center"/>
              <w:ind w:right="3153"/>
              <w:spacing w:after="0"/>
              <w:rPr>
                <w:sz w:val="20"/>
                <w:szCs w:val="20"/>
                <w:color w:val="auto"/>
              </w:rPr>
            </w:pPr>
            <w:r>
              <w:rPr>
                <w:rFonts w:ascii="Times New Roman" w:cs="Times New Roman" w:eastAsia="Times New Roman" w:hAnsi="Times New Roman"/>
                <w:sz w:val="13"/>
                <w:szCs w:val="13"/>
                <w:b w:val="1"/>
                <w:bCs w:val="1"/>
                <w:color w:val="auto"/>
                <w:w w:val="96"/>
              </w:rPr>
              <w:t>(Address of principal executive offices)</w:t>
            </w:r>
          </w:p>
        </w:tc>
        <w:tc>
          <w:tcPr>
            <w:tcW w:w="2220" w:type="dxa"/>
            <w:vAlign w:val="bottom"/>
          </w:tcPr>
          <w:p>
            <w:pPr>
              <w:jc w:val="center"/>
              <w:ind w:left="1026"/>
              <w:spacing w:after="0"/>
              <w:rPr>
                <w:sz w:val="20"/>
                <w:szCs w:val="20"/>
                <w:color w:val="auto"/>
              </w:rPr>
            </w:pPr>
            <w:r>
              <w:rPr>
                <w:rFonts w:ascii="Times New Roman" w:cs="Times New Roman" w:eastAsia="Times New Roman" w:hAnsi="Times New Roman"/>
                <w:sz w:val="13"/>
                <w:szCs w:val="13"/>
                <w:b w:val="1"/>
                <w:bCs w:val="1"/>
                <w:i w:val="1"/>
                <w:iCs w:val="1"/>
                <w:color w:val="auto"/>
                <w:w w:val="97"/>
              </w:rPr>
              <w:t>(Zip Code)</w:t>
            </w:r>
          </w:p>
        </w:tc>
      </w:tr>
    </w:tbl>
    <w:p>
      <w:pPr>
        <w:spacing w:after="0" w:line="95"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(972) 801-1100</w:t>
      </w:r>
    </w:p>
    <w:p>
      <w:pPr>
        <w:spacing w:after="0" w:line="2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(Registrant’s telephone number, including area code)</w:t>
      </w: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(Former name, former address and former fiscal year, if changed since last report)</w:t>
      </w:r>
    </w:p>
    <w:p>
      <w:pPr>
        <w:spacing w:after="0" w:line="8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Securities registered pursuant to Section 12(b) of the Act:</w:t>
      </w:r>
    </w:p>
    <w:p>
      <w:pPr>
        <w:spacing w:after="0" w:line="176" w:lineRule="exact"/>
        <w:rPr>
          <w:sz w:val="24"/>
          <w:szCs w:val="24"/>
          <w:color w:val="auto"/>
        </w:rPr>
      </w:pPr>
    </w:p>
    <w:p>
      <w:pPr>
        <w:ind w:left="1820"/>
        <w:spacing w:after="0"/>
        <w:tabs>
          <w:tab w:leader="none" w:pos="5100" w:val="left"/>
          <w:tab w:leader="none" w:pos="7760" w:val="left"/>
        </w:tabs>
        <w:rPr>
          <w:sz w:val="20"/>
          <w:szCs w:val="20"/>
          <w:color w:val="auto"/>
        </w:rPr>
      </w:pPr>
      <w:r>
        <w:rPr>
          <w:rFonts w:ascii="Times New Roman" w:cs="Times New Roman" w:eastAsia="Times New Roman" w:hAnsi="Times New Roman"/>
          <w:sz w:val="13"/>
          <w:szCs w:val="13"/>
          <w:b w:val="1"/>
          <w:bCs w:val="1"/>
          <w:color w:val="auto"/>
        </w:rPr>
        <w:t>Title of each class</w:t>
      </w:r>
      <w:r>
        <w:rPr>
          <w:sz w:val="20"/>
          <w:szCs w:val="20"/>
          <w:color w:val="auto"/>
        </w:rPr>
        <w:tab/>
      </w:r>
      <w:r>
        <w:rPr>
          <w:rFonts w:ascii="Times New Roman" w:cs="Times New Roman" w:eastAsia="Times New Roman" w:hAnsi="Times New Roman"/>
          <w:sz w:val="13"/>
          <w:szCs w:val="13"/>
          <w:b w:val="1"/>
          <w:bCs w:val="1"/>
          <w:color w:val="auto"/>
        </w:rPr>
        <w:t>Trading Symbol(s)</w:t>
      </w:r>
      <w:r>
        <w:rPr>
          <w:sz w:val="20"/>
          <w:szCs w:val="20"/>
          <w:color w:val="auto"/>
        </w:rPr>
        <w:tab/>
      </w:r>
      <w:r>
        <w:rPr>
          <w:rFonts w:ascii="Times New Roman" w:cs="Times New Roman" w:eastAsia="Times New Roman" w:hAnsi="Times New Roman"/>
          <w:sz w:val="12"/>
          <w:szCs w:val="12"/>
          <w:b w:val="1"/>
          <w:bCs w:val="1"/>
          <w:color w:val="auto"/>
        </w:rPr>
        <w:t>Name of each exchange on which registered</w:t>
      </w:r>
    </w:p>
    <w:p>
      <w:pPr>
        <w:spacing w:after="0" w:line="79" w:lineRule="exact"/>
        <w:rPr>
          <w:sz w:val="24"/>
          <w:szCs w:val="24"/>
          <w:color w:val="auto"/>
        </w:rPr>
      </w:pPr>
    </w:p>
    <w:p>
      <w:pPr>
        <w:ind w:left="1300"/>
        <w:spacing w:after="0"/>
        <w:tabs>
          <w:tab w:leader="none" w:pos="5400" w:val="left"/>
          <w:tab w:leader="none" w:pos="7900" w:val="left"/>
        </w:tabs>
        <w:rPr>
          <w:sz w:val="20"/>
          <w:szCs w:val="20"/>
          <w:color w:val="auto"/>
        </w:rPr>
      </w:pPr>
      <w:r>
        <w:rPr>
          <w:rFonts w:ascii="Times New Roman" w:cs="Times New Roman" w:eastAsia="Times New Roman" w:hAnsi="Times New Roman"/>
          <w:sz w:val="15"/>
          <w:szCs w:val="15"/>
          <w:b w:val="1"/>
          <w:bCs w:val="1"/>
          <w:color w:val="auto"/>
        </w:rPr>
        <w:t>Common stock, $.01 par value</w:t>
      </w:r>
      <w:r>
        <w:rPr>
          <w:sz w:val="20"/>
          <w:szCs w:val="20"/>
          <w:color w:val="auto"/>
        </w:rPr>
        <w:tab/>
      </w:r>
      <w:r>
        <w:rPr>
          <w:rFonts w:ascii="Times New Roman" w:cs="Times New Roman" w:eastAsia="Times New Roman" w:hAnsi="Times New Roman"/>
          <w:sz w:val="15"/>
          <w:szCs w:val="15"/>
          <w:b w:val="1"/>
          <w:bCs w:val="1"/>
          <w:color w:val="auto"/>
        </w:rPr>
        <w:t>UPBD</w:t>
      </w:r>
      <w:r>
        <w:rPr>
          <w:sz w:val="20"/>
          <w:szCs w:val="20"/>
          <w:color w:val="auto"/>
        </w:rPr>
        <w:tab/>
      </w:r>
      <w:r>
        <w:rPr>
          <w:rFonts w:ascii="Times New Roman" w:cs="Times New Roman" w:eastAsia="Times New Roman" w:hAnsi="Times New Roman"/>
          <w:sz w:val="15"/>
          <w:szCs w:val="15"/>
          <w:b w:val="1"/>
          <w:bCs w:val="1"/>
          <w:color w:val="auto"/>
        </w:rPr>
        <w:t>The Nasdaq Stock Market LLC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118110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90" w:lineRule="exact"/>
        <w:rPr>
          <w:sz w:val="24"/>
          <w:szCs w:val="24"/>
          <w:color w:val="auto"/>
        </w:rPr>
      </w:pPr>
    </w:p>
    <w:p>
      <w:pPr>
        <w:spacing w:after="0" w:line="199"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p>
    <w:p>
      <w:pPr>
        <w:spacing w:after="0" w:line="1" w:lineRule="exact"/>
        <w:rPr>
          <w:sz w:val="24"/>
          <w:szCs w:val="24"/>
          <w:color w:val="auto"/>
        </w:rPr>
      </w:pPr>
    </w:p>
    <w:p>
      <w:pPr>
        <w:ind w:right="20"/>
        <w:spacing w:after="0" w:line="196"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p>
    <w:p>
      <w:pPr>
        <w:spacing w:after="0" w:line="1" w:lineRule="exact"/>
        <w:rPr>
          <w:sz w:val="24"/>
          <w:szCs w:val="24"/>
          <w:color w:val="auto"/>
        </w:rPr>
      </w:pPr>
    </w:p>
    <w:p>
      <w:pPr>
        <w:spacing w:after="0" w:line="252" w:lineRule="auto"/>
        <w:rPr>
          <w:sz w:val="20"/>
          <w:szCs w:val="20"/>
          <w:color w:val="auto"/>
        </w:rPr>
      </w:pPr>
      <w:r>
        <w:rPr>
          <w:rFonts w:ascii="Times New Roman" w:cs="Times New Roman" w:eastAsia="Times New Roman" w:hAnsi="Times New Roman"/>
          <w:sz w:val="15"/>
          <w:szCs w:val="15"/>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995" w:right="339" w:bottom="1440" w:gutter="0" w:footer="0" w:header="0"/>
        </w:sectPr>
      </w:pPr>
    </w:p>
    <w:p>
      <w:pPr>
        <w:spacing w:after="0" w:line="41" w:lineRule="exact"/>
        <w:rPr>
          <w:sz w:val="24"/>
          <w:szCs w:val="24"/>
          <w:color w:val="auto"/>
        </w:rPr>
      </w:pPr>
    </w:p>
    <w:p>
      <w:pPr>
        <w:spacing w:after="0" w:line="173" w:lineRule="exact"/>
        <w:tabs>
          <w:tab w:leader="none" w:pos="3440" w:val="left"/>
          <w:tab w:leader="none" w:pos="7920" w:val="left"/>
        </w:tabs>
        <w:rPr>
          <w:sz w:val="20"/>
          <w:szCs w:val="20"/>
          <w:color w:val="auto"/>
        </w:rPr>
      </w:pPr>
      <w:r>
        <w:rPr>
          <w:rFonts w:ascii="Times New Roman" w:cs="Times New Roman" w:eastAsia="Times New Roman" w:hAnsi="Times New Roman"/>
          <w:sz w:val="15"/>
          <w:szCs w:val="15"/>
          <w:color w:val="auto"/>
        </w:rPr>
        <w:t>Large accelerated filer</w:t>
      </w:r>
      <w:r>
        <w:rPr>
          <w:sz w:val="20"/>
          <w:szCs w:val="20"/>
          <w:color w:val="auto"/>
        </w:rPr>
        <w:tab/>
      </w:r>
      <w:r>
        <w:rPr>
          <w:rFonts w:ascii="MS PGothic" w:cs="MS PGothic" w:eastAsia="MS PGothic" w:hAnsi="MS PGothic"/>
          <w:sz w:val="15"/>
          <w:szCs w:val="15"/>
          <w:color w:val="auto"/>
        </w:rPr>
        <w:t>☒</w:t>
      </w:r>
      <w:r>
        <w:rPr>
          <w:sz w:val="20"/>
          <w:szCs w:val="20"/>
          <w:color w:val="auto"/>
        </w:rPr>
        <w:tab/>
      </w:r>
      <w:r>
        <w:rPr>
          <w:rFonts w:ascii="Times New Roman" w:cs="Times New Roman" w:eastAsia="Times New Roman" w:hAnsi="Times New Roman"/>
          <w:sz w:val="15"/>
          <w:szCs w:val="15"/>
          <w:color w:val="auto"/>
        </w:rPr>
        <w:t>Accelerated filer</w:t>
      </w:r>
    </w:p>
    <w:p>
      <w:pPr>
        <w:spacing w:after="0" w:line="85" w:lineRule="exact"/>
        <w:rPr>
          <w:sz w:val="24"/>
          <w:szCs w:val="24"/>
          <w:color w:val="auto"/>
        </w:rPr>
      </w:pPr>
    </w:p>
    <w:p>
      <w:pPr>
        <w:spacing w:after="0" w:line="173" w:lineRule="exact"/>
        <w:tabs>
          <w:tab w:leader="none" w:pos="3440" w:val="left"/>
          <w:tab w:leader="none" w:pos="7920" w:val="left"/>
        </w:tabs>
        <w:rPr>
          <w:sz w:val="20"/>
          <w:szCs w:val="20"/>
          <w:color w:val="auto"/>
        </w:rPr>
      </w:pPr>
      <w:r>
        <w:rPr>
          <w:rFonts w:ascii="Times New Roman" w:cs="Times New Roman" w:eastAsia="Times New Roman" w:hAnsi="Times New Roman"/>
          <w:sz w:val="15"/>
          <w:szCs w:val="15"/>
          <w:color w:val="auto"/>
        </w:rPr>
        <w:t>Non-accelerated filer</w:t>
      </w:r>
      <w:r>
        <w:rPr>
          <w:sz w:val="20"/>
          <w:szCs w:val="20"/>
          <w:color w:val="auto"/>
        </w:rPr>
        <w:tab/>
      </w:r>
      <w:r>
        <w:rPr>
          <w:rFonts w:ascii="MS PGothic" w:cs="MS PGothic" w:eastAsia="MS PGothic" w:hAnsi="MS PGothic"/>
          <w:sz w:val="15"/>
          <w:szCs w:val="15"/>
          <w:color w:val="auto"/>
        </w:rPr>
        <w:t>☐</w:t>
      </w:r>
      <w:r>
        <w:rPr>
          <w:sz w:val="20"/>
          <w:szCs w:val="20"/>
          <w:color w:val="auto"/>
        </w:rPr>
        <w:tab/>
      </w:r>
      <w:r>
        <w:rPr>
          <w:rFonts w:ascii="Times New Roman" w:cs="Times New Roman" w:eastAsia="Times New Roman" w:hAnsi="Times New Roman"/>
          <w:sz w:val="15"/>
          <w:szCs w:val="15"/>
          <w:color w:val="auto"/>
        </w:rPr>
        <w:t>Smaller reporting company</w:t>
      </w:r>
    </w:p>
    <w:p>
      <w:pPr>
        <w:spacing w:after="0" w:line="78" w:lineRule="exact"/>
        <w:rPr>
          <w:sz w:val="24"/>
          <w:szCs w:val="24"/>
          <w:color w:val="auto"/>
        </w:rPr>
      </w:pPr>
    </w:p>
    <w:p>
      <w:pPr>
        <w:ind w:left="7940"/>
        <w:spacing w:after="0"/>
        <w:rPr>
          <w:sz w:val="20"/>
          <w:szCs w:val="20"/>
          <w:color w:val="auto"/>
        </w:rPr>
      </w:pPr>
      <w:r>
        <w:rPr>
          <w:rFonts w:ascii="Times New Roman" w:cs="Times New Roman" w:eastAsia="Times New Roman" w:hAnsi="Times New Roman"/>
          <w:sz w:val="15"/>
          <w:szCs w:val="15"/>
          <w:color w:val="auto"/>
        </w:rPr>
        <w:t>Emerging Growth Company</w:t>
      </w:r>
    </w:p>
    <w:p>
      <w:pPr>
        <w:spacing w:after="0" w:line="30" w:lineRule="exact"/>
        <w:rPr>
          <w:sz w:val="24"/>
          <w:szCs w:val="24"/>
          <w:color w:val="auto"/>
        </w:rPr>
      </w:pPr>
    </w:p>
    <w:p>
      <w:pPr>
        <w:spacing w:after="0" w:line="261" w:lineRule="auto"/>
        <w:rPr>
          <w:sz w:val="20"/>
          <w:szCs w:val="20"/>
          <w:color w:val="auto"/>
        </w:rPr>
      </w:pPr>
      <w:r>
        <w:rPr>
          <w:rFonts w:ascii="Times New Roman" w:cs="Times New Roman" w:eastAsia="Times New Roman" w:hAnsi="Times New Roman"/>
          <w:sz w:val="15"/>
          <w:szCs w:val="15"/>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84"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Indicate by check mark whether the registrant is a shell company (as defined in Rule 12b-2 of the Exchange Act).</w:t>
      </w:r>
    </w:p>
    <w:p>
      <w:pPr>
        <w:spacing w:after="0" w:line="26" w:lineRule="exact"/>
        <w:rPr>
          <w:sz w:val="24"/>
          <w:szCs w:val="24"/>
          <w:color w:val="auto"/>
        </w:rPr>
      </w:pPr>
    </w:p>
    <w:p>
      <w:pPr>
        <w:spacing w:after="0" w:line="173" w:lineRule="exact"/>
        <w:rPr>
          <w:sz w:val="20"/>
          <w:szCs w:val="20"/>
          <w:color w:val="auto"/>
        </w:rPr>
      </w:pPr>
      <w:r>
        <w:rPr>
          <w:rFonts w:ascii="Times New Roman" w:cs="Times New Roman" w:eastAsia="Times New Roman" w:hAnsi="Times New Roman"/>
          <w:sz w:val="15"/>
          <w:szCs w:val="15"/>
          <w:color w:val="auto"/>
        </w:rPr>
        <w:t xml:space="preserve">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p>
    <w:p>
      <w:pPr>
        <w:spacing w:after="0" w:line="54"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Indicate the number of shares outstanding of each of the issuer</w:t>
      </w:r>
      <w:r>
        <w:rPr>
          <w:rFonts w:ascii="Times New Roman" w:cs="Times New Roman" w:eastAsia="Times New Roman" w:hAnsi="Times New Roman"/>
          <w:sz w:val="17"/>
          <w:szCs w:val="17"/>
          <w:color w:val="auto"/>
        </w:rPr>
        <w:t>’</w:t>
      </w:r>
      <w:r>
        <w:rPr>
          <w:rFonts w:ascii="Times New Roman" w:cs="Times New Roman" w:eastAsia="Times New Roman" w:hAnsi="Times New Roman"/>
          <w:sz w:val="15"/>
          <w:szCs w:val="15"/>
          <w:color w:val="auto"/>
        </w:rPr>
        <w:t>s classes of common stock, as of October 22, 2026:</w:t>
      </w:r>
    </w:p>
    <w:p>
      <w:pPr>
        <w:spacing w:after="0" w:line="95" w:lineRule="exact"/>
        <w:rPr>
          <w:sz w:val="24"/>
          <w:szCs w:val="24"/>
          <w:color w:val="auto"/>
        </w:rPr>
      </w:pPr>
    </w:p>
    <w:p>
      <w:pPr>
        <w:ind w:left="2620"/>
        <w:spacing w:after="0"/>
        <w:tabs>
          <w:tab w:leader="none" w:pos="8060" w:val="left"/>
        </w:tabs>
        <w:rPr>
          <w:sz w:val="20"/>
          <w:szCs w:val="20"/>
          <w:color w:val="auto"/>
        </w:rPr>
      </w:pPr>
      <w:r>
        <w:rPr>
          <w:rFonts w:ascii="Times New Roman" w:cs="Times New Roman" w:eastAsia="Times New Roman" w:hAnsi="Times New Roman"/>
          <w:sz w:val="15"/>
          <w:szCs w:val="15"/>
          <w:color w:val="auto"/>
        </w:rPr>
        <w:t>Class</w:t>
      </w:r>
      <w:r>
        <w:rPr>
          <w:sz w:val="20"/>
          <w:szCs w:val="20"/>
          <w:color w:val="auto"/>
        </w:rPr>
        <w:tab/>
      </w:r>
      <w:r>
        <w:rPr>
          <w:rFonts w:ascii="Times New Roman" w:cs="Times New Roman" w:eastAsia="Times New Roman" w:hAnsi="Times New Roman"/>
          <w:sz w:val="15"/>
          <w:szCs w:val="15"/>
          <w:color w:val="auto"/>
        </w:rPr>
        <w:t>Outstanding</w:t>
      </w:r>
    </w:p>
    <w:p>
      <w:pPr>
        <w:spacing w:after="0" w:line="30" w:lineRule="exact"/>
        <w:rPr>
          <w:sz w:val="24"/>
          <w:szCs w:val="24"/>
          <w:color w:val="auto"/>
        </w:rPr>
      </w:pPr>
    </w:p>
    <w:p>
      <w:pPr>
        <w:ind w:left="1840"/>
        <w:spacing w:after="0"/>
        <w:tabs>
          <w:tab w:leader="none" w:pos="8080" w:val="left"/>
        </w:tabs>
        <w:rPr>
          <w:sz w:val="20"/>
          <w:szCs w:val="20"/>
          <w:color w:val="auto"/>
        </w:rPr>
      </w:pPr>
      <w:r>
        <w:rPr>
          <w:rFonts w:ascii="Times New Roman" w:cs="Times New Roman" w:eastAsia="Times New Roman" w:hAnsi="Times New Roman"/>
          <w:sz w:val="15"/>
          <w:szCs w:val="15"/>
          <w:color w:val="auto"/>
        </w:rPr>
        <w:t>Common stock, $.01 par value</w:t>
      </w:r>
      <w:r>
        <w:rPr>
          <w:sz w:val="20"/>
          <w:szCs w:val="20"/>
          <w:color w:val="auto"/>
        </w:rPr>
        <w:tab/>
      </w:r>
      <w:r>
        <w:rPr>
          <w:rFonts w:ascii="Times New Roman" w:cs="Times New Roman" w:eastAsia="Times New Roman" w:hAnsi="Times New Roman"/>
          <w:sz w:val="15"/>
          <w:szCs w:val="15"/>
          <w:color w:val="auto"/>
        </w:rPr>
        <w:t>58,302,380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643255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149860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167005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1"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18"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90"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96"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ectPr>
          <w:pgSz w:w="11900" w:h="16838" w:orient="portrait"/>
          <w:cols w:equalWidth="0" w:num="2">
            <w:col w:w="10640" w:space="460"/>
            <w:col w:w="140"/>
          </w:cols>
          <w:pgMar w:left="320" w:top="995"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60" w:type="dxa"/>
            <w:vAlign w:val="bottom"/>
            <w:gridSpan w:val="10"/>
          </w:tcPr>
          <w:p>
            <w:pPr>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920" w:type="dxa"/>
            <w:vAlign w:val="bottom"/>
          </w:tcPr>
          <w:p>
            <w:pPr>
              <w:spacing w:after="0"/>
              <w:rPr>
                <w:sz w:val="17"/>
                <w:szCs w:val="17"/>
                <w:color w:val="auto"/>
              </w:rPr>
            </w:pPr>
          </w:p>
        </w:tc>
      </w:tr>
      <w:tr>
        <w:trPr>
          <w:trHeight w:val="385"/>
        </w:trPr>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2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Page No.</w:t>
            </w:r>
          </w:p>
        </w:tc>
      </w:tr>
      <w:tr>
        <w:trPr>
          <w:trHeight w:val="237"/>
        </w:trPr>
        <w:tc>
          <w:tcPr>
            <w:tcW w:w="80" w:type="dxa"/>
            <w:vAlign w:val="bottom"/>
          </w:tcPr>
          <w:p>
            <w:pPr>
              <w:spacing w:after="0"/>
              <w:rPr>
                <w:sz w:val="20"/>
                <w:szCs w:val="20"/>
                <w:color w:val="auto"/>
              </w:rPr>
            </w:pPr>
          </w:p>
        </w:tc>
        <w:tc>
          <w:tcPr>
            <w:tcW w:w="1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9080" w:type="dxa"/>
            <w:vAlign w:val="bottom"/>
            <w:gridSpan w:val="19"/>
          </w:tcPr>
          <w:p>
            <w:pPr>
              <w:spacing w:after="0"/>
              <w:rPr>
                <w:sz w:val="20"/>
                <w:szCs w:val="20"/>
                <w:color w:val="auto"/>
              </w:rPr>
            </w:pPr>
            <w:r>
              <w:rPr>
                <w:rFonts w:ascii="Times New Roman" w:cs="Times New Roman" w:eastAsia="Times New Roman" w:hAnsi="Times New Roman"/>
                <w:sz w:val="18"/>
                <w:szCs w:val="18"/>
                <w:b w:val="1"/>
                <w:bCs w:val="1"/>
                <w:color w:val="auto"/>
              </w:rPr>
              <w:t>FINANCIAL INFORMATION</w:t>
            </w:r>
          </w:p>
        </w:tc>
        <w:tc>
          <w:tcPr>
            <w:tcW w:w="920" w:type="dxa"/>
            <w:vAlign w:val="bottom"/>
          </w:tcPr>
          <w:p>
            <w:pPr>
              <w:spacing w:after="0"/>
              <w:rPr>
                <w:sz w:val="20"/>
                <w:szCs w:val="20"/>
                <w:color w:val="auto"/>
              </w:rPr>
            </w:pPr>
          </w:p>
        </w:tc>
      </w:tr>
      <w:tr>
        <w:trPr>
          <w:trHeight w:val="297"/>
        </w:trPr>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908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Condensed Consolidated Financial Statements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0"/>
        </w:trPr>
        <w:tc>
          <w:tcPr>
            <w:tcW w:w="80" w:type="dxa"/>
            <w:vAlign w:val="bottom"/>
          </w:tcPr>
          <w:p>
            <w:pPr>
              <w:spacing w:after="0" w:line="20" w:lineRule="exact"/>
              <w:rPr>
                <w:sz w:val="1"/>
                <w:szCs w:val="1"/>
                <w:color w:val="auto"/>
              </w:rPr>
            </w:pPr>
          </w:p>
        </w:tc>
        <w:tc>
          <w:tcPr>
            <w:tcW w:w="116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318"/>
        </w:trPr>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908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Condensed Consolidated Statements of Operations for the three-month and nine-month periods ended September 30, 2026</w:t>
            </w:r>
          </w:p>
        </w:tc>
        <w:tc>
          <w:tcPr>
            <w:tcW w:w="920" w:type="dxa"/>
            <w:vAlign w:val="bottom"/>
          </w:tcPr>
          <w:p>
            <w:pPr>
              <w:spacing w:after="0"/>
              <w:rPr>
                <w:sz w:val="24"/>
                <w:szCs w:val="24"/>
                <w:color w:val="auto"/>
              </w:rPr>
            </w:pPr>
          </w:p>
        </w:tc>
      </w:tr>
      <w:tr>
        <w:trPr>
          <w:trHeight w:val="20"/>
        </w:trPr>
        <w:tc>
          <w:tcPr>
            <w:tcW w:w="80" w:type="dxa"/>
            <w:vAlign w:val="bottom"/>
          </w:tcPr>
          <w:p>
            <w:pPr>
              <w:spacing w:after="0" w:line="20" w:lineRule="exact"/>
              <w:rPr>
                <w:sz w:val="1"/>
                <w:szCs w:val="1"/>
                <w:color w:val="auto"/>
              </w:rPr>
            </w:pPr>
          </w:p>
        </w:tc>
        <w:tc>
          <w:tcPr>
            <w:tcW w:w="1160" w:type="dxa"/>
            <w:vAlign w:val="bottom"/>
            <w:tcBorders>
              <w:right w:val="single" w:sz="8" w:color="0000FF"/>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700" w:type="dxa"/>
            <w:vAlign w:val="bottom"/>
            <w:tcBorders>
              <w:right w:val="single" w:sz="8" w:color="0000FF"/>
            </w:tcBorders>
            <w:gridSpan w:val="3"/>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120" w:type="dxa"/>
            <w:vAlign w:val="bottom"/>
            <w:tcBorders>
              <w:left w:val="single" w:sz="8" w:color="0000FF"/>
            </w:tcBorders>
            <w:gridSpan w:val="2"/>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96"/>
        </w:trPr>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08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FF"/>
              </w:rPr>
              <w:t>and 2025</w:t>
            </w:r>
          </w:p>
        </w:tc>
        <w:tc>
          <w:tcPr>
            <w:tcW w:w="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r>
      <w:tr>
        <w:trPr>
          <w:trHeight w:val="20"/>
        </w:trPr>
        <w:tc>
          <w:tcPr>
            <w:tcW w:w="80" w:type="dxa"/>
            <w:vAlign w:val="bottom"/>
          </w:tcPr>
          <w:p>
            <w:pPr>
              <w:spacing w:after="0" w:line="20" w:lineRule="exact"/>
              <w:rPr>
                <w:sz w:val="1"/>
                <w:szCs w:val="1"/>
                <w:color w:val="auto"/>
              </w:rPr>
            </w:pPr>
          </w:p>
        </w:tc>
        <w:tc>
          <w:tcPr>
            <w:tcW w:w="116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0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318"/>
        </w:trPr>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908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Comprehensive Income for the three-month and nine-month periods ended September</w:t>
            </w:r>
          </w:p>
        </w:tc>
        <w:tc>
          <w:tcPr>
            <w:tcW w:w="920" w:type="dxa"/>
            <w:vAlign w:val="bottom"/>
          </w:tcPr>
          <w:p>
            <w:pPr>
              <w:spacing w:after="0"/>
              <w:rPr>
                <w:sz w:val="24"/>
                <w:szCs w:val="24"/>
                <w:color w:val="auto"/>
              </w:rPr>
            </w:pPr>
          </w:p>
        </w:tc>
      </w:tr>
      <w:tr>
        <w:trPr>
          <w:trHeight w:val="20"/>
        </w:trPr>
        <w:tc>
          <w:tcPr>
            <w:tcW w:w="80" w:type="dxa"/>
            <w:vAlign w:val="bottom"/>
          </w:tcPr>
          <w:p>
            <w:pPr>
              <w:spacing w:after="0" w:line="20" w:lineRule="exact"/>
              <w:rPr>
                <w:sz w:val="1"/>
                <w:szCs w:val="1"/>
                <w:color w:val="auto"/>
              </w:rPr>
            </w:pPr>
          </w:p>
        </w:tc>
        <w:tc>
          <w:tcPr>
            <w:tcW w:w="1160" w:type="dxa"/>
            <w:vAlign w:val="bottom"/>
            <w:tcBorders>
              <w:right w:val="single" w:sz="8" w:color="0000FF"/>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2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700" w:type="dxa"/>
            <w:vAlign w:val="bottom"/>
            <w:tcBorders>
              <w:right w:val="single" w:sz="8" w:color="0000FF"/>
            </w:tcBorders>
            <w:gridSpan w:val="3"/>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120" w:type="dxa"/>
            <w:vAlign w:val="bottom"/>
            <w:tcBorders>
              <w:left w:val="single" w:sz="8" w:color="0000FF"/>
            </w:tcBorders>
            <w:gridSpan w:val="2"/>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96"/>
        </w:trPr>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08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FF"/>
              </w:rPr>
              <w:t>30, 2026 and 2025</w:t>
            </w:r>
          </w:p>
        </w:tc>
        <w:tc>
          <w:tcPr>
            <w:tcW w:w="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r>
      <w:tr>
        <w:trPr>
          <w:trHeight w:val="20"/>
        </w:trPr>
        <w:tc>
          <w:tcPr>
            <w:tcW w:w="80" w:type="dxa"/>
            <w:vAlign w:val="bottom"/>
          </w:tcPr>
          <w:p>
            <w:pPr>
              <w:spacing w:after="0" w:line="20" w:lineRule="exact"/>
              <w:rPr>
                <w:sz w:val="1"/>
                <w:szCs w:val="1"/>
                <w:color w:val="auto"/>
              </w:rPr>
            </w:pPr>
          </w:p>
        </w:tc>
        <w:tc>
          <w:tcPr>
            <w:tcW w:w="116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2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0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318"/>
        </w:trPr>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908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Condensed Consolidated Balance Sheets as of September 30, 2026 and December 31, 2025</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0"/>
        </w:trPr>
        <w:tc>
          <w:tcPr>
            <w:tcW w:w="80" w:type="dxa"/>
            <w:vAlign w:val="bottom"/>
          </w:tcPr>
          <w:p>
            <w:pPr>
              <w:spacing w:after="0" w:line="20" w:lineRule="exact"/>
              <w:rPr>
                <w:sz w:val="1"/>
                <w:szCs w:val="1"/>
                <w:color w:val="auto"/>
              </w:rPr>
            </w:pPr>
          </w:p>
        </w:tc>
        <w:tc>
          <w:tcPr>
            <w:tcW w:w="116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2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700" w:type="dxa"/>
            <w:vAlign w:val="bottom"/>
            <w:tcBorders>
              <w:right w:val="single" w:sz="8" w:color="0000FF"/>
            </w:tcBorders>
            <w:gridSpan w:val="3"/>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120" w:type="dxa"/>
            <w:vAlign w:val="bottom"/>
            <w:tcBorders>
              <w:left w:val="single" w:sz="8" w:color="0000FF"/>
            </w:tcBorders>
            <w:gridSpan w:val="2"/>
            <w:shd w:val="clear" w:color="auto" w:fill="0000FF"/>
          </w:tcPr>
          <w:p>
            <w:pPr>
              <w:spacing w:after="0" w:line="20" w:lineRule="exact"/>
              <w:rPr>
                <w:sz w:val="1"/>
                <w:szCs w:val="1"/>
                <w:color w:val="auto"/>
              </w:rPr>
            </w:pPr>
          </w:p>
        </w:tc>
        <w:tc>
          <w:tcPr>
            <w:tcW w:w="140" w:type="dxa"/>
            <w:vAlign w:val="bottom"/>
            <w:tcBorders>
              <w:right w:val="single" w:sz="8" w:color="0000EE"/>
            </w:tcBorders>
            <w:shd w:val="clear" w:color="auto" w:fill="0000FF"/>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318"/>
        </w:trPr>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908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Condensed Consolidated Statements of Stockholders’ Equity for the nine-month periods ended September 30, 2026 and 2025</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0"/>
        </w:trPr>
        <w:tc>
          <w:tcPr>
            <w:tcW w:w="80" w:type="dxa"/>
            <w:vAlign w:val="bottom"/>
          </w:tcPr>
          <w:p>
            <w:pPr>
              <w:spacing w:after="0" w:line="20" w:lineRule="exact"/>
              <w:rPr>
                <w:sz w:val="1"/>
                <w:szCs w:val="1"/>
                <w:color w:val="auto"/>
              </w:rPr>
            </w:pPr>
          </w:p>
        </w:tc>
        <w:tc>
          <w:tcPr>
            <w:tcW w:w="116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2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700" w:type="dxa"/>
            <w:vAlign w:val="bottom"/>
            <w:tcBorders>
              <w:right w:val="single" w:sz="8" w:color="0000FF"/>
            </w:tcBorders>
            <w:gridSpan w:val="3"/>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120" w:type="dxa"/>
            <w:vAlign w:val="bottom"/>
            <w:tcBorders>
              <w:left w:val="single" w:sz="8" w:color="0000FF"/>
            </w:tcBorders>
            <w:gridSpan w:val="2"/>
            <w:shd w:val="clear" w:color="auto" w:fill="0000FF"/>
          </w:tcPr>
          <w:p>
            <w:pPr>
              <w:spacing w:after="0" w:line="20" w:lineRule="exact"/>
              <w:rPr>
                <w:sz w:val="1"/>
                <w:szCs w:val="1"/>
                <w:color w:val="auto"/>
              </w:rPr>
            </w:pPr>
          </w:p>
        </w:tc>
        <w:tc>
          <w:tcPr>
            <w:tcW w:w="1900" w:type="dxa"/>
            <w:vAlign w:val="bottom"/>
            <w:gridSpan w:val="2"/>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318"/>
        </w:trPr>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908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 for the nine-month periods ended September 30, 2026 and 2025</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0"/>
        </w:trPr>
        <w:tc>
          <w:tcPr>
            <w:tcW w:w="80" w:type="dxa"/>
            <w:vAlign w:val="bottom"/>
          </w:tcPr>
          <w:p>
            <w:pPr>
              <w:spacing w:after="0" w:line="20" w:lineRule="exact"/>
              <w:rPr>
                <w:sz w:val="1"/>
                <w:szCs w:val="1"/>
                <w:color w:val="auto"/>
              </w:rPr>
            </w:pPr>
          </w:p>
        </w:tc>
        <w:tc>
          <w:tcPr>
            <w:tcW w:w="116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2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700" w:type="dxa"/>
            <w:vAlign w:val="bottom"/>
            <w:tcBorders>
              <w:right w:val="single" w:sz="8" w:color="0000FF"/>
            </w:tcBorders>
            <w:gridSpan w:val="3"/>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120" w:type="dxa"/>
            <w:vAlign w:val="bottom"/>
            <w:tcBorders>
              <w:left w:val="single" w:sz="8" w:color="0000FF"/>
            </w:tcBorders>
            <w:gridSpan w:val="2"/>
            <w:shd w:val="clear" w:color="auto" w:fill="0000FF"/>
          </w:tcPr>
          <w:p>
            <w:pPr>
              <w:spacing w:after="0" w:line="20" w:lineRule="exact"/>
              <w:rPr>
                <w:sz w:val="1"/>
                <w:szCs w:val="1"/>
                <w:color w:val="auto"/>
              </w:rPr>
            </w:pPr>
          </w:p>
        </w:tc>
        <w:tc>
          <w:tcPr>
            <w:tcW w:w="1900" w:type="dxa"/>
            <w:vAlign w:val="bottom"/>
            <w:gridSpan w:val="2"/>
            <w:shd w:val="clear" w:color="auto" w:fill="0000FF"/>
          </w:tcPr>
          <w:p>
            <w:pPr>
              <w:spacing w:after="0" w:line="20" w:lineRule="exact"/>
              <w:rPr>
                <w:sz w:val="1"/>
                <w:szCs w:val="1"/>
                <w:color w:val="auto"/>
              </w:rPr>
            </w:pPr>
          </w:p>
        </w:tc>
        <w:tc>
          <w:tcPr>
            <w:tcW w:w="800" w:type="dxa"/>
            <w:vAlign w:val="bottom"/>
            <w:gridSpan w:val="4"/>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318"/>
        </w:trPr>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908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Notes to Condensed Consolidated Financial Statements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0"/>
        </w:trPr>
        <w:tc>
          <w:tcPr>
            <w:tcW w:w="80" w:type="dxa"/>
            <w:vAlign w:val="bottom"/>
          </w:tcPr>
          <w:p>
            <w:pPr>
              <w:spacing w:after="0" w:line="20" w:lineRule="exact"/>
              <w:rPr>
                <w:sz w:val="1"/>
                <w:szCs w:val="1"/>
                <w:color w:val="auto"/>
              </w:rPr>
            </w:pPr>
          </w:p>
        </w:tc>
        <w:tc>
          <w:tcPr>
            <w:tcW w:w="116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2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700" w:type="dxa"/>
            <w:vAlign w:val="bottom"/>
            <w:tcBorders>
              <w:right w:val="single" w:sz="8" w:color="0000EE"/>
            </w:tcBorders>
            <w:gridSpan w:val="3"/>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2700" w:type="dxa"/>
            <w:vAlign w:val="bottom"/>
            <w:gridSpan w:val="6"/>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318"/>
        </w:trPr>
        <w:tc>
          <w:tcPr>
            <w:tcW w:w="8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908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0"/>
        </w:trPr>
        <w:tc>
          <w:tcPr>
            <w:tcW w:w="80" w:type="dxa"/>
            <w:vAlign w:val="bottom"/>
          </w:tcPr>
          <w:p>
            <w:pPr>
              <w:spacing w:after="0" w:line="20" w:lineRule="exact"/>
              <w:rPr>
                <w:sz w:val="1"/>
                <w:szCs w:val="1"/>
                <w:color w:val="auto"/>
              </w:rPr>
            </w:pPr>
          </w:p>
        </w:tc>
        <w:tc>
          <w:tcPr>
            <w:tcW w:w="116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2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20" w:type="dxa"/>
            <w:vAlign w:val="bottom"/>
            <w:gridSpan w:val="4"/>
            <w:shd w:val="clear" w:color="auto" w:fill="0000FF"/>
          </w:tcPr>
          <w:p>
            <w:pPr>
              <w:spacing w:after="0" w:line="20" w:lineRule="exact"/>
              <w:rPr>
                <w:sz w:val="1"/>
                <w:szCs w:val="1"/>
                <w:color w:val="auto"/>
              </w:rPr>
            </w:pPr>
          </w:p>
        </w:tc>
        <w:tc>
          <w:tcPr>
            <w:tcW w:w="2120" w:type="dxa"/>
            <w:vAlign w:val="bottom"/>
            <w:tcBorders>
              <w:left w:val="single" w:sz="8" w:color="0000FF"/>
            </w:tcBorders>
            <w:gridSpan w:val="2"/>
            <w:shd w:val="clear" w:color="auto" w:fill="0000FF"/>
          </w:tcPr>
          <w:p>
            <w:pPr>
              <w:spacing w:after="0" w:line="20" w:lineRule="exact"/>
              <w:rPr>
                <w:sz w:val="1"/>
                <w:szCs w:val="1"/>
                <w:color w:val="auto"/>
              </w:rPr>
            </w:pPr>
          </w:p>
        </w:tc>
        <w:tc>
          <w:tcPr>
            <w:tcW w:w="2700" w:type="dxa"/>
            <w:vAlign w:val="bottom"/>
            <w:gridSpan w:val="6"/>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318"/>
        </w:trPr>
        <w:tc>
          <w:tcPr>
            <w:tcW w:w="8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908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0"/>
        </w:trPr>
        <w:tc>
          <w:tcPr>
            <w:tcW w:w="80" w:type="dxa"/>
            <w:vAlign w:val="bottom"/>
          </w:tcPr>
          <w:p>
            <w:pPr>
              <w:spacing w:after="0" w:line="20" w:lineRule="exact"/>
              <w:rPr>
                <w:sz w:val="1"/>
                <w:szCs w:val="1"/>
                <w:color w:val="auto"/>
              </w:rPr>
            </w:pPr>
          </w:p>
        </w:tc>
        <w:tc>
          <w:tcPr>
            <w:tcW w:w="116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2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20" w:type="dxa"/>
            <w:vAlign w:val="bottom"/>
            <w:gridSpan w:val="4"/>
            <w:shd w:val="clear" w:color="auto" w:fill="0000FF"/>
          </w:tcPr>
          <w:p>
            <w:pPr>
              <w:spacing w:after="0" w:line="20" w:lineRule="exact"/>
              <w:rPr>
                <w:sz w:val="1"/>
                <w:szCs w:val="1"/>
                <w:color w:val="auto"/>
              </w:rPr>
            </w:pPr>
          </w:p>
        </w:tc>
        <w:tc>
          <w:tcPr>
            <w:tcW w:w="4820" w:type="dxa"/>
            <w:vAlign w:val="bottom"/>
            <w:tcBorders>
              <w:left w:val="single" w:sz="8" w:color="0000FF"/>
            </w:tcBorders>
            <w:gridSpan w:val="8"/>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318"/>
        </w:trPr>
        <w:tc>
          <w:tcPr>
            <w:tcW w:w="8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908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0"/>
        </w:trPr>
        <w:tc>
          <w:tcPr>
            <w:tcW w:w="80" w:type="dxa"/>
            <w:vAlign w:val="bottom"/>
          </w:tcPr>
          <w:p>
            <w:pPr>
              <w:spacing w:after="0" w:line="20" w:lineRule="exact"/>
              <w:rPr>
                <w:sz w:val="1"/>
                <w:szCs w:val="1"/>
                <w:color w:val="auto"/>
              </w:rPr>
            </w:pPr>
          </w:p>
        </w:tc>
        <w:tc>
          <w:tcPr>
            <w:tcW w:w="116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2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4820" w:type="dxa"/>
            <w:vAlign w:val="bottom"/>
            <w:gridSpan w:val="8"/>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318"/>
        </w:trPr>
        <w:tc>
          <w:tcPr>
            <w:tcW w:w="8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9080" w:type="dxa"/>
            <w:vAlign w:val="bottom"/>
            <w:gridSpan w:val="19"/>
          </w:tcPr>
          <w:p>
            <w:pPr>
              <w:spacing w:after="0"/>
              <w:rPr>
                <w:sz w:val="20"/>
                <w:szCs w:val="20"/>
                <w:color w:val="auto"/>
              </w:rPr>
            </w:pPr>
            <w:r>
              <w:rPr>
                <w:rFonts w:ascii="Times New Roman" w:cs="Times New Roman" w:eastAsia="Times New Roman" w:hAnsi="Times New Roman"/>
                <w:sz w:val="18"/>
                <w:szCs w:val="18"/>
                <w:b w:val="1"/>
                <w:bCs w:val="1"/>
                <w:color w:val="0000FF"/>
              </w:rPr>
              <w:t>OTHER INFORMATION</w:t>
            </w:r>
          </w:p>
        </w:tc>
        <w:tc>
          <w:tcPr>
            <w:tcW w:w="920" w:type="dxa"/>
            <w:vAlign w:val="bottom"/>
          </w:tcPr>
          <w:p>
            <w:pPr>
              <w:spacing w:after="0"/>
              <w:rPr>
                <w:sz w:val="24"/>
                <w:szCs w:val="24"/>
                <w:color w:val="auto"/>
              </w:rPr>
            </w:pPr>
          </w:p>
        </w:tc>
      </w:tr>
      <w:tr>
        <w:trPr>
          <w:trHeight w:val="20"/>
        </w:trPr>
        <w:tc>
          <w:tcPr>
            <w:tcW w:w="80" w:type="dxa"/>
            <w:vAlign w:val="bottom"/>
          </w:tcPr>
          <w:p>
            <w:pPr>
              <w:spacing w:after="0" w:line="20" w:lineRule="exact"/>
              <w:rPr>
                <w:sz w:val="1"/>
                <w:szCs w:val="1"/>
                <w:color w:val="auto"/>
              </w:rPr>
            </w:pPr>
          </w:p>
        </w:tc>
        <w:tc>
          <w:tcPr>
            <w:tcW w:w="116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2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20" w:type="dxa"/>
            <w:vAlign w:val="bottom"/>
            <w:tcBorders>
              <w:left w:val="single" w:sz="8" w:color="0000FF"/>
            </w:tcBorders>
            <w:gridSpan w:val="2"/>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4820" w:type="dxa"/>
            <w:vAlign w:val="bottom"/>
            <w:gridSpan w:val="8"/>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318"/>
        </w:trPr>
        <w:tc>
          <w:tcPr>
            <w:tcW w:w="8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908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0"/>
        </w:trPr>
        <w:tc>
          <w:tcPr>
            <w:tcW w:w="80" w:type="dxa"/>
            <w:vAlign w:val="bottom"/>
          </w:tcPr>
          <w:p>
            <w:pPr>
              <w:spacing w:after="0" w:line="20" w:lineRule="exact"/>
              <w:rPr>
                <w:sz w:val="1"/>
                <w:szCs w:val="1"/>
                <w:color w:val="auto"/>
              </w:rPr>
            </w:pPr>
          </w:p>
        </w:tc>
        <w:tc>
          <w:tcPr>
            <w:tcW w:w="116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2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4820" w:type="dxa"/>
            <w:vAlign w:val="bottom"/>
            <w:gridSpan w:val="8"/>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318"/>
        </w:trPr>
        <w:tc>
          <w:tcPr>
            <w:tcW w:w="8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908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0"/>
        </w:trPr>
        <w:tc>
          <w:tcPr>
            <w:tcW w:w="80" w:type="dxa"/>
            <w:vAlign w:val="bottom"/>
          </w:tcPr>
          <w:p>
            <w:pPr>
              <w:spacing w:after="0" w:line="20" w:lineRule="exact"/>
              <w:rPr>
                <w:sz w:val="1"/>
                <w:szCs w:val="1"/>
                <w:color w:val="auto"/>
              </w:rPr>
            </w:pPr>
          </w:p>
        </w:tc>
        <w:tc>
          <w:tcPr>
            <w:tcW w:w="116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20" w:type="dxa"/>
            <w:vAlign w:val="bottom"/>
            <w:tcBorders>
              <w:left w:val="single" w:sz="8" w:color="0000FF"/>
              <w:right w:val="single" w:sz="8" w:color="0000EE"/>
            </w:tcBorders>
            <w:gridSpan w:val="2"/>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4820" w:type="dxa"/>
            <w:vAlign w:val="bottom"/>
            <w:gridSpan w:val="8"/>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317"/>
        </w:trPr>
        <w:tc>
          <w:tcPr>
            <w:tcW w:w="8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908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0"/>
        </w:trPr>
        <w:tc>
          <w:tcPr>
            <w:tcW w:w="80" w:type="dxa"/>
            <w:vAlign w:val="bottom"/>
          </w:tcPr>
          <w:p>
            <w:pPr>
              <w:spacing w:after="0" w:line="20" w:lineRule="exact"/>
              <w:rPr>
                <w:sz w:val="1"/>
                <w:szCs w:val="1"/>
                <w:color w:val="auto"/>
              </w:rPr>
            </w:pPr>
          </w:p>
        </w:tc>
        <w:tc>
          <w:tcPr>
            <w:tcW w:w="116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720" w:type="dxa"/>
            <w:vAlign w:val="bottom"/>
            <w:tcBorders>
              <w:left w:val="single" w:sz="8" w:color="0000FF"/>
            </w:tcBorders>
            <w:gridSpan w:val="3"/>
            <w:shd w:val="clear" w:color="auto" w:fill="0000FF"/>
          </w:tcPr>
          <w:p>
            <w:pPr>
              <w:spacing w:after="0" w:line="20" w:lineRule="exact"/>
              <w:rPr>
                <w:sz w:val="1"/>
                <w:szCs w:val="1"/>
                <w:color w:val="auto"/>
              </w:rPr>
            </w:pPr>
          </w:p>
        </w:tc>
        <w:tc>
          <w:tcPr>
            <w:tcW w:w="1000" w:type="dxa"/>
            <w:vAlign w:val="bottom"/>
            <w:tcBorders>
              <w:left w:val="single" w:sz="8" w:color="0000FF"/>
            </w:tcBorders>
            <w:gridSpan w:val="3"/>
            <w:shd w:val="clear" w:color="auto" w:fill="0000FF"/>
          </w:tcPr>
          <w:p>
            <w:pPr>
              <w:spacing w:after="0" w:line="20" w:lineRule="exact"/>
              <w:rPr>
                <w:sz w:val="1"/>
                <w:szCs w:val="1"/>
                <w:color w:val="auto"/>
              </w:rPr>
            </w:pPr>
          </w:p>
        </w:tc>
        <w:tc>
          <w:tcPr>
            <w:tcW w:w="2020" w:type="dxa"/>
            <w:vAlign w:val="bottom"/>
            <w:gridSpan w:val="4"/>
            <w:shd w:val="clear" w:color="auto" w:fill="0000FF"/>
          </w:tcPr>
          <w:p>
            <w:pPr>
              <w:spacing w:after="0" w:line="20" w:lineRule="exact"/>
              <w:rPr>
                <w:sz w:val="1"/>
                <w:szCs w:val="1"/>
                <w:color w:val="auto"/>
              </w:rPr>
            </w:pPr>
          </w:p>
        </w:tc>
        <w:tc>
          <w:tcPr>
            <w:tcW w:w="4820" w:type="dxa"/>
            <w:vAlign w:val="bottom"/>
            <w:gridSpan w:val="8"/>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318"/>
        </w:trPr>
        <w:tc>
          <w:tcPr>
            <w:tcW w:w="8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908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0"/>
        </w:trPr>
        <w:tc>
          <w:tcPr>
            <w:tcW w:w="80" w:type="dxa"/>
            <w:vAlign w:val="bottom"/>
          </w:tcPr>
          <w:p>
            <w:pPr>
              <w:spacing w:after="0" w:line="20" w:lineRule="exact"/>
              <w:rPr>
                <w:sz w:val="1"/>
                <w:szCs w:val="1"/>
                <w:color w:val="auto"/>
              </w:rPr>
            </w:pPr>
          </w:p>
        </w:tc>
        <w:tc>
          <w:tcPr>
            <w:tcW w:w="116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720" w:type="dxa"/>
            <w:vAlign w:val="bottom"/>
            <w:tcBorders>
              <w:left w:val="single" w:sz="8" w:color="0000FF"/>
            </w:tcBorders>
            <w:gridSpan w:val="3"/>
            <w:shd w:val="clear" w:color="auto" w:fill="0000FF"/>
          </w:tcPr>
          <w:p>
            <w:pPr>
              <w:spacing w:after="0" w:line="20" w:lineRule="exact"/>
              <w:rPr>
                <w:sz w:val="1"/>
                <w:szCs w:val="1"/>
                <w:color w:val="auto"/>
              </w:rPr>
            </w:pPr>
          </w:p>
        </w:tc>
        <w:tc>
          <w:tcPr>
            <w:tcW w:w="1000" w:type="dxa"/>
            <w:vAlign w:val="bottom"/>
            <w:tcBorders>
              <w:left w:val="single" w:sz="8" w:color="0000FF"/>
            </w:tcBorders>
            <w:gridSpan w:val="3"/>
            <w:shd w:val="clear" w:color="auto" w:fill="0000FF"/>
          </w:tcPr>
          <w:p>
            <w:pPr>
              <w:spacing w:after="0" w:line="20" w:lineRule="exact"/>
              <w:rPr>
                <w:sz w:val="1"/>
                <w:szCs w:val="1"/>
                <w:color w:val="auto"/>
              </w:rPr>
            </w:pPr>
          </w:p>
        </w:tc>
        <w:tc>
          <w:tcPr>
            <w:tcW w:w="6840" w:type="dxa"/>
            <w:vAlign w:val="bottom"/>
            <w:gridSpan w:val="1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318"/>
        </w:trPr>
        <w:tc>
          <w:tcPr>
            <w:tcW w:w="8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908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0"/>
        </w:trPr>
        <w:tc>
          <w:tcPr>
            <w:tcW w:w="80" w:type="dxa"/>
            <w:vAlign w:val="bottom"/>
          </w:tcPr>
          <w:p>
            <w:pPr>
              <w:spacing w:after="0" w:line="20" w:lineRule="exact"/>
              <w:rPr>
                <w:sz w:val="1"/>
                <w:szCs w:val="1"/>
                <w:color w:val="auto"/>
              </w:rPr>
            </w:pPr>
          </w:p>
        </w:tc>
        <w:tc>
          <w:tcPr>
            <w:tcW w:w="116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720" w:type="dxa"/>
            <w:vAlign w:val="bottom"/>
            <w:tcBorders>
              <w:left w:val="single" w:sz="8" w:color="0000FF"/>
            </w:tcBorders>
            <w:gridSpan w:val="3"/>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7380" w:type="dxa"/>
            <w:vAlign w:val="bottom"/>
            <w:gridSpan w:val="14"/>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318"/>
        </w:trPr>
        <w:tc>
          <w:tcPr>
            <w:tcW w:w="8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Item 5.</w:t>
            </w:r>
          </w:p>
        </w:tc>
        <w:tc>
          <w:tcPr>
            <w:tcW w:w="908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0"/>
        </w:trPr>
        <w:tc>
          <w:tcPr>
            <w:tcW w:w="80" w:type="dxa"/>
            <w:vAlign w:val="bottom"/>
          </w:tcPr>
          <w:p>
            <w:pPr>
              <w:spacing w:after="0" w:line="20" w:lineRule="exact"/>
              <w:rPr>
                <w:sz w:val="1"/>
                <w:szCs w:val="1"/>
                <w:color w:val="auto"/>
              </w:rPr>
            </w:pPr>
          </w:p>
        </w:tc>
        <w:tc>
          <w:tcPr>
            <w:tcW w:w="116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720" w:type="dxa"/>
            <w:vAlign w:val="bottom"/>
            <w:tcBorders>
              <w:left w:val="single" w:sz="8" w:color="0000FF"/>
            </w:tcBorders>
            <w:gridSpan w:val="3"/>
            <w:shd w:val="clear" w:color="auto" w:fill="0000FF"/>
          </w:tcPr>
          <w:p>
            <w:pPr>
              <w:spacing w:after="0" w:line="20" w:lineRule="exact"/>
              <w:rPr>
                <w:sz w:val="1"/>
                <w:szCs w:val="1"/>
                <w:color w:val="auto"/>
              </w:rPr>
            </w:pPr>
          </w:p>
        </w:tc>
        <w:tc>
          <w:tcPr>
            <w:tcW w:w="7840" w:type="dxa"/>
            <w:vAlign w:val="bottom"/>
            <w:gridSpan w:val="15"/>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318"/>
        </w:trPr>
        <w:tc>
          <w:tcPr>
            <w:tcW w:w="8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908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Exhibits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0"/>
        </w:trPr>
        <w:tc>
          <w:tcPr>
            <w:tcW w:w="80" w:type="dxa"/>
            <w:vAlign w:val="bottom"/>
          </w:tcPr>
          <w:p>
            <w:pPr>
              <w:spacing w:after="0" w:line="20" w:lineRule="exact"/>
              <w:rPr>
                <w:sz w:val="1"/>
                <w:szCs w:val="1"/>
                <w:color w:val="auto"/>
              </w:rPr>
            </w:pPr>
          </w:p>
        </w:tc>
        <w:tc>
          <w:tcPr>
            <w:tcW w:w="116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560" w:type="dxa"/>
            <w:vAlign w:val="bottom"/>
            <w:gridSpan w:val="18"/>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318"/>
        </w:trPr>
        <w:tc>
          <w:tcPr>
            <w:tcW w:w="80" w:type="dxa"/>
            <w:vAlign w:val="bottom"/>
          </w:tcPr>
          <w:p>
            <w:pPr>
              <w:spacing w:after="0"/>
              <w:rPr>
                <w:sz w:val="24"/>
                <w:szCs w:val="24"/>
                <w:color w:val="auto"/>
              </w:rPr>
            </w:pPr>
          </w:p>
        </w:tc>
        <w:tc>
          <w:tcPr>
            <w:tcW w:w="10240" w:type="dxa"/>
            <w:vAlign w:val="bottom"/>
            <w:gridSpan w:val="20"/>
          </w:tcPr>
          <w:p>
            <w:pPr>
              <w:spacing w:after="0"/>
              <w:rPr>
                <w:sz w:val="20"/>
                <w:szCs w:val="20"/>
                <w:color w:val="auto"/>
              </w:rPr>
            </w:pPr>
            <w:r>
              <w:rPr>
                <w:rFonts w:ascii="Times New Roman" w:cs="Times New Roman" w:eastAsia="Times New Roman" w:hAnsi="Times New Roman"/>
                <w:sz w:val="18"/>
                <w:szCs w:val="18"/>
                <w:b w:val="1"/>
                <w:bCs w:val="1"/>
                <w:color w:val="0000FF"/>
              </w:rPr>
              <w:t>SIGNATURES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0"/>
        </w:trPr>
        <w:tc>
          <w:tcPr>
            <w:tcW w:w="80" w:type="dxa"/>
            <w:vAlign w:val="bottom"/>
            <w:tcBorders>
              <w:right w:val="single" w:sz="8" w:color="0000EE"/>
            </w:tcBorders>
          </w:tcPr>
          <w:p>
            <w:pPr>
              <w:spacing w:after="0" w:line="20" w:lineRule="exact"/>
              <w:rPr>
                <w:sz w:val="1"/>
                <w:szCs w:val="1"/>
                <w:color w:val="auto"/>
              </w:rPr>
            </w:pPr>
          </w:p>
        </w:tc>
        <w:tc>
          <w:tcPr>
            <w:tcW w:w="1160" w:type="dxa"/>
            <w:vAlign w:val="bottom"/>
            <w:tcBorders>
              <w:right w:val="single" w:sz="8" w:color="0000EE"/>
            </w:tcBorders>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1. Condensed Consolidated Financial Statements.</w:t>
      </w:r>
    </w:p>
    <w:p>
      <w:pPr>
        <w:spacing w:after="0" w:line="117"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UPBOUND GROUP,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8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500" w:type="dxa"/>
            <w:vAlign w:val="bottom"/>
            <w:tcBorders>
              <w:bottom w:val="single" w:sz="8" w:color="auto"/>
            </w:tcBorders>
            <w:gridSpan w:val="4"/>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520" w:type="dxa"/>
            <w:vAlign w:val="bottom"/>
            <w:tcBorders>
              <w:bottom w:val="single" w:sz="8" w:color="auto"/>
            </w:tcBorders>
            <w:gridSpan w:val="4"/>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42"/>
        </w:trPr>
        <w:tc>
          <w:tcPr>
            <w:tcW w:w="582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 except per share data)</w:t>
            </w:r>
          </w:p>
        </w:tc>
        <w:tc>
          <w:tcPr>
            <w:tcW w:w="12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431"/>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4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5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451"/>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4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7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142"/>
        </w:trPr>
        <w:tc>
          <w:tcPr>
            <w:tcW w:w="58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Revenues</w:t>
            </w: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Rentals and fees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881,264</w:t>
            </w:r>
          </w:p>
        </w:tc>
        <w:tc>
          <w:tcPr>
            <w:tcW w:w="3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901,342</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2,701,393</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2,705,137</w:t>
            </w:r>
          </w:p>
        </w:tc>
        <w:tc>
          <w:tcPr>
            <w:tcW w:w="0" w:type="dxa"/>
            <w:vAlign w:val="bottom"/>
          </w:tcPr>
          <w:p>
            <w:pPr>
              <w:spacing w:after="0"/>
              <w:rPr>
                <w:sz w:val="1"/>
                <w:szCs w:val="1"/>
                <w:color w:val="auto"/>
              </w:rPr>
            </w:pPr>
          </w:p>
        </w:tc>
      </w:tr>
      <w:tr>
        <w:trPr>
          <w:trHeight w:val="216"/>
        </w:trPr>
        <w:tc>
          <w:tcPr>
            <w:tcW w:w="58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Merchandise sales</w:t>
            </w: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180,165</w:t>
            </w: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198,095</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593,216</w:t>
            </w: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626,557</w:t>
            </w:r>
          </w:p>
        </w:tc>
        <w:tc>
          <w:tcPr>
            <w:tcW w:w="0" w:type="dxa"/>
            <w:vAlign w:val="bottom"/>
          </w:tcPr>
          <w:p>
            <w:pPr>
              <w:spacing w:after="0"/>
              <w:rPr>
                <w:sz w:val="1"/>
                <w:szCs w:val="1"/>
                <w:color w:val="auto"/>
              </w:rPr>
            </w:pPr>
          </w:p>
        </w:tc>
      </w:tr>
      <w:tr>
        <w:trPr>
          <w:trHeight w:val="216"/>
        </w:trPr>
        <w:tc>
          <w:tcPr>
            <w:tcW w:w="5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Subscriptions and fees</w:t>
            </w:r>
          </w:p>
        </w:tc>
        <w:tc>
          <w:tcPr>
            <w:tcW w:w="120" w:type="dxa"/>
            <w:vAlign w:val="bottom"/>
          </w:tcPr>
          <w:p>
            <w:pPr>
              <w:spacing w:after="0"/>
              <w:rPr>
                <w:sz w:val="18"/>
                <w:szCs w:val="18"/>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78,775</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57,663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217,589</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141,414</w:t>
            </w:r>
          </w:p>
        </w:tc>
        <w:tc>
          <w:tcPr>
            <w:tcW w:w="0" w:type="dxa"/>
            <w:vAlign w:val="bottom"/>
          </w:tcPr>
          <w:p>
            <w:pPr>
              <w:spacing w:after="0"/>
              <w:rPr>
                <w:sz w:val="1"/>
                <w:szCs w:val="1"/>
                <w:color w:val="auto"/>
              </w:rPr>
            </w:pPr>
          </w:p>
        </w:tc>
      </w:tr>
      <w:tr>
        <w:trPr>
          <w:trHeight w:val="216"/>
        </w:trPr>
        <w:tc>
          <w:tcPr>
            <w:tcW w:w="582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5,957</w:t>
            </w:r>
          </w:p>
        </w:tc>
        <w:tc>
          <w:tcPr>
            <w:tcW w:w="1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7,617</w:t>
            </w:r>
          </w:p>
        </w:tc>
        <w:tc>
          <w:tcPr>
            <w:tcW w:w="1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17,118</w:t>
            </w:r>
          </w:p>
        </w:tc>
        <w:tc>
          <w:tcPr>
            <w:tcW w:w="1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25,508</w:t>
            </w:r>
          </w:p>
        </w:tc>
        <w:tc>
          <w:tcPr>
            <w:tcW w:w="0" w:type="dxa"/>
            <w:vAlign w:val="bottom"/>
          </w:tcPr>
          <w:p>
            <w:pPr>
              <w:spacing w:after="0"/>
              <w:rPr>
                <w:sz w:val="1"/>
                <w:szCs w:val="1"/>
                <w:color w:val="auto"/>
              </w:rPr>
            </w:pPr>
          </w:p>
        </w:tc>
      </w:tr>
      <w:tr>
        <w:trPr>
          <w:trHeight w:val="209"/>
        </w:trPr>
        <w:tc>
          <w:tcPr>
            <w:tcW w:w="58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 revenues</w:t>
            </w:r>
          </w:p>
        </w:tc>
        <w:tc>
          <w:tcPr>
            <w:tcW w:w="120" w:type="dxa"/>
            <w:vAlign w:val="bottom"/>
          </w:tcPr>
          <w:p>
            <w:pPr>
              <w:spacing w:after="0"/>
              <w:rPr>
                <w:sz w:val="18"/>
                <w:szCs w:val="18"/>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1,146,161</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1,164,717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3,529,316</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3,498,616</w:t>
            </w:r>
          </w:p>
        </w:tc>
        <w:tc>
          <w:tcPr>
            <w:tcW w:w="0" w:type="dxa"/>
            <w:vAlign w:val="bottom"/>
          </w:tcPr>
          <w:p>
            <w:pPr>
              <w:spacing w:after="0"/>
              <w:rPr>
                <w:sz w:val="1"/>
                <w:szCs w:val="1"/>
                <w:color w:val="auto"/>
              </w:rPr>
            </w:pPr>
          </w:p>
        </w:tc>
      </w:tr>
      <w:tr>
        <w:trPr>
          <w:trHeight w:val="216"/>
        </w:trPr>
        <w:tc>
          <w:tcPr>
            <w:tcW w:w="5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Cost of rentals and fees</w:t>
            </w:r>
          </w:p>
        </w:tc>
        <w:tc>
          <w:tcPr>
            <w:tcW w:w="120" w:type="dxa"/>
            <w:vAlign w:val="bottom"/>
          </w:tcPr>
          <w:p>
            <w:pPr>
              <w:spacing w:after="0"/>
              <w:rPr>
                <w:sz w:val="18"/>
                <w:szCs w:val="18"/>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345,213</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364,146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1,053,401</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1,074,750</w:t>
            </w:r>
          </w:p>
        </w:tc>
        <w:tc>
          <w:tcPr>
            <w:tcW w:w="0" w:type="dxa"/>
            <w:vAlign w:val="bottom"/>
          </w:tcPr>
          <w:p>
            <w:pPr>
              <w:spacing w:after="0"/>
              <w:rPr>
                <w:sz w:val="1"/>
                <w:szCs w:val="1"/>
                <w:color w:val="auto"/>
              </w:rPr>
            </w:pPr>
          </w:p>
        </w:tc>
      </w:tr>
      <w:tr>
        <w:trPr>
          <w:trHeight w:val="216"/>
        </w:trPr>
        <w:tc>
          <w:tcPr>
            <w:tcW w:w="58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Cost of merchandise sold</w:t>
            </w: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212,828</w:t>
            </w: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230,864</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691,660</w:t>
            </w: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722,213</w:t>
            </w:r>
          </w:p>
        </w:tc>
        <w:tc>
          <w:tcPr>
            <w:tcW w:w="0" w:type="dxa"/>
            <w:vAlign w:val="bottom"/>
          </w:tcPr>
          <w:p>
            <w:pPr>
              <w:spacing w:after="0"/>
              <w:rPr>
                <w:sz w:val="1"/>
                <w:szCs w:val="1"/>
                <w:color w:val="auto"/>
              </w:rPr>
            </w:pPr>
          </w:p>
        </w:tc>
      </w:tr>
      <w:tr>
        <w:trPr>
          <w:trHeight w:val="216"/>
        </w:trPr>
        <w:tc>
          <w:tcPr>
            <w:tcW w:w="5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Cost of subscriptions and fees</w:t>
            </w: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7,901</w:t>
            </w:r>
          </w:p>
        </w:tc>
        <w:tc>
          <w:tcPr>
            <w:tcW w:w="1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6,631</w:t>
            </w:r>
          </w:p>
        </w:tc>
        <w:tc>
          <w:tcPr>
            <w:tcW w:w="1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22,736</w:t>
            </w:r>
          </w:p>
        </w:tc>
        <w:tc>
          <w:tcPr>
            <w:tcW w:w="1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16,623</w:t>
            </w:r>
          </w:p>
        </w:tc>
        <w:tc>
          <w:tcPr>
            <w:tcW w:w="0" w:type="dxa"/>
            <w:vAlign w:val="bottom"/>
          </w:tcPr>
          <w:p>
            <w:pPr>
              <w:spacing w:after="0"/>
              <w:rPr>
                <w:sz w:val="1"/>
                <w:szCs w:val="1"/>
                <w:color w:val="auto"/>
              </w:rPr>
            </w:pPr>
          </w:p>
        </w:tc>
      </w:tr>
      <w:tr>
        <w:trPr>
          <w:trHeight w:val="209"/>
        </w:trPr>
        <w:tc>
          <w:tcPr>
            <w:tcW w:w="5820" w:type="dxa"/>
            <w:vAlign w:val="bottom"/>
            <w:tcBorders>
              <w:bottom w:val="single" w:sz="8" w:color="CFF0FC"/>
            </w:tcBorders>
            <w:shd w:val="clear" w:color="auto" w:fill="CFF0FC"/>
          </w:tcPr>
          <w:p>
            <w:pPr>
              <w:ind w:left="320"/>
              <w:spacing w:after="0"/>
              <w:rPr>
                <w:sz w:val="20"/>
                <w:szCs w:val="20"/>
                <w:color w:val="auto"/>
              </w:rPr>
            </w:pPr>
            <w:r>
              <w:rPr>
                <w:rFonts w:ascii="Times New Roman" w:cs="Times New Roman" w:eastAsia="Times New Roman" w:hAnsi="Times New Roman"/>
                <w:sz w:val="18"/>
                <w:szCs w:val="18"/>
                <w:color w:val="auto"/>
              </w:rPr>
              <w:t>Total cost of revenues</w:t>
            </w:r>
          </w:p>
        </w:tc>
        <w:tc>
          <w:tcPr>
            <w:tcW w:w="12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565,942</w:t>
            </w:r>
          </w:p>
        </w:tc>
        <w:tc>
          <w:tcPr>
            <w:tcW w:w="1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601,641</w:t>
            </w:r>
          </w:p>
        </w:tc>
        <w:tc>
          <w:tcPr>
            <w:tcW w:w="1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1,767,797</w:t>
            </w:r>
          </w:p>
        </w:tc>
        <w:tc>
          <w:tcPr>
            <w:tcW w:w="1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1,813,586</w:t>
            </w:r>
          </w:p>
        </w:tc>
        <w:tc>
          <w:tcPr>
            <w:tcW w:w="0" w:type="dxa"/>
            <w:vAlign w:val="bottom"/>
          </w:tcPr>
          <w:p>
            <w:pPr>
              <w:spacing w:after="0"/>
              <w:rPr>
                <w:sz w:val="1"/>
                <w:szCs w:val="1"/>
                <w:color w:val="auto"/>
              </w:rPr>
            </w:pPr>
          </w:p>
        </w:tc>
      </w:tr>
      <w:tr>
        <w:trPr>
          <w:trHeight w:val="210"/>
        </w:trPr>
        <w:tc>
          <w:tcPr>
            <w:tcW w:w="5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Gross profit</w:t>
            </w:r>
          </w:p>
        </w:tc>
        <w:tc>
          <w:tcPr>
            <w:tcW w:w="120" w:type="dxa"/>
            <w:vAlign w:val="bottom"/>
          </w:tcPr>
          <w:p>
            <w:pPr>
              <w:spacing w:after="0"/>
              <w:rPr>
                <w:sz w:val="18"/>
                <w:szCs w:val="18"/>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580,219</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563,076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1,761,519</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1,685,030</w:t>
            </w:r>
          </w:p>
        </w:tc>
        <w:tc>
          <w:tcPr>
            <w:tcW w:w="0" w:type="dxa"/>
            <w:vAlign w:val="bottom"/>
          </w:tcPr>
          <w:p>
            <w:pPr>
              <w:spacing w:after="0"/>
              <w:rPr>
                <w:sz w:val="1"/>
                <w:szCs w:val="1"/>
                <w:color w:val="auto"/>
              </w:rPr>
            </w:pPr>
          </w:p>
        </w:tc>
      </w:tr>
      <w:tr>
        <w:trPr>
          <w:trHeight w:val="216"/>
        </w:trPr>
        <w:tc>
          <w:tcPr>
            <w:tcW w:w="5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Operating labor</w:t>
            </w:r>
          </w:p>
        </w:tc>
        <w:tc>
          <w:tcPr>
            <w:tcW w:w="120" w:type="dxa"/>
            <w:vAlign w:val="bottom"/>
          </w:tcPr>
          <w:p>
            <w:pPr>
              <w:spacing w:after="0"/>
              <w:rPr>
                <w:sz w:val="18"/>
                <w:szCs w:val="18"/>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147,408</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151,726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448,816</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449,985</w:t>
            </w:r>
          </w:p>
        </w:tc>
        <w:tc>
          <w:tcPr>
            <w:tcW w:w="0" w:type="dxa"/>
            <w:vAlign w:val="bottom"/>
          </w:tcPr>
          <w:p>
            <w:pPr>
              <w:spacing w:after="0"/>
              <w:rPr>
                <w:sz w:val="1"/>
                <w:szCs w:val="1"/>
                <w:color w:val="auto"/>
              </w:rPr>
            </w:pPr>
          </w:p>
        </w:tc>
      </w:tr>
      <w:tr>
        <w:trPr>
          <w:trHeight w:val="216"/>
        </w:trPr>
        <w:tc>
          <w:tcPr>
            <w:tcW w:w="58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Non-labor operating expenses</w:t>
            </w: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254,034</w:t>
            </w: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242,078</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764,552</w:t>
            </w: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691,233</w:t>
            </w:r>
          </w:p>
        </w:tc>
        <w:tc>
          <w:tcPr>
            <w:tcW w:w="0" w:type="dxa"/>
            <w:vAlign w:val="bottom"/>
          </w:tcPr>
          <w:p>
            <w:pPr>
              <w:spacing w:after="0"/>
              <w:rPr>
                <w:sz w:val="1"/>
                <w:szCs w:val="1"/>
                <w:color w:val="auto"/>
              </w:rPr>
            </w:pPr>
          </w:p>
        </w:tc>
      </w:tr>
      <w:tr>
        <w:trPr>
          <w:trHeight w:val="216"/>
        </w:trPr>
        <w:tc>
          <w:tcPr>
            <w:tcW w:w="5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20" w:type="dxa"/>
            <w:vAlign w:val="bottom"/>
          </w:tcPr>
          <w:p>
            <w:pPr>
              <w:spacing w:after="0"/>
              <w:rPr>
                <w:sz w:val="18"/>
                <w:szCs w:val="18"/>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60,922</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50,248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177,687</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177,445</w:t>
            </w:r>
          </w:p>
        </w:tc>
        <w:tc>
          <w:tcPr>
            <w:tcW w:w="0" w:type="dxa"/>
            <w:vAlign w:val="bottom"/>
          </w:tcPr>
          <w:p>
            <w:pPr>
              <w:spacing w:after="0"/>
              <w:rPr>
                <w:sz w:val="1"/>
                <w:szCs w:val="1"/>
                <w:color w:val="auto"/>
              </w:rPr>
            </w:pPr>
          </w:p>
        </w:tc>
      </w:tr>
      <w:tr>
        <w:trPr>
          <w:trHeight w:val="216"/>
        </w:trPr>
        <w:tc>
          <w:tcPr>
            <w:tcW w:w="58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14,192</w:t>
            </w: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12,900</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42,254</w:t>
            </w: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38,135</w:t>
            </w:r>
          </w:p>
        </w:tc>
        <w:tc>
          <w:tcPr>
            <w:tcW w:w="0" w:type="dxa"/>
            <w:vAlign w:val="bottom"/>
          </w:tcPr>
          <w:p>
            <w:pPr>
              <w:spacing w:after="0"/>
              <w:rPr>
                <w:sz w:val="1"/>
                <w:szCs w:val="1"/>
                <w:color w:val="auto"/>
              </w:rPr>
            </w:pPr>
          </w:p>
        </w:tc>
      </w:tr>
      <w:tr>
        <w:trPr>
          <w:trHeight w:val="216"/>
        </w:trPr>
        <w:tc>
          <w:tcPr>
            <w:tcW w:w="5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gains and charges</w:t>
            </w: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32,482</w:t>
            </w:r>
          </w:p>
        </w:tc>
        <w:tc>
          <w:tcPr>
            <w:tcW w:w="1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53,371</w:t>
            </w:r>
          </w:p>
        </w:tc>
        <w:tc>
          <w:tcPr>
            <w:tcW w:w="1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125,332</w:t>
            </w:r>
          </w:p>
        </w:tc>
        <w:tc>
          <w:tcPr>
            <w:tcW w:w="1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162,130</w:t>
            </w:r>
          </w:p>
        </w:tc>
        <w:tc>
          <w:tcPr>
            <w:tcW w:w="0" w:type="dxa"/>
            <w:vAlign w:val="bottom"/>
          </w:tcPr>
          <w:p>
            <w:pPr>
              <w:spacing w:after="0"/>
              <w:rPr>
                <w:sz w:val="1"/>
                <w:szCs w:val="1"/>
                <w:color w:val="auto"/>
              </w:rPr>
            </w:pPr>
          </w:p>
        </w:tc>
      </w:tr>
      <w:tr>
        <w:trPr>
          <w:trHeight w:val="209"/>
        </w:trPr>
        <w:tc>
          <w:tcPr>
            <w:tcW w:w="5820" w:type="dxa"/>
            <w:vAlign w:val="bottom"/>
            <w:tcBorders>
              <w:bottom w:val="single" w:sz="8" w:color="CFF0FC"/>
            </w:tcBorders>
            <w:shd w:val="clear" w:color="auto" w:fill="CFF0FC"/>
          </w:tcPr>
          <w:p>
            <w:pPr>
              <w:ind w:left="3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2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509,038</w:t>
            </w:r>
          </w:p>
        </w:tc>
        <w:tc>
          <w:tcPr>
            <w:tcW w:w="1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510,323</w:t>
            </w:r>
          </w:p>
        </w:tc>
        <w:tc>
          <w:tcPr>
            <w:tcW w:w="1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1,558,641</w:t>
            </w:r>
          </w:p>
        </w:tc>
        <w:tc>
          <w:tcPr>
            <w:tcW w:w="1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1,518,928</w:t>
            </w:r>
          </w:p>
        </w:tc>
        <w:tc>
          <w:tcPr>
            <w:tcW w:w="0" w:type="dxa"/>
            <w:vAlign w:val="bottom"/>
          </w:tcPr>
          <w:p>
            <w:pPr>
              <w:spacing w:after="0"/>
              <w:rPr>
                <w:sz w:val="1"/>
                <w:szCs w:val="1"/>
                <w:color w:val="auto"/>
              </w:rPr>
            </w:pPr>
          </w:p>
        </w:tc>
      </w:tr>
      <w:tr>
        <w:trPr>
          <w:trHeight w:val="210"/>
        </w:trPr>
        <w:tc>
          <w:tcPr>
            <w:tcW w:w="5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profit</w:t>
            </w:r>
          </w:p>
        </w:tc>
        <w:tc>
          <w:tcPr>
            <w:tcW w:w="120" w:type="dxa"/>
            <w:vAlign w:val="bottom"/>
          </w:tcPr>
          <w:p>
            <w:pPr>
              <w:spacing w:after="0"/>
              <w:rPr>
                <w:sz w:val="18"/>
                <w:szCs w:val="18"/>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71,181</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52,753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202,878</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166,102</w:t>
            </w:r>
          </w:p>
        </w:tc>
        <w:tc>
          <w:tcPr>
            <w:tcW w:w="0" w:type="dxa"/>
            <w:vAlign w:val="bottom"/>
          </w:tcPr>
          <w:p>
            <w:pPr>
              <w:spacing w:after="0"/>
              <w:rPr>
                <w:sz w:val="1"/>
                <w:szCs w:val="1"/>
                <w:color w:val="auto"/>
              </w:rPr>
            </w:pPr>
          </w:p>
        </w:tc>
      </w:tr>
      <w:tr>
        <w:trPr>
          <w:trHeight w:val="216"/>
        </w:trPr>
        <w:tc>
          <w:tcPr>
            <w:tcW w:w="5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Debt refinancing charges</w:t>
            </w: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4,894</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4,894</w:t>
            </w:r>
          </w:p>
        </w:tc>
        <w:tc>
          <w:tcPr>
            <w:tcW w:w="0" w:type="dxa"/>
            <w:vAlign w:val="bottom"/>
          </w:tcPr>
          <w:p>
            <w:pPr>
              <w:spacing w:after="0"/>
              <w:rPr>
                <w:sz w:val="1"/>
                <w:szCs w:val="1"/>
                <w:color w:val="auto"/>
              </w:rPr>
            </w:pPr>
          </w:p>
        </w:tc>
      </w:tr>
      <w:tr>
        <w:trPr>
          <w:trHeight w:val="216"/>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20" w:type="dxa"/>
            <w:vAlign w:val="bottom"/>
          </w:tcPr>
          <w:p>
            <w:pPr>
              <w:spacing w:after="0"/>
              <w:rPr>
                <w:sz w:val="18"/>
                <w:szCs w:val="18"/>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25,067</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28,662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77,470</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84,983</w:t>
            </w:r>
          </w:p>
        </w:tc>
        <w:tc>
          <w:tcPr>
            <w:tcW w:w="0" w:type="dxa"/>
            <w:vAlign w:val="bottom"/>
          </w:tcPr>
          <w:p>
            <w:pPr>
              <w:spacing w:after="0"/>
              <w:rPr>
                <w:sz w:val="1"/>
                <w:szCs w:val="1"/>
                <w:color w:val="auto"/>
              </w:rPr>
            </w:pPr>
          </w:p>
        </w:tc>
      </w:tr>
      <w:tr>
        <w:trPr>
          <w:trHeight w:val="216"/>
        </w:trPr>
        <w:tc>
          <w:tcPr>
            <w:tcW w:w="58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2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(613)</w:t>
            </w:r>
          </w:p>
        </w:tc>
        <w:tc>
          <w:tcPr>
            <w:tcW w:w="1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(673)</w:t>
            </w:r>
          </w:p>
        </w:tc>
        <w:tc>
          <w:tcPr>
            <w:tcW w:w="1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(1,848)</w:t>
            </w:r>
          </w:p>
        </w:tc>
        <w:tc>
          <w:tcPr>
            <w:tcW w:w="1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(2,005)</w:t>
            </w:r>
          </w:p>
        </w:tc>
        <w:tc>
          <w:tcPr>
            <w:tcW w:w="0" w:type="dxa"/>
            <w:vAlign w:val="bottom"/>
          </w:tcPr>
          <w:p>
            <w:pPr>
              <w:spacing w:after="0"/>
              <w:rPr>
                <w:sz w:val="1"/>
                <w:szCs w:val="1"/>
                <w:color w:val="auto"/>
              </w:rPr>
            </w:pPr>
          </w:p>
        </w:tc>
      </w:tr>
      <w:tr>
        <w:trPr>
          <w:trHeight w:val="210"/>
        </w:trPr>
        <w:tc>
          <w:tcPr>
            <w:tcW w:w="5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Earnings before income taxes</w:t>
            </w:r>
          </w:p>
        </w:tc>
        <w:tc>
          <w:tcPr>
            <w:tcW w:w="120" w:type="dxa"/>
            <w:vAlign w:val="bottom"/>
          </w:tcPr>
          <w:p>
            <w:pPr>
              <w:spacing w:after="0"/>
              <w:rPr>
                <w:sz w:val="18"/>
                <w:szCs w:val="18"/>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46,727</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19,870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127,256</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78,230</w:t>
            </w:r>
          </w:p>
        </w:tc>
        <w:tc>
          <w:tcPr>
            <w:tcW w:w="0" w:type="dxa"/>
            <w:vAlign w:val="bottom"/>
          </w:tcPr>
          <w:p>
            <w:pPr>
              <w:spacing w:after="0"/>
              <w:rPr>
                <w:sz w:val="1"/>
                <w:szCs w:val="1"/>
                <w:color w:val="auto"/>
              </w:rPr>
            </w:pPr>
          </w:p>
        </w:tc>
      </w:tr>
      <w:tr>
        <w:trPr>
          <w:trHeight w:val="216"/>
        </w:trPr>
        <w:tc>
          <w:tcPr>
            <w:tcW w:w="58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2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12,456</w:t>
            </w:r>
          </w:p>
        </w:tc>
        <w:tc>
          <w:tcPr>
            <w:tcW w:w="1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6,649</w:t>
            </w:r>
          </w:p>
        </w:tc>
        <w:tc>
          <w:tcPr>
            <w:tcW w:w="1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35,612</w:t>
            </w:r>
          </w:p>
        </w:tc>
        <w:tc>
          <w:tcPr>
            <w:tcW w:w="1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24,731</w:t>
            </w:r>
          </w:p>
        </w:tc>
        <w:tc>
          <w:tcPr>
            <w:tcW w:w="0" w:type="dxa"/>
            <w:vAlign w:val="bottom"/>
          </w:tcPr>
          <w:p>
            <w:pPr>
              <w:spacing w:after="0"/>
              <w:rPr>
                <w:sz w:val="1"/>
                <w:szCs w:val="1"/>
                <w:color w:val="auto"/>
              </w:rPr>
            </w:pPr>
          </w:p>
        </w:tc>
      </w:tr>
      <w:tr>
        <w:trPr>
          <w:trHeight w:val="210"/>
        </w:trPr>
        <w:tc>
          <w:tcPr>
            <w:tcW w:w="5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earnings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34,271</w:t>
            </w:r>
          </w:p>
        </w:tc>
        <w:tc>
          <w:tcPr>
            <w:tcW w:w="3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13,221</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91,644</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53,499</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82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Basic earnings per common share</w:t>
            </w:r>
          </w:p>
        </w:tc>
        <w:tc>
          <w:tcPr>
            <w:tcW w:w="12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ind w:right="31"/>
              <w:spacing w:after="0" w:line="196" w:lineRule="exact"/>
              <w:rPr>
                <w:sz w:val="20"/>
                <w:szCs w:val="20"/>
                <w:color w:val="auto"/>
              </w:rPr>
            </w:pPr>
            <w:r>
              <w:rPr>
                <w:rFonts w:ascii="Times New Roman" w:cs="Times New Roman" w:eastAsia="Times New Roman" w:hAnsi="Times New Roman"/>
                <w:sz w:val="18"/>
                <w:szCs w:val="18"/>
                <w:color w:val="auto"/>
              </w:rPr>
              <w:t>0.59</w:t>
            </w: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ind w:right="31"/>
              <w:spacing w:after="0" w:line="196" w:lineRule="exact"/>
              <w:rPr>
                <w:sz w:val="20"/>
                <w:szCs w:val="20"/>
                <w:color w:val="auto"/>
              </w:rPr>
            </w:pPr>
            <w:r>
              <w:rPr>
                <w:rFonts w:ascii="Times New Roman" w:cs="Times New Roman" w:eastAsia="Times New Roman" w:hAnsi="Times New Roman"/>
                <w:sz w:val="18"/>
                <w:szCs w:val="18"/>
                <w:color w:val="auto"/>
              </w:rPr>
              <w:t>0.23</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ind w:right="31"/>
              <w:spacing w:after="0" w:line="196" w:lineRule="exact"/>
              <w:rPr>
                <w:sz w:val="20"/>
                <w:szCs w:val="20"/>
                <w:color w:val="auto"/>
              </w:rPr>
            </w:pPr>
            <w:r>
              <w:rPr>
                <w:rFonts w:ascii="Times New Roman" w:cs="Times New Roman" w:eastAsia="Times New Roman" w:hAnsi="Times New Roman"/>
                <w:sz w:val="18"/>
                <w:szCs w:val="18"/>
                <w:color w:val="auto"/>
              </w:rPr>
              <w:t>1.58</w:t>
            </w:r>
          </w:p>
        </w:tc>
        <w:tc>
          <w:tcPr>
            <w:tcW w:w="380" w:type="dxa"/>
            <w:vAlign w:val="bottom"/>
            <w:gridSpan w:val="2"/>
            <w:shd w:val="clear" w:color="auto" w:fill="CFF0FC"/>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ind w:right="51"/>
              <w:spacing w:after="0" w:line="196" w:lineRule="exact"/>
              <w:rPr>
                <w:sz w:val="20"/>
                <w:szCs w:val="20"/>
                <w:color w:val="auto"/>
              </w:rPr>
            </w:pPr>
            <w:r>
              <w:rPr>
                <w:rFonts w:ascii="Times New Roman" w:cs="Times New Roman" w:eastAsia="Times New Roman" w:hAnsi="Times New Roman"/>
                <w:sz w:val="18"/>
                <w:szCs w:val="18"/>
                <w:color w:val="auto"/>
              </w:rPr>
              <w:t>0.95</w:t>
            </w:r>
          </w:p>
        </w:tc>
        <w:tc>
          <w:tcPr>
            <w:tcW w:w="0" w:type="dxa"/>
            <w:vAlign w:val="bottom"/>
          </w:tcPr>
          <w:p>
            <w:pPr>
              <w:spacing w:after="0"/>
              <w:rPr>
                <w:sz w:val="1"/>
                <w:szCs w:val="1"/>
                <w:color w:val="auto"/>
              </w:rPr>
            </w:pPr>
          </w:p>
        </w:tc>
      </w:tr>
      <w:tr>
        <w:trPr>
          <w:trHeight w:val="20"/>
        </w:trPr>
        <w:tc>
          <w:tcPr>
            <w:tcW w:w="58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Diluted earnings per common share</w:t>
            </w:r>
          </w:p>
        </w:tc>
        <w:tc>
          <w:tcPr>
            <w:tcW w:w="1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31"/>
              <w:spacing w:after="0" w:line="196" w:lineRule="exact"/>
              <w:rPr>
                <w:sz w:val="20"/>
                <w:szCs w:val="20"/>
                <w:color w:val="auto"/>
              </w:rPr>
            </w:pPr>
            <w:r>
              <w:rPr>
                <w:rFonts w:ascii="Times New Roman" w:cs="Times New Roman" w:eastAsia="Times New Roman" w:hAnsi="Times New Roman"/>
                <w:sz w:val="18"/>
                <w:szCs w:val="18"/>
                <w:color w:val="auto"/>
              </w:rPr>
              <w:t>0.58</w:t>
            </w:r>
          </w:p>
        </w:tc>
        <w:tc>
          <w:tcPr>
            <w:tcW w:w="140" w:type="dxa"/>
            <w:vAlign w:val="bottom"/>
          </w:tcPr>
          <w:p>
            <w:pPr>
              <w:spacing w:after="0"/>
              <w:rPr>
                <w:sz w:val="17"/>
                <w:szCs w:val="17"/>
                <w:color w:val="auto"/>
              </w:rPr>
            </w:pPr>
          </w:p>
        </w:tc>
        <w:tc>
          <w:tcPr>
            <w:tcW w:w="240" w:type="dxa"/>
            <w:vAlign w:val="bottom"/>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ind w:right="31"/>
              <w:spacing w:after="0" w:line="196" w:lineRule="exact"/>
              <w:rPr>
                <w:sz w:val="20"/>
                <w:szCs w:val="20"/>
                <w:color w:val="auto"/>
              </w:rPr>
            </w:pPr>
            <w:r>
              <w:rPr>
                <w:rFonts w:ascii="Times New Roman" w:cs="Times New Roman" w:eastAsia="Times New Roman" w:hAnsi="Times New Roman"/>
                <w:sz w:val="18"/>
                <w:szCs w:val="18"/>
                <w:color w:val="auto"/>
              </w:rPr>
              <w:t>0.22</w:t>
            </w:r>
          </w:p>
        </w:tc>
        <w:tc>
          <w:tcPr>
            <w:tcW w:w="140" w:type="dxa"/>
            <w:vAlign w:val="bottom"/>
          </w:tcPr>
          <w:p>
            <w:pPr>
              <w:spacing w:after="0"/>
              <w:rPr>
                <w:sz w:val="17"/>
                <w:szCs w:val="17"/>
                <w:color w:val="auto"/>
              </w:rPr>
            </w:pPr>
          </w:p>
        </w:tc>
        <w:tc>
          <w:tcPr>
            <w:tcW w:w="1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31"/>
              <w:spacing w:after="0" w:line="196" w:lineRule="exact"/>
              <w:rPr>
                <w:sz w:val="20"/>
                <w:szCs w:val="20"/>
                <w:color w:val="auto"/>
              </w:rPr>
            </w:pPr>
            <w:r>
              <w:rPr>
                <w:rFonts w:ascii="Times New Roman" w:cs="Times New Roman" w:eastAsia="Times New Roman" w:hAnsi="Times New Roman"/>
                <w:sz w:val="18"/>
                <w:szCs w:val="18"/>
                <w:color w:val="auto"/>
              </w:rPr>
              <w:t>1.56</w:t>
            </w:r>
          </w:p>
        </w:tc>
        <w:tc>
          <w:tcPr>
            <w:tcW w:w="380" w:type="dxa"/>
            <w:vAlign w:val="bottom"/>
            <w:gridSpan w:val="2"/>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51"/>
              <w:spacing w:after="0" w:line="196" w:lineRule="exact"/>
              <w:rPr>
                <w:sz w:val="20"/>
                <w:szCs w:val="20"/>
                <w:color w:val="auto"/>
              </w:rPr>
            </w:pPr>
            <w:r>
              <w:rPr>
                <w:rFonts w:ascii="Times New Roman" w:cs="Times New Roman" w:eastAsia="Times New Roman" w:hAnsi="Times New Roman"/>
                <w:sz w:val="18"/>
                <w:szCs w:val="18"/>
                <w:color w:val="auto"/>
              </w:rPr>
              <w:t>0.91</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4488180</wp:posOffset>
            </wp:positionH>
            <wp:positionV relativeFrom="paragraph">
              <wp:posOffset>-3291205</wp:posOffset>
            </wp:positionV>
            <wp:extent cx="857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-3291205</wp:posOffset>
            </wp:positionV>
            <wp:extent cx="8572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-3291205</wp:posOffset>
            </wp:positionV>
            <wp:extent cx="8572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-2451100</wp:posOffset>
            </wp:positionV>
            <wp:extent cx="8572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-2451100</wp:posOffset>
            </wp:positionV>
            <wp:extent cx="8572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-2451100</wp:posOffset>
            </wp:positionV>
            <wp:extent cx="8572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-1336675</wp:posOffset>
            </wp:positionV>
            <wp:extent cx="8572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-1336675</wp:posOffset>
            </wp:positionV>
            <wp:extent cx="8572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-1336675</wp:posOffset>
            </wp:positionV>
            <wp:extent cx="8572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-779145</wp:posOffset>
            </wp:positionV>
            <wp:extent cx="8572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-779145</wp:posOffset>
            </wp:positionV>
            <wp:extent cx="8572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-779145</wp:posOffset>
            </wp:positionV>
            <wp:extent cx="8572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-496570</wp:posOffset>
            </wp:positionV>
            <wp:extent cx="8572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-496570</wp:posOffset>
            </wp:positionV>
            <wp:extent cx="8572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-496570</wp:posOffset>
            </wp:positionV>
            <wp:extent cx="8572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-187960</wp:posOffset>
            </wp:positionV>
            <wp:extent cx="8572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-170815</wp:posOffset>
            </wp:positionV>
            <wp:extent cx="8572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-187960</wp:posOffset>
            </wp:positionV>
            <wp:extent cx="8572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-170815</wp:posOffset>
            </wp:positionV>
            <wp:extent cx="8572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-187960</wp:posOffset>
            </wp:positionV>
            <wp:extent cx="8572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-170815</wp:posOffset>
            </wp:positionV>
            <wp:extent cx="8572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 w:name="page4"/>
    <w:bookmarkEnd w:id="3"/>
    <w:p>
      <w:pPr>
        <w:jc w:val="center"/>
        <w:ind w:left="340" w:right="2280"/>
        <w:spacing w:after="0" w:line="278" w:lineRule="auto"/>
        <w:rPr>
          <w:sz w:val="20"/>
          <w:szCs w:val="20"/>
          <w:color w:val="auto"/>
        </w:rPr>
      </w:pPr>
      <w:r>
        <w:rPr>
          <w:rFonts w:ascii="Times New Roman" w:cs="Times New Roman" w:eastAsia="Times New Roman" w:hAnsi="Times New Roman"/>
          <w:sz w:val="18"/>
          <w:szCs w:val="18"/>
          <w:b w:val="1"/>
          <w:bCs w:val="1"/>
          <w:color w:val="auto"/>
        </w:rPr>
        <w:t>UPBOUND GROUP, INC. AND SUBSIDIARIES CONDENSED CONSOLIDATED STATEMENTS OF COMPREHENSIVE INCOME (Unaudited)</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500" w:type="dxa"/>
            <w:vAlign w:val="bottom"/>
            <w:tcBorders>
              <w:bottom w:val="single" w:sz="8" w:color="auto"/>
            </w:tcBorders>
            <w:gridSpan w:val="4"/>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520" w:type="dxa"/>
            <w:vAlign w:val="bottom"/>
            <w:tcBorders>
              <w:bottom w:val="single" w:sz="8" w:color="auto"/>
            </w:tcBorders>
            <w:gridSpan w:val="4"/>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42"/>
        </w:trPr>
        <w:tc>
          <w:tcPr>
            <w:tcW w:w="564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436"/>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4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45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456"/>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4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7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142"/>
        </w:trPr>
        <w:tc>
          <w:tcPr>
            <w:tcW w:w="56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earnings</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34,271</w:t>
            </w:r>
          </w:p>
        </w:tc>
        <w:tc>
          <w:tcPr>
            <w:tcW w:w="40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13,221</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91,644</w:t>
            </w:r>
          </w:p>
        </w:tc>
        <w:tc>
          <w:tcPr>
            <w:tcW w:w="3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53,499</w:t>
            </w:r>
          </w:p>
        </w:tc>
        <w:tc>
          <w:tcPr>
            <w:tcW w:w="0" w:type="dxa"/>
            <w:vAlign w:val="bottom"/>
          </w:tcPr>
          <w:p>
            <w:pPr>
              <w:spacing w:after="0"/>
              <w:rPr>
                <w:sz w:val="1"/>
                <w:szCs w:val="1"/>
                <w:color w:val="auto"/>
              </w:rPr>
            </w:pPr>
          </w:p>
        </w:tc>
      </w:tr>
      <w:tr>
        <w:trPr>
          <w:trHeight w:val="216"/>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 income:</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64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Foreign currency translation adjustments, net of tax of $(232) and $175 and</w:t>
            </w: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$49 and $802 for the three and nine months ended September 30, 2026 and</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2025, respectively</w:t>
            </w:r>
          </w:p>
        </w:tc>
        <w:tc>
          <w:tcPr>
            <w:tcW w:w="1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(871)</w:t>
            </w:r>
          </w:p>
        </w:tc>
        <w:tc>
          <w:tcPr>
            <w:tcW w:w="1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659</w:t>
            </w:r>
          </w:p>
        </w:tc>
        <w:tc>
          <w:tcPr>
            <w:tcW w:w="1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12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185</w:t>
            </w:r>
          </w:p>
        </w:tc>
        <w:tc>
          <w:tcPr>
            <w:tcW w:w="1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02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3,016</w:t>
            </w:r>
          </w:p>
        </w:tc>
        <w:tc>
          <w:tcPr>
            <w:tcW w:w="0" w:type="dxa"/>
            <w:vAlign w:val="bottom"/>
          </w:tcPr>
          <w:p>
            <w:pPr>
              <w:spacing w:after="0"/>
              <w:rPr>
                <w:sz w:val="1"/>
                <w:szCs w:val="1"/>
                <w:color w:val="auto"/>
              </w:rPr>
            </w:pPr>
          </w:p>
        </w:tc>
      </w:tr>
      <w:tr>
        <w:trPr>
          <w:trHeight w:val="216"/>
        </w:trPr>
        <w:tc>
          <w:tcPr>
            <w:tcW w:w="5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other comprehensive (loss) income</w:t>
            </w:r>
          </w:p>
        </w:tc>
        <w:tc>
          <w:tcPr>
            <w:tcW w:w="1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(871)</w:t>
            </w:r>
          </w:p>
        </w:tc>
        <w:tc>
          <w:tcPr>
            <w:tcW w:w="1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659</w:t>
            </w:r>
          </w:p>
        </w:tc>
        <w:tc>
          <w:tcPr>
            <w:tcW w:w="1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185</w:t>
            </w:r>
          </w:p>
        </w:tc>
        <w:tc>
          <w:tcPr>
            <w:tcW w:w="1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8"/>
                <w:szCs w:val="18"/>
                <w:color w:val="auto"/>
              </w:rPr>
              <w:t>3,016</w:t>
            </w:r>
          </w:p>
        </w:tc>
        <w:tc>
          <w:tcPr>
            <w:tcW w:w="0" w:type="dxa"/>
            <w:vAlign w:val="bottom"/>
          </w:tcPr>
          <w:p>
            <w:pPr>
              <w:spacing w:after="0"/>
              <w:rPr>
                <w:sz w:val="1"/>
                <w:szCs w:val="1"/>
                <w:color w:val="auto"/>
              </w:rPr>
            </w:pPr>
          </w:p>
        </w:tc>
      </w:tr>
      <w:tr>
        <w:trPr>
          <w:trHeight w:val="230"/>
        </w:trPr>
        <w:tc>
          <w:tcPr>
            <w:tcW w:w="564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Comprehensive income</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33,400</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13,880</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91,829</w:t>
            </w:r>
          </w:p>
        </w:tc>
        <w:tc>
          <w:tcPr>
            <w:tcW w:w="3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56,515</w:t>
            </w:r>
          </w:p>
        </w:tc>
        <w:tc>
          <w:tcPr>
            <w:tcW w:w="0" w:type="dxa"/>
            <w:vAlign w:val="bottom"/>
          </w:tcPr>
          <w:p>
            <w:pPr>
              <w:spacing w:after="0"/>
              <w:rPr>
                <w:sz w:val="1"/>
                <w:szCs w:val="1"/>
                <w:color w:val="auto"/>
              </w:rPr>
            </w:pPr>
          </w:p>
        </w:tc>
      </w:tr>
      <w:tr>
        <w:trPr>
          <w:trHeight w:val="20"/>
        </w:trPr>
        <w:tc>
          <w:tcPr>
            <w:tcW w:w="56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4488180</wp:posOffset>
            </wp:positionH>
            <wp:positionV relativeFrom="paragraph">
              <wp:posOffset>-24765</wp:posOffset>
            </wp:positionV>
            <wp:extent cx="8572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-7620</wp:posOffset>
            </wp:positionV>
            <wp:extent cx="8572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-24765</wp:posOffset>
            </wp:positionV>
            <wp:extent cx="8572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-7620</wp:posOffset>
            </wp:positionV>
            <wp:extent cx="8572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-24765</wp:posOffset>
            </wp:positionV>
            <wp:extent cx="8572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-7620</wp:posOffset>
            </wp:positionV>
            <wp:extent cx="8572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UPBOUND GROUP,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4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 except share and par value data)</w:t>
            </w:r>
          </w:p>
        </w:tc>
        <w:tc>
          <w:tcPr>
            <w:tcW w:w="14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1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0" w:type="dxa"/>
            <w:vAlign w:val="bottom"/>
          </w:tcPr>
          <w:p>
            <w:pPr>
              <w:spacing w:after="0"/>
              <w:rPr>
                <w:sz w:val="1"/>
                <w:szCs w:val="1"/>
                <w:color w:val="auto"/>
              </w:rPr>
            </w:pPr>
          </w:p>
        </w:tc>
      </w:tr>
      <w:tr>
        <w:trPr>
          <w:trHeight w:val="142"/>
        </w:trPr>
        <w:tc>
          <w:tcPr>
            <w:tcW w:w="77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740" w:type="dxa"/>
            <w:vAlign w:val="bottom"/>
            <w:shd w:val="clear" w:color="auto" w:fill="CFF0FC"/>
          </w:tcPr>
          <w:p>
            <w:pPr>
              <w:jc w:val="center"/>
              <w:ind w:right="91"/>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4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125,097</w:t>
            </w: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120,528</w:t>
            </w:r>
          </w:p>
        </w:tc>
        <w:tc>
          <w:tcPr>
            <w:tcW w:w="0" w:type="dxa"/>
            <w:vAlign w:val="bottom"/>
          </w:tcPr>
          <w:p>
            <w:pPr>
              <w:spacing w:after="0"/>
              <w:rPr>
                <w:sz w:val="1"/>
                <w:szCs w:val="1"/>
                <w:color w:val="auto"/>
              </w:rPr>
            </w:pPr>
          </w:p>
        </w:tc>
      </w:tr>
      <w:tr>
        <w:trPr>
          <w:trHeight w:val="198"/>
        </w:trPr>
        <w:tc>
          <w:tcPr>
            <w:tcW w:w="774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Receivables, net of allowance for doubtful accounts of $39,027 and $29,661 in 2026 and 2025,</w:t>
            </w:r>
          </w:p>
        </w:tc>
        <w:tc>
          <w:tcPr>
            <w:tcW w:w="140" w:type="dxa"/>
            <w:vAlign w:val="bottom"/>
            <w:shd w:val="clear" w:color="auto" w:fill="CFF0FC"/>
          </w:tcPr>
          <w:p>
            <w:pPr>
              <w:spacing w:after="0"/>
              <w:rPr>
                <w:sz w:val="17"/>
                <w:szCs w:val="17"/>
                <w:color w:val="auto"/>
              </w:rPr>
            </w:pPr>
          </w:p>
        </w:tc>
        <w:tc>
          <w:tcPr>
            <w:tcW w:w="15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5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respectively</w:t>
            </w:r>
          </w:p>
        </w:tc>
        <w:tc>
          <w:tcPr>
            <w:tcW w:w="140" w:type="dxa"/>
            <w:vAlign w:val="bottom"/>
            <w:shd w:val="clear" w:color="auto" w:fill="CFF0FC"/>
          </w:tcPr>
          <w:p>
            <w:pPr>
              <w:spacing w:after="0"/>
              <w:rPr>
                <w:sz w:val="20"/>
                <w:szCs w:val="20"/>
                <w:color w:val="auto"/>
              </w:rPr>
            </w:pPr>
          </w:p>
        </w:tc>
        <w:tc>
          <w:tcPr>
            <w:tcW w:w="15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206,404</w:t>
            </w:r>
          </w:p>
        </w:tc>
        <w:tc>
          <w:tcPr>
            <w:tcW w:w="1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5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203,194</w:t>
            </w:r>
          </w:p>
        </w:tc>
        <w:tc>
          <w:tcPr>
            <w:tcW w:w="0" w:type="dxa"/>
            <w:vAlign w:val="bottom"/>
          </w:tcPr>
          <w:p>
            <w:pPr>
              <w:spacing w:after="0"/>
              <w:rPr>
                <w:sz w:val="1"/>
                <w:szCs w:val="1"/>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140" w:type="dxa"/>
            <w:vAlign w:val="bottom"/>
          </w:tcPr>
          <w:p>
            <w:pPr>
              <w:spacing w:after="0"/>
              <w:rPr>
                <w:sz w:val="18"/>
                <w:szCs w:val="18"/>
                <w:color w:val="auto"/>
              </w:rPr>
            </w:pPr>
          </w:p>
        </w:tc>
        <w:tc>
          <w:tcPr>
            <w:tcW w:w="15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118,533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153,010</w:t>
            </w:r>
          </w:p>
        </w:tc>
        <w:tc>
          <w:tcPr>
            <w:tcW w:w="0" w:type="dxa"/>
            <w:vAlign w:val="bottom"/>
          </w:tcPr>
          <w:p>
            <w:pPr>
              <w:spacing w:after="0"/>
              <w:rPr>
                <w:sz w:val="1"/>
                <w:szCs w:val="1"/>
                <w:color w:val="auto"/>
              </w:rPr>
            </w:pPr>
          </w:p>
        </w:tc>
      </w:tr>
      <w:tr>
        <w:trPr>
          <w:trHeight w:val="21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Rental merchandise, net</w:t>
            </w:r>
          </w:p>
        </w:tc>
        <w:tc>
          <w:tcPr>
            <w:tcW w:w="14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On rent</w:t>
            </w:r>
          </w:p>
        </w:tc>
        <w:tc>
          <w:tcPr>
            <w:tcW w:w="140" w:type="dxa"/>
            <w:vAlign w:val="bottom"/>
          </w:tcPr>
          <w:p>
            <w:pPr>
              <w:spacing w:after="0"/>
              <w:rPr>
                <w:sz w:val="18"/>
                <w:szCs w:val="18"/>
                <w:color w:val="auto"/>
              </w:rPr>
            </w:pPr>
          </w:p>
        </w:tc>
        <w:tc>
          <w:tcPr>
            <w:tcW w:w="15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1,043,829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1,202,282</w:t>
            </w:r>
          </w:p>
        </w:tc>
        <w:tc>
          <w:tcPr>
            <w:tcW w:w="0" w:type="dxa"/>
            <w:vAlign w:val="bottom"/>
          </w:tcPr>
          <w:p>
            <w:pPr>
              <w:spacing w:after="0"/>
              <w:rPr>
                <w:sz w:val="1"/>
                <w:szCs w:val="1"/>
                <w:color w:val="auto"/>
              </w:rPr>
            </w:pPr>
          </w:p>
        </w:tc>
      </w:tr>
      <w:tr>
        <w:trPr>
          <w:trHeight w:val="216"/>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Held for rent</w:t>
            </w:r>
          </w:p>
        </w:tc>
        <w:tc>
          <w:tcPr>
            <w:tcW w:w="140" w:type="dxa"/>
            <w:vAlign w:val="bottom"/>
            <w:shd w:val="clear" w:color="auto" w:fill="CFF0FC"/>
          </w:tcPr>
          <w:p>
            <w:pPr>
              <w:spacing w:after="0"/>
              <w:rPr>
                <w:sz w:val="18"/>
                <w:szCs w:val="18"/>
                <w:color w:val="auto"/>
              </w:rPr>
            </w:pPr>
          </w:p>
        </w:tc>
        <w:tc>
          <w:tcPr>
            <w:tcW w:w="15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143,408</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114,525</w:t>
            </w:r>
          </w:p>
        </w:tc>
        <w:tc>
          <w:tcPr>
            <w:tcW w:w="0" w:type="dxa"/>
            <w:vAlign w:val="bottom"/>
          </w:tcPr>
          <w:p>
            <w:pPr>
              <w:spacing w:after="0"/>
              <w:rPr>
                <w:sz w:val="1"/>
                <w:szCs w:val="1"/>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Merchandise held for installment sale</w:t>
            </w:r>
          </w:p>
        </w:tc>
        <w:tc>
          <w:tcPr>
            <w:tcW w:w="140" w:type="dxa"/>
            <w:vAlign w:val="bottom"/>
          </w:tcPr>
          <w:p>
            <w:pPr>
              <w:spacing w:after="0"/>
              <w:rPr>
                <w:sz w:val="18"/>
                <w:szCs w:val="18"/>
                <w:color w:val="auto"/>
              </w:rPr>
            </w:pPr>
          </w:p>
        </w:tc>
        <w:tc>
          <w:tcPr>
            <w:tcW w:w="15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4,940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5,205</w:t>
            </w:r>
          </w:p>
        </w:tc>
        <w:tc>
          <w:tcPr>
            <w:tcW w:w="0" w:type="dxa"/>
            <w:vAlign w:val="bottom"/>
          </w:tcPr>
          <w:p>
            <w:pPr>
              <w:spacing w:after="0"/>
              <w:rPr>
                <w:sz w:val="1"/>
                <w:szCs w:val="1"/>
                <w:color w:val="auto"/>
              </w:rPr>
            </w:pPr>
          </w:p>
        </w:tc>
      </w:tr>
      <w:tr>
        <w:trPr>
          <w:trHeight w:val="198"/>
        </w:trPr>
        <w:tc>
          <w:tcPr>
            <w:tcW w:w="774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Property assets, net of accumulated depreciation of $580,823 and $556,812 in 2026 and 2025,</w:t>
            </w:r>
          </w:p>
        </w:tc>
        <w:tc>
          <w:tcPr>
            <w:tcW w:w="140" w:type="dxa"/>
            <w:vAlign w:val="bottom"/>
            <w:shd w:val="clear" w:color="auto" w:fill="CFF0FC"/>
          </w:tcPr>
          <w:p>
            <w:pPr>
              <w:spacing w:after="0"/>
              <w:rPr>
                <w:sz w:val="17"/>
                <w:szCs w:val="17"/>
                <w:color w:val="auto"/>
              </w:rPr>
            </w:pPr>
          </w:p>
        </w:tc>
        <w:tc>
          <w:tcPr>
            <w:tcW w:w="15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5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respectively</w:t>
            </w:r>
          </w:p>
        </w:tc>
        <w:tc>
          <w:tcPr>
            <w:tcW w:w="140" w:type="dxa"/>
            <w:vAlign w:val="bottom"/>
            <w:shd w:val="clear" w:color="auto" w:fill="CFF0FC"/>
          </w:tcPr>
          <w:p>
            <w:pPr>
              <w:spacing w:after="0"/>
              <w:rPr>
                <w:sz w:val="20"/>
                <w:szCs w:val="20"/>
                <w:color w:val="auto"/>
              </w:rPr>
            </w:pPr>
          </w:p>
        </w:tc>
        <w:tc>
          <w:tcPr>
            <w:tcW w:w="15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293,791</w:t>
            </w:r>
          </w:p>
        </w:tc>
        <w:tc>
          <w:tcPr>
            <w:tcW w:w="1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5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310,126</w:t>
            </w:r>
          </w:p>
        </w:tc>
        <w:tc>
          <w:tcPr>
            <w:tcW w:w="0" w:type="dxa"/>
            <w:vAlign w:val="bottom"/>
          </w:tcPr>
          <w:p>
            <w:pPr>
              <w:spacing w:after="0"/>
              <w:rPr>
                <w:sz w:val="1"/>
                <w:szCs w:val="1"/>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40" w:type="dxa"/>
            <w:vAlign w:val="bottom"/>
          </w:tcPr>
          <w:p>
            <w:pPr>
              <w:spacing w:after="0"/>
              <w:rPr>
                <w:sz w:val="18"/>
                <w:szCs w:val="18"/>
                <w:color w:val="auto"/>
              </w:rPr>
            </w:pPr>
          </w:p>
        </w:tc>
        <w:tc>
          <w:tcPr>
            <w:tcW w:w="15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267,146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272,692</w:t>
            </w:r>
          </w:p>
        </w:tc>
        <w:tc>
          <w:tcPr>
            <w:tcW w:w="0" w:type="dxa"/>
            <w:vAlign w:val="bottom"/>
          </w:tcPr>
          <w:p>
            <w:pPr>
              <w:spacing w:after="0"/>
              <w:rPr>
                <w:sz w:val="1"/>
                <w:szCs w:val="1"/>
                <w:color w:val="auto"/>
              </w:rPr>
            </w:pPr>
          </w:p>
        </w:tc>
      </w:tr>
      <w:tr>
        <w:trPr>
          <w:trHeight w:val="21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tax asset</w:t>
            </w:r>
          </w:p>
        </w:tc>
        <w:tc>
          <w:tcPr>
            <w:tcW w:w="140" w:type="dxa"/>
            <w:vAlign w:val="bottom"/>
            <w:shd w:val="clear" w:color="auto" w:fill="CFF0FC"/>
          </w:tcPr>
          <w:p>
            <w:pPr>
              <w:spacing w:after="0"/>
              <w:rPr>
                <w:sz w:val="18"/>
                <w:szCs w:val="18"/>
                <w:color w:val="auto"/>
              </w:rPr>
            </w:pPr>
          </w:p>
        </w:tc>
        <w:tc>
          <w:tcPr>
            <w:tcW w:w="15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56,587</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56,767</w:t>
            </w:r>
          </w:p>
        </w:tc>
        <w:tc>
          <w:tcPr>
            <w:tcW w:w="0" w:type="dxa"/>
            <w:vAlign w:val="bottom"/>
          </w:tcPr>
          <w:p>
            <w:pPr>
              <w:spacing w:after="0"/>
              <w:rPr>
                <w:sz w:val="1"/>
                <w:szCs w:val="1"/>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140" w:type="dxa"/>
            <w:vAlign w:val="bottom"/>
          </w:tcPr>
          <w:p>
            <w:pPr>
              <w:spacing w:after="0"/>
              <w:rPr>
                <w:sz w:val="18"/>
                <w:szCs w:val="18"/>
                <w:color w:val="auto"/>
              </w:rPr>
            </w:pPr>
          </w:p>
        </w:tc>
        <w:tc>
          <w:tcPr>
            <w:tcW w:w="15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488,158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488,158</w:t>
            </w:r>
          </w:p>
        </w:tc>
        <w:tc>
          <w:tcPr>
            <w:tcW w:w="0" w:type="dxa"/>
            <w:vAlign w:val="bottom"/>
          </w:tcPr>
          <w:p>
            <w:pPr>
              <w:spacing w:after="0"/>
              <w:rPr>
                <w:sz w:val="1"/>
                <w:szCs w:val="1"/>
                <w:color w:val="auto"/>
              </w:rPr>
            </w:pPr>
          </w:p>
        </w:tc>
      </w:tr>
      <w:tr>
        <w:trPr>
          <w:trHeight w:val="216"/>
        </w:trPr>
        <w:tc>
          <w:tcPr>
            <w:tcW w:w="77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intangible assets, net</w:t>
            </w:r>
          </w:p>
        </w:tc>
        <w:tc>
          <w:tcPr>
            <w:tcW w:w="140" w:type="dxa"/>
            <w:vAlign w:val="bottom"/>
            <w:tcBorders>
              <w:bottom w:val="single" w:sz="8" w:color="auto"/>
            </w:tcBorders>
            <w:shd w:val="clear" w:color="auto" w:fill="CFF0FC"/>
          </w:tcPr>
          <w:p>
            <w:pPr>
              <w:spacing w:after="0"/>
              <w:rPr>
                <w:sz w:val="18"/>
                <w:szCs w:val="18"/>
                <w:color w:val="auto"/>
              </w:rPr>
            </w:pPr>
          </w:p>
        </w:tc>
        <w:tc>
          <w:tcPr>
            <w:tcW w:w="15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304,157</w:t>
            </w:r>
          </w:p>
        </w:tc>
        <w:tc>
          <w:tcPr>
            <w:tcW w:w="1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5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349,594</w:t>
            </w:r>
          </w:p>
        </w:tc>
        <w:tc>
          <w:tcPr>
            <w:tcW w:w="0" w:type="dxa"/>
            <w:vAlign w:val="bottom"/>
          </w:tcPr>
          <w:p>
            <w:pPr>
              <w:spacing w:after="0"/>
              <w:rPr>
                <w:sz w:val="1"/>
                <w:szCs w:val="1"/>
                <w:color w:val="auto"/>
              </w:rPr>
            </w:pPr>
          </w:p>
        </w:tc>
      </w:tr>
      <w:tr>
        <w:trPr>
          <w:trHeight w:val="209"/>
        </w:trPr>
        <w:tc>
          <w:tcPr>
            <w:tcW w:w="77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assets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3,052,050</w:t>
            </w: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3,276,081</w:t>
            </w:r>
          </w:p>
        </w:tc>
        <w:tc>
          <w:tcPr>
            <w:tcW w:w="0" w:type="dxa"/>
            <w:vAlign w:val="bottom"/>
          </w:tcPr>
          <w:p>
            <w:pPr>
              <w:spacing w:after="0"/>
              <w:rPr>
                <w:sz w:val="1"/>
                <w:szCs w:val="1"/>
                <w:color w:val="auto"/>
              </w:rPr>
            </w:pPr>
          </w:p>
        </w:tc>
      </w:tr>
      <w:tr>
        <w:trPr>
          <w:trHeight w:val="20"/>
        </w:trPr>
        <w:tc>
          <w:tcPr>
            <w:tcW w:w="77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740" w:type="dxa"/>
            <w:vAlign w:val="bottom"/>
            <w:shd w:val="clear" w:color="auto" w:fill="CFF0FC"/>
          </w:tcPr>
          <w:p>
            <w:pPr>
              <w:jc w:val="center"/>
              <w:ind w:right="91"/>
              <w:spacing w:after="0" w:line="196" w:lineRule="exact"/>
              <w:rPr>
                <w:sz w:val="20"/>
                <w:szCs w:val="20"/>
                <w:color w:val="auto"/>
              </w:rPr>
            </w:pPr>
            <w:r>
              <w:rPr>
                <w:rFonts w:ascii="Times New Roman" w:cs="Times New Roman" w:eastAsia="Times New Roman" w:hAnsi="Times New Roman"/>
                <w:sz w:val="18"/>
                <w:szCs w:val="18"/>
                <w:b w:val="1"/>
                <w:bCs w:val="1"/>
                <w:color w:val="auto"/>
              </w:rPr>
              <w:t>LIABILITIES</w:t>
            </w:r>
          </w:p>
        </w:tc>
        <w:tc>
          <w:tcPr>
            <w:tcW w:w="140" w:type="dxa"/>
            <w:vAlign w:val="bottom"/>
            <w:shd w:val="clear" w:color="auto" w:fill="CFF0FC"/>
          </w:tcPr>
          <w:p>
            <w:pPr>
              <w:spacing w:after="0"/>
              <w:rPr>
                <w:sz w:val="17"/>
                <w:szCs w:val="17"/>
                <w:color w:val="auto"/>
              </w:rPr>
            </w:pPr>
          </w:p>
        </w:tc>
        <w:tc>
          <w:tcPr>
            <w:tcW w:w="15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5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 – trade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125,266</w:t>
            </w: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154,042</w:t>
            </w:r>
          </w:p>
        </w:tc>
        <w:tc>
          <w:tcPr>
            <w:tcW w:w="0" w:type="dxa"/>
            <w:vAlign w:val="bottom"/>
          </w:tcPr>
          <w:p>
            <w:pPr>
              <w:spacing w:after="0"/>
              <w:rPr>
                <w:sz w:val="1"/>
                <w:szCs w:val="1"/>
                <w:color w:val="auto"/>
              </w:rPr>
            </w:pPr>
          </w:p>
        </w:tc>
      </w:tr>
      <w:tr>
        <w:trPr>
          <w:trHeight w:val="21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liabilities</w:t>
            </w:r>
          </w:p>
        </w:tc>
        <w:tc>
          <w:tcPr>
            <w:tcW w:w="140" w:type="dxa"/>
            <w:vAlign w:val="bottom"/>
            <w:shd w:val="clear" w:color="auto" w:fill="CFF0FC"/>
          </w:tcPr>
          <w:p>
            <w:pPr>
              <w:spacing w:after="0"/>
              <w:rPr>
                <w:sz w:val="18"/>
                <w:szCs w:val="18"/>
                <w:color w:val="auto"/>
              </w:rPr>
            </w:pPr>
          </w:p>
        </w:tc>
        <w:tc>
          <w:tcPr>
            <w:tcW w:w="15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408,502</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461,026</w:t>
            </w:r>
          </w:p>
        </w:tc>
        <w:tc>
          <w:tcPr>
            <w:tcW w:w="0" w:type="dxa"/>
            <w:vAlign w:val="bottom"/>
          </w:tcPr>
          <w:p>
            <w:pPr>
              <w:spacing w:after="0"/>
              <w:rPr>
                <w:sz w:val="1"/>
                <w:szCs w:val="1"/>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40" w:type="dxa"/>
            <w:vAlign w:val="bottom"/>
          </w:tcPr>
          <w:p>
            <w:pPr>
              <w:spacing w:after="0"/>
              <w:rPr>
                <w:sz w:val="18"/>
                <w:szCs w:val="18"/>
                <w:color w:val="auto"/>
              </w:rPr>
            </w:pPr>
          </w:p>
        </w:tc>
        <w:tc>
          <w:tcPr>
            <w:tcW w:w="15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283,226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286,798</w:t>
            </w:r>
          </w:p>
        </w:tc>
        <w:tc>
          <w:tcPr>
            <w:tcW w:w="0" w:type="dxa"/>
            <w:vAlign w:val="bottom"/>
          </w:tcPr>
          <w:p>
            <w:pPr>
              <w:spacing w:after="0"/>
              <w:rPr>
                <w:sz w:val="1"/>
                <w:szCs w:val="1"/>
                <w:color w:val="auto"/>
              </w:rPr>
            </w:pPr>
          </w:p>
        </w:tc>
      </w:tr>
      <w:tr>
        <w:trPr>
          <w:trHeight w:val="21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tax liability</w:t>
            </w:r>
          </w:p>
        </w:tc>
        <w:tc>
          <w:tcPr>
            <w:tcW w:w="140" w:type="dxa"/>
            <w:vAlign w:val="bottom"/>
            <w:shd w:val="clear" w:color="auto" w:fill="CFF0FC"/>
          </w:tcPr>
          <w:p>
            <w:pPr>
              <w:spacing w:after="0"/>
              <w:rPr>
                <w:sz w:val="18"/>
                <w:szCs w:val="18"/>
                <w:color w:val="auto"/>
              </w:rPr>
            </w:pPr>
          </w:p>
        </w:tc>
        <w:tc>
          <w:tcPr>
            <w:tcW w:w="15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137,481</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108,591</w:t>
            </w:r>
          </w:p>
        </w:tc>
        <w:tc>
          <w:tcPr>
            <w:tcW w:w="0" w:type="dxa"/>
            <w:vAlign w:val="bottom"/>
          </w:tcPr>
          <w:p>
            <w:pPr>
              <w:spacing w:after="0"/>
              <w:rPr>
                <w:sz w:val="1"/>
                <w:szCs w:val="1"/>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Senior debt, net</w:t>
            </w:r>
          </w:p>
        </w:tc>
        <w:tc>
          <w:tcPr>
            <w:tcW w:w="140" w:type="dxa"/>
            <w:vAlign w:val="bottom"/>
          </w:tcPr>
          <w:p>
            <w:pPr>
              <w:spacing w:after="0"/>
              <w:rPr>
                <w:sz w:val="18"/>
                <w:szCs w:val="18"/>
                <w:color w:val="auto"/>
              </w:rPr>
            </w:pPr>
          </w:p>
        </w:tc>
        <w:tc>
          <w:tcPr>
            <w:tcW w:w="15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902,128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1,126,030</w:t>
            </w:r>
          </w:p>
        </w:tc>
        <w:tc>
          <w:tcPr>
            <w:tcW w:w="0" w:type="dxa"/>
            <w:vAlign w:val="bottom"/>
          </w:tcPr>
          <w:p>
            <w:pPr>
              <w:spacing w:after="0"/>
              <w:rPr>
                <w:sz w:val="1"/>
                <w:szCs w:val="1"/>
                <w:color w:val="auto"/>
              </w:rPr>
            </w:pPr>
          </w:p>
        </w:tc>
      </w:tr>
      <w:tr>
        <w:trPr>
          <w:trHeight w:val="216"/>
        </w:trPr>
        <w:tc>
          <w:tcPr>
            <w:tcW w:w="77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Senior notes, net</w:t>
            </w:r>
          </w:p>
        </w:tc>
        <w:tc>
          <w:tcPr>
            <w:tcW w:w="140" w:type="dxa"/>
            <w:vAlign w:val="bottom"/>
            <w:tcBorders>
              <w:bottom w:val="single" w:sz="8" w:color="auto"/>
            </w:tcBorders>
            <w:shd w:val="clear" w:color="auto" w:fill="CFF0FC"/>
          </w:tcPr>
          <w:p>
            <w:pPr>
              <w:spacing w:after="0"/>
              <w:rPr>
                <w:sz w:val="18"/>
                <w:szCs w:val="18"/>
                <w:color w:val="auto"/>
              </w:rPr>
            </w:pPr>
          </w:p>
        </w:tc>
        <w:tc>
          <w:tcPr>
            <w:tcW w:w="15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445,323</w:t>
            </w:r>
          </w:p>
        </w:tc>
        <w:tc>
          <w:tcPr>
            <w:tcW w:w="1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5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443,854</w:t>
            </w:r>
          </w:p>
        </w:tc>
        <w:tc>
          <w:tcPr>
            <w:tcW w:w="0" w:type="dxa"/>
            <w:vAlign w:val="bottom"/>
          </w:tcPr>
          <w:p>
            <w:pPr>
              <w:spacing w:after="0"/>
              <w:rPr>
                <w:sz w:val="1"/>
                <w:szCs w:val="1"/>
                <w:color w:val="auto"/>
              </w:rPr>
            </w:pPr>
          </w:p>
        </w:tc>
      </w:tr>
      <w:tr>
        <w:trPr>
          <w:trHeight w:val="209"/>
        </w:trPr>
        <w:tc>
          <w:tcPr>
            <w:tcW w:w="77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liabilities</w:t>
            </w:r>
          </w:p>
        </w:tc>
        <w:tc>
          <w:tcPr>
            <w:tcW w:w="140" w:type="dxa"/>
            <w:vAlign w:val="bottom"/>
          </w:tcPr>
          <w:p>
            <w:pPr>
              <w:spacing w:after="0"/>
              <w:rPr>
                <w:sz w:val="18"/>
                <w:szCs w:val="18"/>
                <w:color w:val="auto"/>
              </w:rPr>
            </w:pPr>
          </w:p>
        </w:tc>
        <w:tc>
          <w:tcPr>
            <w:tcW w:w="15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2,301,926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2,580,341</w:t>
            </w:r>
          </w:p>
        </w:tc>
        <w:tc>
          <w:tcPr>
            <w:tcW w:w="0" w:type="dxa"/>
            <w:vAlign w:val="bottom"/>
          </w:tcPr>
          <w:p>
            <w:pPr>
              <w:spacing w:after="0"/>
              <w:rPr>
                <w:sz w:val="1"/>
                <w:szCs w:val="1"/>
                <w:color w:val="auto"/>
              </w:rPr>
            </w:pPr>
          </w:p>
        </w:tc>
      </w:tr>
      <w:tr>
        <w:trPr>
          <w:trHeight w:val="216"/>
        </w:trPr>
        <w:tc>
          <w:tcPr>
            <w:tcW w:w="7740" w:type="dxa"/>
            <w:vAlign w:val="bottom"/>
            <w:shd w:val="clear" w:color="auto" w:fill="CFF0FC"/>
          </w:tcPr>
          <w:p>
            <w:pPr>
              <w:jc w:val="center"/>
              <w:ind w:right="91"/>
              <w:spacing w:after="0"/>
              <w:rPr>
                <w:sz w:val="20"/>
                <w:szCs w:val="20"/>
                <w:color w:val="auto"/>
              </w:rPr>
            </w:pPr>
            <w:r>
              <w:rPr>
                <w:rFonts w:ascii="Times New Roman" w:cs="Times New Roman" w:eastAsia="Times New Roman" w:hAnsi="Times New Roman"/>
                <w:sz w:val="18"/>
                <w:szCs w:val="18"/>
                <w:b w:val="1"/>
                <w:bCs w:val="1"/>
                <w:color w:val="auto"/>
                <w:w w:val="99"/>
              </w:rPr>
              <w:t>STOCKHOLDERS’ EQUITY</w:t>
            </w:r>
          </w:p>
        </w:tc>
        <w:tc>
          <w:tcPr>
            <w:tcW w:w="14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77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Common stock, $0.01 par value; 250,000,000 shares authorized; 129,421,210 and 128,996,814 shares</w:t>
            </w:r>
          </w:p>
        </w:tc>
        <w:tc>
          <w:tcPr>
            <w:tcW w:w="1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issued as of September 30, 2026 and December 31, 2025, respectively</w:t>
            </w:r>
          </w:p>
        </w:tc>
        <w:tc>
          <w:tcPr>
            <w:tcW w:w="140" w:type="dxa"/>
            <w:vAlign w:val="bottom"/>
          </w:tcPr>
          <w:p>
            <w:pPr>
              <w:spacing w:after="0"/>
              <w:rPr>
                <w:sz w:val="20"/>
                <w:szCs w:val="20"/>
                <w:color w:val="auto"/>
              </w:rPr>
            </w:pPr>
          </w:p>
        </w:tc>
        <w:tc>
          <w:tcPr>
            <w:tcW w:w="15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1,131</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1,127</w:t>
            </w:r>
          </w:p>
        </w:tc>
        <w:tc>
          <w:tcPr>
            <w:tcW w:w="0" w:type="dxa"/>
            <w:vAlign w:val="bottom"/>
          </w:tcPr>
          <w:p>
            <w:pPr>
              <w:spacing w:after="0"/>
              <w:rPr>
                <w:sz w:val="1"/>
                <w:szCs w:val="1"/>
                <w:color w:val="auto"/>
              </w:rPr>
            </w:pPr>
          </w:p>
        </w:tc>
      </w:tr>
      <w:tr>
        <w:trPr>
          <w:trHeight w:val="21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40" w:type="dxa"/>
            <w:vAlign w:val="bottom"/>
            <w:shd w:val="clear" w:color="auto" w:fill="CFF0FC"/>
          </w:tcPr>
          <w:p>
            <w:pPr>
              <w:spacing w:after="0"/>
              <w:rPr>
                <w:sz w:val="18"/>
                <w:szCs w:val="18"/>
                <w:color w:val="auto"/>
              </w:rPr>
            </w:pPr>
          </w:p>
        </w:tc>
        <w:tc>
          <w:tcPr>
            <w:tcW w:w="15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1,605,150</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1,573,895</w:t>
            </w:r>
          </w:p>
        </w:tc>
        <w:tc>
          <w:tcPr>
            <w:tcW w:w="0" w:type="dxa"/>
            <w:vAlign w:val="bottom"/>
          </w:tcPr>
          <w:p>
            <w:pPr>
              <w:spacing w:after="0"/>
              <w:rPr>
                <w:sz w:val="1"/>
                <w:szCs w:val="1"/>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Retained earnings</w:t>
            </w:r>
          </w:p>
        </w:tc>
        <w:tc>
          <w:tcPr>
            <w:tcW w:w="140" w:type="dxa"/>
            <w:vAlign w:val="bottom"/>
          </w:tcPr>
          <w:p>
            <w:pPr>
              <w:spacing w:after="0"/>
              <w:rPr>
                <w:sz w:val="18"/>
                <w:szCs w:val="18"/>
                <w:color w:val="auto"/>
              </w:rPr>
            </w:pPr>
          </w:p>
        </w:tc>
        <w:tc>
          <w:tcPr>
            <w:tcW w:w="15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1,041,598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1,018,658</w:t>
            </w:r>
          </w:p>
        </w:tc>
        <w:tc>
          <w:tcPr>
            <w:tcW w:w="0" w:type="dxa"/>
            <w:vAlign w:val="bottom"/>
          </w:tcPr>
          <w:p>
            <w:pPr>
              <w:spacing w:after="0"/>
              <w:rPr>
                <w:sz w:val="1"/>
                <w:szCs w:val="1"/>
                <w:color w:val="auto"/>
              </w:rPr>
            </w:pPr>
          </w:p>
        </w:tc>
      </w:tr>
      <w:tr>
        <w:trPr>
          <w:trHeight w:val="198"/>
        </w:trPr>
        <w:tc>
          <w:tcPr>
            <w:tcW w:w="774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Treasury stock at cost, 71,119,833 and 71,060,928 shares as of September 30, 2026 and December 31,</w:t>
            </w:r>
          </w:p>
        </w:tc>
        <w:tc>
          <w:tcPr>
            <w:tcW w:w="140" w:type="dxa"/>
            <w:vAlign w:val="bottom"/>
            <w:shd w:val="clear" w:color="auto" w:fill="CFF0FC"/>
          </w:tcPr>
          <w:p>
            <w:pPr>
              <w:spacing w:after="0"/>
              <w:rPr>
                <w:sz w:val="17"/>
                <w:szCs w:val="17"/>
                <w:color w:val="auto"/>
              </w:rPr>
            </w:pPr>
          </w:p>
        </w:tc>
        <w:tc>
          <w:tcPr>
            <w:tcW w:w="15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5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2025</w:t>
            </w:r>
          </w:p>
        </w:tc>
        <w:tc>
          <w:tcPr>
            <w:tcW w:w="140" w:type="dxa"/>
            <w:vAlign w:val="bottom"/>
            <w:shd w:val="clear" w:color="auto" w:fill="CFF0FC"/>
          </w:tcPr>
          <w:p>
            <w:pPr>
              <w:spacing w:after="0"/>
              <w:rPr>
                <w:sz w:val="20"/>
                <w:szCs w:val="20"/>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(1,890,966)</w:t>
            </w:r>
          </w:p>
        </w:tc>
        <w:tc>
          <w:tcPr>
            <w:tcW w:w="1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(1,890,966)</w:t>
            </w:r>
          </w:p>
        </w:tc>
        <w:tc>
          <w:tcPr>
            <w:tcW w:w="0" w:type="dxa"/>
            <w:vAlign w:val="bottom"/>
          </w:tcPr>
          <w:p>
            <w:pPr>
              <w:spacing w:after="0"/>
              <w:rPr>
                <w:sz w:val="1"/>
                <w:szCs w:val="1"/>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(6,789)</w:t>
            </w:r>
          </w:p>
        </w:tc>
        <w:tc>
          <w:tcPr>
            <w:tcW w:w="1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(6,974)</w:t>
            </w:r>
          </w:p>
        </w:tc>
        <w:tc>
          <w:tcPr>
            <w:tcW w:w="0" w:type="dxa"/>
            <w:vAlign w:val="bottom"/>
          </w:tcPr>
          <w:p>
            <w:pPr>
              <w:spacing w:after="0"/>
              <w:rPr>
                <w:sz w:val="1"/>
                <w:szCs w:val="1"/>
                <w:color w:val="auto"/>
              </w:rPr>
            </w:pPr>
          </w:p>
        </w:tc>
      </w:tr>
      <w:tr>
        <w:trPr>
          <w:trHeight w:val="210"/>
        </w:trPr>
        <w:tc>
          <w:tcPr>
            <w:tcW w:w="774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40" w:type="dxa"/>
            <w:vAlign w:val="bottom"/>
            <w:tcBorders>
              <w:bottom w:val="single" w:sz="8" w:color="auto"/>
            </w:tcBorders>
            <w:shd w:val="clear" w:color="auto" w:fill="CFF0FC"/>
          </w:tcPr>
          <w:p>
            <w:pPr>
              <w:spacing w:after="0"/>
              <w:rPr>
                <w:sz w:val="18"/>
                <w:szCs w:val="18"/>
                <w:color w:val="auto"/>
              </w:rPr>
            </w:pPr>
          </w:p>
        </w:tc>
        <w:tc>
          <w:tcPr>
            <w:tcW w:w="15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750,124</w:t>
            </w:r>
          </w:p>
        </w:tc>
        <w:tc>
          <w:tcPr>
            <w:tcW w:w="1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5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695,740</w:t>
            </w:r>
          </w:p>
        </w:tc>
        <w:tc>
          <w:tcPr>
            <w:tcW w:w="0" w:type="dxa"/>
            <w:vAlign w:val="bottom"/>
          </w:tcPr>
          <w:p>
            <w:pPr>
              <w:spacing w:after="0"/>
              <w:rPr>
                <w:sz w:val="1"/>
                <w:szCs w:val="1"/>
                <w:color w:val="auto"/>
              </w:rPr>
            </w:pPr>
          </w:p>
        </w:tc>
      </w:tr>
      <w:tr>
        <w:trPr>
          <w:trHeight w:val="210"/>
        </w:trPr>
        <w:tc>
          <w:tcPr>
            <w:tcW w:w="77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3,052,050</w:t>
            </w: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3,276,081</w:t>
            </w:r>
          </w:p>
        </w:tc>
        <w:tc>
          <w:tcPr>
            <w:tcW w:w="0" w:type="dxa"/>
            <w:vAlign w:val="bottom"/>
          </w:tcPr>
          <w:p>
            <w:pPr>
              <w:spacing w:after="0"/>
              <w:rPr>
                <w:sz w:val="1"/>
                <w:szCs w:val="1"/>
                <w:color w:val="auto"/>
              </w:rPr>
            </w:pPr>
          </w:p>
        </w:tc>
      </w:tr>
      <w:tr>
        <w:trPr>
          <w:trHeight w:val="20"/>
        </w:trPr>
        <w:tc>
          <w:tcPr>
            <w:tcW w:w="77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-2691130</wp:posOffset>
            </wp:positionV>
            <wp:extent cx="11112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-1559560</wp:posOffset>
            </wp:positionV>
            <wp:extent cx="11112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-170815</wp:posOffset>
            </wp:positionV>
            <wp:extent cx="11112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5" w:name="page6"/>
    <w:bookmarkEnd w:id="5"/>
    <w:p>
      <w:pPr>
        <w:jc w:val="center"/>
        <w:ind w:left="340" w:right="2320"/>
        <w:spacing w:after="0" w:line="278" w:lineRule="auto"/>
        <w:rPr>
          <w:sz w:val="20"/>
          <w:szCs w:val="20"/>
          <w:color w:val="auto"/>
        </w:rPr>
      </w:pPr>
      <w:r>
        <w:rPr>
          <w:rFonts w:ascii="Times New Roman" w:cs="Times New Roman" w:eastAsia="Times New Roman" w:hAnsi="Times New Roman"/>
          <w:sz w:val="18"/>
          <w:szCs w:val="18"/>
          <w:b w:val="1"/>
          <w:bCs w:val="1"/>
          <w:color w:val="auto"/>
        </w:rPr>
        <w:t>UPBOUND GROUP, INC. AND SUBSIDIARIES CONDENSED CONSOLIDATED STATEMENTS OF STOCKHOLDERS’ EQUITY (Unaudited)</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960" w:type="dxa"/>
            <w:vAlign w:val="bottom"/>
          </w:tcPr>
          <w:p>
            <w:pPr>
              <w:spacing w:after="0"/>
              <w:rPr>
                <w:sz w:val="12"/>
                <w:szCs w:val="12"/>
                <w:color w:val="auto"/>
              </w:rPr>
            </w:pPr>
          </w:p>
        </w:tc>
        <w:tc>
          <w:tcPr>
            <w:tcW w:w="1780" w:type="dxa"/>
            <w:vAlign w:val="bottom"/>
            <w:gridSpan w:val="4"/>
            <w:vMerge w:val="restart"/>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960" w:type="dxa"/>
            <w:vAlign w:val="bottom"/>
          </w:tcPr>
          <w:p>
            <w:pPr>
              <w:spacing w:after="0"/>
              <w:rPr>
                <w:sz w:val="13"/>
                <w:szCs w:val="13"/>
                <w:color w:val="auto"/>
              </w:rPr>
            </w:pPr>
          </w:p>
        </w:tc>
        <w:tc>
          <w:tcPr>
            <w:tcW w:w="1780" w:type="dxa"/>
            <w:vAlign w:val="bottom"/>
            <w:tcBorders>
              <w:bottom w:val="single" w:sz="8" w:color="auto"/>
            </w:tcBorders>
            <w:gridSpan w:val="4"/>
            <w:vMerge w:val="continue"/>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jc w:val="right"/>
              <w:ind w:right="280"/>
              <w:spacing w:after="0" w:line="160" w:lineRule="exact"/>
              <w:rPr>
                <w:sz w:val="20"/>
                <w:szCs w:val="20"/>
                <w:color w:val="auto"/>
              </w:rPr>
            </w:pPr>
            <w:r>
              <w:rPr>
                <w:rFonts w:ascii="Times New Roman" w:cs="Times New Roman" w:eastAsia="Times New Roman" w:hAnsi="Times New Roman"/>
                <w:sz w:val="14"/>
                <w:szCs w:val="14"/>
                <w:b w:val="1"/>
                <w:bCs w:val="1"/>
                <w:color w:val="auto"/>
              </w:rPr>
              <w:t>Paid-In</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gridSpan w:val="2"/>
          </w:tcPr>
          <w:p>
            <w:pPr>
              <w:jc w:val="center"/>
              <w:ind w:right="40"/>
              <w:spacing w:after="0" w:line="160"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96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860" w:type="dxa"/>
            <w:vAlign w:val="bottom"/>
            <w:tcBorders>
              <w:bottom w:val="single" w:sz="8" w:color="auto"/>
            </w:tcBorders>
          </w:tcPr>
          <w:p>
            <w:pPr>
              <w:jc w:val="right"/>
              <w:ind w:right="20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19"/>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280"/>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1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240"/>
              <w:spacing w:after="0" w:line="142"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1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ind w:right="500"/>
              <w:spacing w:after="0" w:line="142" w:lineRule="exact"/>
              <w:rPr>
                <w:sz w:val="20"/>
                <w:szCs w:val="20"/>
                <w:color w:val="auto"/>
              </w:rPr>
            </w:pPr>
            <w:r>
              <w:rPr>
                <w:rFonts w:ascii="Times New Roman" w:cs="Times New Roman" w:eastAsia="Times New Roman" w:hAnsi="Times New Roman"/>
                <w:sz w:val="14"/>
                <w:szCs w:val="14"/>
                <w:b w:val="1"/>
                <w:bCs w:val="1"/>
                <w:color w:val="auto"/>
              </w:rPr>
              <w:t>Stock</w:t>
            </w:r>
          </w:p>
        </w:tc>
        <w:tc>
          <w:tcPr>
            <w:tcW w:w="1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center"/>
              <w:ind w:right="140"/>
              <w:spacing w:after="0" w:line="142" w:lineRule="exact"/>
              <w:rPr>
                <w:sz w:val="20"/>
                <w:szCs w:val="20"/>
                <w:color w:val="auto"/>
              </w:rPr>
            </w:pPr>
            <w:r>
              <w:rPr>
                <w:rFonts w:ascii="Times New Roman" w:cs="Times New Roman" w:eastAsia="Times New Roman" w:hAnsi="Times New Roman"/>
                <w:sz w:val="14"/>
                <w:szCs w:val="14"/>
                <w:b w:val="1"/>
                <w:bCs w:val="1"/>
                <w:color w:val="auto"/>
              </w:rPr>
              <w:t>(Loss) Income</w:t>
            </w:r>
          </w:p>
        </w:tc>
        <w:tc>
          <w:tcPr>
            <w:tcW w:w="1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419"/>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2"/>
        </w:trPr>
        <w:tc>
          <w:tcPr>
            <w:tcW w:w="2960" w:type="dxa"/>
            <w:vAlign w:val="bottom"/>
            <w:vMerge w:val="continue"/>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9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Balance at December 31, 2025</w:t>
            </w:r>
          </w:p>
        </w:tc>
        <w:tc>
          <w:tcPr>
            <w:tcW w:w="86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128,997</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1,127</w:t>
            </w:r>
          </w:p>
        </w:tc>
        <w:tc>
          <w:tcPr>
            <w:tcW w:w="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1,573,895</w:t>
            </w:r>
          </w:p>
        </w:tc>
        <w:tc>
          <w:tcPr>
            <w:tcW w:w="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1,018,658</w:t>
            </w:r>
          </w:p>
        </w:tc>
        <w:tc>
          <w:tcPr>
            <w:tcW w:w="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(1,890,966)</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(6,974)</w:t>
            </w:r>
          </w:p>
        </w:tc>
        <w:tc>
          <w:tcPr>
            <w:tcW w:w="3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695,740</w:t>
            </w:r>
          </w:p>
        </w:tc>
        <w:tc>
          <w:tcPr>
            <w:tcW w:w="0" w:type="dxa"/>
            <w:vAlign w:val="bottom"/>
          </w:tcPr>
          <w:p>
            <w:pPr>
              <w:spacing w:after="0"/>
              <w:rPr>
                <w:sz w:val="1"/>
                <w:szCs w:val="1"/>
                <w:color w:val="auto"/>
              </w:rPr>
            </w:pPr>
          </w:p>
        </w:tc>
      </w:tr>
      <w:tr>
        <w:trPr>
          <w:trHeight w:val="203"/>
        </w:trPr>
        <w:tc>
          <w:tcPr>
            <w:tcW w:w="29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Net earnings</w:t>
            </w:r>
          </w:p>
        </w:tc>
        <w:tc>
          <w:tcPr>
            <w:tcW w:w="8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35,789</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35,789</w:t>
            </w:r>
          </w:p>
        </w:tc>
        <w:tc>
          <w:tcPr>
            <w:tcW w:w="0" w:type="dxa"/>
            <w:vAlign w:val="bottom"/>
          </w:tcPr>
          <w:p>
            <w:pPr>
              <w:spacing w:after="0"/>
              <w:rPr>
                <w:sz w:val="1"/>
                <w:szCs w:val="1"/>
                <w:color w:val="auto"/>
              </w:rPr>
            </w:pPr>
          </w:p>
        </w:tc>
      </w:tr>
      <w:tr>
        <w:trPr>
          <w:trHeight w:val="203"/>
        </w:trPr>
        <w:tc>
          <w:tcPr>
            <w:tcW w:w="29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Other comprehensive loss</w:t>
            </w:r>
          </w:p>
        </w:tc>
        <w:tc>
          <w:tcPr>
            <w:tcW w:w="86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7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6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4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8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(249)</w:t>
            </w: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(249)</w:t>
            </w:r>
          </w:p>
        </w:tc>
        <w:tc>
          <w:tcPr>
            <w:tcW w:w="0" w:type="dxa"/>
            <w:vAlign w:val="bottom"/>
          </w:tcPr>
          <w:p>
            <w:pPr>
              <w:spacing w:after="0"/>
              <w:rPr>
                <w:sz w:val="1"/>
                <w:szCs w:val="1"/>
                <w:color w:val="auto"/>
              </w:rPr>
            </w:pPr>
          </w:p>
        </w:tc>
      </w:tr>
      <w:tr>
        <w:trPr>
          <w:trHeight w:val="203"/>
        </w:trPr>
        <w:tc>
          <w:tcPr>
            <w:tcW w:w="29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Exercise of stock options</w:t>
            </w:r>
          </w:p>
        </w:tc>
        <w:tc>
          <w:tcPr>
            <w:tcW w:w="8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12</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146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146</w:t>
            </w:r>
          </w:p>
        </w:tc>
        <w:tc>
          <w:tcPr>
            <w:tcW w:w="0" w:type="dxa"/>
            <w:vAlign w:val="bottom"/>
          </w:tcPr>
          <w:p>
            <w:pPr>
              <w:spacing w:after="0"/>
              <w:rPr>
                <w:sz w:val="1"/>
                <w:szCs w:val="1"/>
                <w:color w:val="auto"/>
              </w:rPr>
            </w:pPr>
          </w:p>
        </w:tc>
      </w:tr>
      <w:tr>
        <w:trPr>
          <w:trHeight w:val="189"/>
        </w:trPr>
        <w:tc>
          <w:tcPr>
            <w:tcW w:w="29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Vesting of restricted share units, net of</w:t>
            </w:r>
          </w:p>
        </w:tc>
        <w:tc>
          <w:tcPr>
            <w:tcW w:w="8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1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9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shares withheld for employee taxes</w:t>
            </w:r>
          </w:p>
        </w:tc>
        <w:tc>
          <w:tcPr>
            <w:tcW w:w="86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401</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29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Tax effect of stock awards vested and</w:t>
            </w: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9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options exercised</w:t>
            </w:r>
          </w:p>
        </w:tc>
        <w:tc>
          <w:tcPr>
            <w:tcW w:w="8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(4,505)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(4,505)</w:t>
            </w:r>
          </w:p>
        </w:tc>
        <w:tc>
          <w:tcPr>
            <w:tcW w:w="0" w:type="dxa"/>
            <w:vAlign w:val="bottom"/>
          </w:tcPr>
          <w:p>
            <w:pPr>
              <w:spacing w:after="0"/>
              <w:rPr>
                <w:sz w:val="1"/>
                <w:szCs w:val="1"/>
                <w:color w:val="auto"/>
              </w:rPr>
            </w:pPr>
          </w:p>
        </w:tc>
      </w:tr>
      <w:tr>
        <w:trPr>
          <w:trHeight w:val="205"/>
        </w:trPr>
        <w:tc>
          <w:tcPr>
            <w:tcW w:w="29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Stock-based compensation</w:t>
            </w:r>
          </w:p>
        </w:tc>
        <w:tc>
          <w:tcPr>
            <w:tcW w:w="86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7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6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11,625</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4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8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11,625</w:t>
            </w:r>
          </w:p>
        </w:tc>
        <w:tc>
          <w:tcPr>
            <w:tcW w:w="0" w:type="dxa"/>
            <w:vAlign w:val="bottom"/>
          </w:tcPr>
          <w:p>
            <w:pPr>
              <w:spacing w:after="0"/>
              <w:rPr>
                <w:sz w:val="1"/>
                <w:szCs w:val="1"/>
                <w:color w:val="auto"/>
              </w:rPr>
            </w:pPr>
          </w:p>
        </w:tc>
      </w:tr>
      <w:tr>
        <w:trPr>
          <w:trHeight w:val="203"/>
        </w:trPr>
        <w:tc>
          <w:tcPr>
            <w:tcW w:w="2960" w:type="dxa"/>
            <w:vAlign w:val="bottom"/>
          </w:tcPr>
          <w:p>
            <w:pPr>
              <w:ind w:left="60"/>
              <w:spacing w:after="0" w:line="203" w:lineRule="exact"/>
              <w:rPr>
                <w:sz w:val="20"/>
                <w:szCs w:val="20"/>
                <w:color w:val="auto"/>
              </w:rPr>
            </w:pPr>
            <w:r>
              <w:rPr>
                <w:rFonts w:ascii="Times New Roman" w:cs="Times New Roman" w:eastAsia="Times New Roman" w:hAnsi="Times New Roman"/>
                <w:sz w:val="16"/>
                <w:szCs w:val="16"/>
                <w:color w:val="auto"/>
              </w:rPr>
              <w:t>Dividends declared</w:t>
            </w:r>
            <w:r>
              <w:rPr>
                <w:rFonts w:ascii="Times New Roman" w:cs="Times New Roman" w:eastAsia="Times New Roman" w:hAnsi="Times New Roman"/>
                <w:sz w:val="21"/>
                <w:szCs w:val="21"/>
                <w:color w:val="auto"/>
                <w:vertAlign w:val="superscript"/>
              </w:rPr>
              <w:t>(1)</w:t>
            </w:r>
          </w:p>
        </w:tc>
        <w:tc>
          <w:tcPr>
            <w:tcW w:w="86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185</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(22,999)</w:t>
            </w: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(22,814)</w:t>
            </w:r>
          </w:p>
        </w:tc>
        <w:tc>
          <w:tcPr>
            <w:tcW w:w="0" w:type="dxa"/>
            <w:vAlign w:val="bottom"/>
          </w:tcPr>
          <w:p>
            <w:pPr>
              <w:spacing w:after="0"/>
              <w:rPr>
                <w:sz w:val="1"/>
                <w:szCs w:val="1"/>
                <w:color w:val="auto"/>
              </w:rPr>
            </w:pPr>
          </w:p>
        </w:tc>
      </w:tr>
      <w:tr>
        <w:trPr>
          <w:trHeight w:val="196"/>
        </w:trPr>
        <w:tc>
          <w:tcPr>
            <w:tcW w:w="29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Balance at March 31, 2026</w:t>
            </w:r>
          </w:p>
        </w:tc>
        <w:tc>
          <w:tcPr>
            <w:tcW w:w="86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129,410</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1,131</w:t>
            </w:r>
          </w:p>
        </w:tc>
        <w:tc>
          <w:tcPr>
            <w:tcW w:w="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1,581,342</w:t>
            </w:r>
          </w:p>
        </w:tc>
        <w:tc>
          <w:tcPr>
            <w:tcW w:w="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1,031,448</w:t>
            </w:r>
          </w:p>
        </w:tc>
        <w:tc>
          <w:tcPr>
            <w:tcW w:w="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(1,890,966)</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(7,223)</w:t>
            </w:r>
          </w:p>
        </w:tc>
        <w:tc>
          <w:tcPr>
            <w:tcW w:w="3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715,732</w:t>
            </w:r>
          </w:p>
        </w:tc>
        <w:tc>
          <w:tcPr>
            <w:tcW w:w="0" w:type="dxa"/>
            <w:vAlign w:val="bottom"/>
          </w:tcPr>
          <w:p>
            <w:pPr>
              <w:spacing w:after="0"/>
              <w:rPr>
                <w:sz w:val="1"/>
                <w:szCs w:val="1"/>
                <w:color w:val="auto"/>
              </w:rPr>
            </w:pPr>
          </w:p>
        </w:tc>
      </w:tr>
      <w:tr>
        <w:trPr>
          <w:trHeight w:val="203"/>
        </w:trPr>
        <w:tc>
          <w:tcPr>
            <w:tcW w:w="29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Net earnings</w:t>
            </w:r>
          </w:p>
        </w:tc>
        <w:tc>
          <w:tcPr>
            <w:tcW w:w="8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21,584</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21,584</w:t>
            </w:r>
          </w:p>
        </w:tc>
        <w:tc>
          <w:tcPr>
            <w:tcW w:w="0" w:type="dxa"/>
            <w:vAlign w:val="bottom"/>
          </w:tcPr>
          <w:p>
            <w:pPr>
              <w:spacing w:after="0"/>
              <w:rPr>
                <w:sz w:val="1"/>
                <w:szCs w:val="1"/>
                <w:color w:val="auto"/>
              </w:rPr>
            </w:pPr>
          </w:p>
        </w:tc>
      </w:tr>
      <w:tr>
        <w:trPr>
          <w:trHeight w:val="203"/>
        </w:trPr>
        <w:tc>
          <w:tcPr>
            <w:tcW w:w="29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86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7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6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4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8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1,305</w:t>
            </w: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1,305</w:t>
            </w:r>
          </w:p>
        </w:tc>
        <w:tc>
          <w:tcPr>
            <w:tcW w:w="0" w:type="dxa"/>
            <w:vAlign w:val="bottom"/>
          </w:tcPr>
          <w:p>
            <w:pPr>
              <w:spacing w:after="0"/>
              <w:rPr>
                <w:sz w:val="1"/>
                <w:szCs w:val="1"/>
                <w:color w:val="auto"/>
              </w:rPr>
            </w:pPr>
          </w:p>
        </w:tc>
      </w:tr>
      <w:tr>
        <w:trPr>
          <w:trHeight w:val="203"/>
        </w:trPr>
        <w:tc>
          <w:tcPr>
            <w:tcW w:w="29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Exercise of stock options</w:t>
            </w:r>
          </w:p>
        </w:tc>
        <w:tc>
          <w:tcPr>
            <w:tcW w:w="8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38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38</w:t>
            </w:r>
          </w:p>
        </w:tc>
        <w:tc>
          <w:tcPr>
            <w:tcW w:w="0" w:type="dxa"/>
            <w:vAlign w:val="bottom"/>
          </w:tcPr>
          <w:p>
            <w:pPr>
              <w:spacing w:after="0"/>
              <w:rPr>
                <w:sz w:val="1"/>
                <w:szCs w:val="1"/>
                <w:color w:val="auto"/>
              </w:rPr>
            </w:pPr>
          </w:p>
        </w:tc>
      </w:tr>
      <w:tr>
        <w:trPr>
          <w:trHeight w:val="189"/>
        </w:trPr>
        <w:tc>
          <w:tcPr>
            <w:tcW w:w="29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Vesting of restricted share units, net of</w:t>
            </w:r>
          </w:p>
        </w:tc>
        <w:tc>
          <w:tcPr>
            <w:tcW w:w="8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1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9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shares withheld for employee taxes</w:t>
            </w:r>
          </w:p>
        </w:tc>
        <w:tc>
          <w:tcPr>
            <w:tcW w:w="86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29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Tax effect of stock awards vested and</w:t>
            </w: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9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options exercised</w:t>
            </w:r>
          </w:p>
        </w:tc>
        <w:tc>
          <w:tcPr>
            <w:tcW w:w="8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w:t>
            </w:r>
          </w:p>
        </w:tc>
        <w:tc>
          <w:tcPr>
            <w:tcW w:w="0" w:type="dxa"/>
            <w:vAlign w:val="bottom"/>
          </w:tcPr>
          <w:p>
            <w:pPr>
              <w:spacing w:after="0"/>
              <w:rPr>
                <w:sz w:val="1"/>
                <w:szCs w:val="1"/>
                <w:color w:val="auto"/>
              </w:rPr>
            </w:pPr>
          </w:p>
        </w:tc>
      </w:tr>
      <w:tr>
        <w:trPr>
          <w:trHeight w:val="205"/>
        </w:trPr>
        <w:tc>
          <w:tcPr>
            <w:tcW w:w="29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Stock-based compensation</w:t>
            </w:r>
          </w:p>
        </w:tc>
        <w:tc>
          <w:tcPr>
            <w:tcW w:w="86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7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6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17,519</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4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8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17,519</w:t>
            </w:r>
          </w:p>
        </w:tc>
        <w:tc>
          <w:tcPr>
            <w:tcW w:w="0" w:type="dxa"/>
            <w:vAlign w:val="bottom"/>
          </w:tcPr>
          <w:p>
            <w:pPr>
              <w:spacing w:after="0"/>
              <w:rPr>
                <w:sz w:val="1"/>
                <w:szCs w:val="1"/>
                <w:color w:val="auto"/>
              </w:rPr>
            </w:pPr>
          </w:p>
        </w:tc>
      </w:tr>
      <w:tr>
        <w:trPr>
          <w:trHeight w:val="203"/>
        </w:trPr>
        <w:tc>
          <w:tcPr>
            <w:tcW w:w="2960" w:type="dxa"/>
            <w:vAlign w:val="bottom"/>
          </w:tcPr>
          <w:p>
            <w:pPr>
              <w:ind w:left="60"/>
              <w:spacing w:after="0" w:line="203" w:lineRule="exact"/>
              <w:rPr>
                <w:sz w:val="20"/>
                <w:szCs w:val="20"/>
                <w:color w:val="auto"/>
              </w:rPr>
            </w:pPr>
            <w:r>
              <w:rPr>
                <w:rFonts w:ascii="Times New Roman" w:cs="Times New Roman" w:eastAsia="Times New Roman" w:hAnsi="Times New Roman"/>
                <w:sz w:val="16"/>
                <w:szCs w:val="16"/>
                <w:color w:val="auto"/>
              </w:rPr>
              <w:t>Dividends declared</w:t>
            </w:r>
            <w:r>
              <w:rPr>
                <w:rFonts w:ascii="Times New Roman" w:cs="Times New Roman" w:eastAsia="Times New Roman" w:hAnsi="Times New Roman"/>
                <w:sz w:val="21"/>
                <w:szCs w:val="21"/>
                <w:color w:val="auto"/>
                <w:vertAlign w:val="superscript"/>
              </w:rPr>
              <w:t>(1)</w:t>
            </w:r>
          </w:p>
        </w:tc>
        <w:tc>
          <w:tcPr>
            <w:tcW w:w="86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111</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(22,788)</w:t>
            </w: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(22,677)</w:t>
            </w:r>
          </w:p>
        </w:tc>
        <w:tc>
          <w:tcPr>
            <w:tcW w:w="0" w:type="dxa"/>
            <w:vAlign w:val="bottom"/>
          </w:tcPr>
          <w:p>
            <w:pPr>
              <w:spacing w:after="0"/>
              <w:rPr>
                <w:sz w:val="1"/>
                <w:szCs w:val="1"/>
                <w:color w:val="auto"/>
              </w:rPr>
            </w:pPr>
          </w:p>
        </w:tc>
      </w:tr>
      <w:tr>
        <w:trPr>
          <w:trHeight w:val="196"/>
        </w:trPr>
        <w:tc>
          <w:tcPr>
            <w:tcW w:w="29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Balance at June 30, 2026</w:t>
            </w:r>
          </w:p>
        </w:tc>
        <w:tc>
          <w:tcPr>
            <w:tcW w:w="86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129,417</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1,131</w:t>
            </w:r>
          </w:p>
        </w:tc>
        <w:tc>
          <w:tcPr>
            <w:tcW w:w="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1,598,859</w:t>
            </w:r>
          </w:p>
        </w:tc>
        <w:tc>
          <w:tcPr>
            <w:tcW w:w="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1,030,244</w:t>
            </w:r>
          </w:p>
        </w:tc>
        <w:tc>
          <w:tcPr>
            <w:tcW w:w="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(1,890,966)</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(5,918)</w:t>
            </w:r>
          </w:p>
        </w:tc>
        <w:tc>
          <w:tcPr>
            <w:tcW w:w="3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733,350</w:t>
            </w:r>
          </w:p>
        </w:tc>
        <w:tc>
          <w:tcPr>
            <w:tcW w:w="0" w:type="dxa"/>
            <w:vAlign w:val="bottom"/>
          </w:tcPr>
          <w:p>
            <w:pPr>
              <w:spacing w:after="0"/>
              <w:rPr>
                <w:sz w:val="1"/>
                <w:szCs w:val="1"/>
                <w:color w:val="auto"/>
              </w:rPr>
            </w:pPr>
          </w:p>
        </w:tc>
      </w:tr>
      <w:tr>
        <w:trPr>
          <w:trHeight w:val="203"/>
        </w:trPr>
        <w:tc>
          <w:tcPr>
            <w:tcW w:w="29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Net earnings</w:t>
            </w:r>
          </w:p>
        </w:tc>
        <w:tc>
          <w:tcPr>
            <w:tcW w:w="8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34,271</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34,271</w:t>
            </w:r>
          </w:p>
        </w:tc>
        <w:tc>
          <w:tcPr>
            <w:tcW w:w="0" w:type="dxa"/>
            <w:vAlign w:val="bottom"/>
          </w:tcPr>
          <w:p>
            <w:pPr>
              <w:spacing w:after="0"/>
              <w:rPr>
                <w:sz w:val="1"/>
                <w:szCs w:val="1"/>
                <w:color w:val="auto"/>
              </w:rPr>
            </w:pPr>
          </w:p>
        </w:tc>
      </w:tr>
      <w:tr>
        <w:trPr>
          <w:trHeight w:val="203"/>
        </w:trPr>
        <w:tc>
          <w:tcPr>
            <w:tcW w:w="29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Other comprehensive loss</w:t>
            </w:r>
          </w:p>
        </w:tc>
        <w:tc>
          <w:tcPr>
            <w:tcW w:w="86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7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6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4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8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(871)</w:t>
            </w: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(871)</w:t>
            </w:r>
          </w:p>
        </w:tc>
        <w:tc>
          <w:tcPr>
            <w:tcW w:w="0" w:type="dxa"/>
            <w:vAlign w:val="bottom"/>
          </w:tcPr>
          <w:p>
            <w:pPr>
              <w:spacing w:after="0"/>
              <w:rPr>
                <w:sz w:val="1"/>
                <w:szCs w:val="1"/>
                <w:color w:val="auto"/>
              </w:rPr>
            </w:pPr>
          </w:p>
        </w:tc>
      </w:tr>
      <w:tr>
        <w:trPr>
          <w:trHeight w:val="203"/>
        </w:trPr>
        <w:tc>
          <w:tcPr>
            <w:tcW w:w="29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Exercise of stock options</w:t>
            </w:r>
          </w:p>
        </w:tc>
        <w:tc>
          <w:tcPr>
            <w:tcW w:w="8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189"/>
        </w:trPr>
        <w:tc>
          <w:tcPr>
            <w:tcW w:w="29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Vesting of restricted share units, net of</w:t>
            </w:r>
          </w:p>
        </w:tc>
        <w:tc>
          <w:tcPr>
            <w:tcW w:w="8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1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9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shares withheld for employee taxes</w:t>
            </w:r>
          </w:p>
        </w:tc>
        <w:tc>
          <w:tcPr>
            <w:tcW w:w="86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29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Tax effect of stock awards vested and</w:t>
            </w: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9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options exercised</w:t>
            </w:r>
          </w:p>
        </w:tc>
        <w:tc>
          <w:tcPr>
            <w:tcW w:w="8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05"/>
        </w:trPr>
        <w:tc>
          <w:tcPr>
            <w:tcW w:w="29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Stock-based compensation</w:t>
            </w:r>
          </w:p>
        </w:tc>
        <w:tc>
          <w:tcPr>
            <w:tcW w:w="86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7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6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6,167</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4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8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6,167</w:t>
            </w:r>
          </w:p>
        </w:tc>
        <w:tc>
          <w:tcPr>
            <w:tcW w:w="0" w:type="dxa"/>
            <w:vAlign w:val="bottom"/>
          </w:tcPr>
          <w:p>
            <w:pPr>
              <w:spacing w:after="0"/>
              <w:rPr>
                <w:sz w:val="1"/>
                <w:szCs w:val="1"/>
                <w:color w:val="auto"/>
              </w:rPr>
            </w:pPr>
          </w:p>
        </w:tc>
      </w:tr>
      <w:tr>
        <w:trPr>
          <w:trHeight w:val="203"/>
        </w:trPr>
        <w:tc>
          <w:tcPr>
            <w:tcW w:w="2960" w:type="dxa"/>
            <w:vAlign w:val="bottom"/>
          </w:tcPr>
          <w:p>
            <w:pPr>
              <w:ind w:left="60"/>
              <w:spacing w:after="0" w:line="203" w:lineRule="exact"/>
              <w:rPr>
                <w:sz w:val="20"/>
                <w:szCs w:val="20"/>
                <w:color w:val="auto"/>
              </w:rPr>
            </w:pPr>
            <w:r>
              <w:rPr>
                <w:rFonts w:ascii="Times New Roman" w:cs="Times New Roman" w:eastAsia="Times New Roman" w:hAnsi="Times New Roman"/>
                <w:sz w:val="16"/>
                <w:szCs w:val="16"/>
                <w:color w:val="auto"/>
              </w:rPr>
              <w:t>Dividends declared</w:t>
            </w:r>
            <w:r>
              <w:rPr>
                <w:rFonts w:ascii="Times New Roman" w:cs="Times New Roman" w:eastAsia="Times New Roman" w:hAnsi="Times New Roman"/>
                <w:sz w:val="21"/>
                <w:szCs w:val="21"/>
                <w:color w:val="auto"/>
                <w:vertAlign w:val="superscript"/>
              </w:rPr>
              <w:t>(1)</w:t>
            </w:r>
          </w:p>
        </w:tc>
        <w:tc>
          <w:tcPr>
            <w:tcW w:w="86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123</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(22,917)</w:t>
            </w: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(22,794)</w:t>
            </w:r>
          </w:p>
        </w:tc>
        <w:tc>
          <w:tcPr>
            <w:tcW w:w="0" w:type="dxa"/>
            <w:vAlign w:val="bottom"/>
          </w:tcPr>
          <w:p>
            <w:pPr>
              <w:spacing w:after="0"/>
              <w:rPr>
                <w:sz w:val="1"/>
                <w:szCs w:val="1"/>
                <w:color w:val="auto"/>
              </w:rPr>
            </w:pPr>
          </w:p>
        </w:tc>
      </w:tr>
      <w:tr>
        <w:trPr>
          <w:trHeight w:val="216"/>
        </w:trPr>
        <w:tc>
          <w:tcPr>
            <w:tcW w:w="29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Balance at September 30, 2026</w:t>
            </w:r>
          </w:p>
        </w:tc>
        <w:tc>
          <w:tcPr>
            <w:tcW w:w="86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129,421</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1,131</w:t>
            </w:r>
          </w:p>
        </w:tc>
        <w:tc>
          <w:tcPr>
            <w:tcW w:w="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1,605,150</w:t>
            </w:r>
          </w:p>
        </w:tc>
        <w:tc>
          <w:tcPr>
            <w:tcW w:w="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1,041,598</w:t>
            </w:r>
          </w:p>
        </w:tc>
        <w:tc>
          <w:tcPr>
            <w:tcW w:w="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(1,890,966)</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(6,789)</w:t>
            </w:r>
          </w:p>
        </w:tc>
        <w:tc>
          <w:tcPr>
            <w:tcW w:w="3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750,124</w:t>
            </w:r>
          </w:p>
        </w:tc>
        <w:tc>
          <w:tcPr>
            <w:tcW w:w="0" w:type="dxa"/>
            <w:vAlign w:val="bottom"/>
          </w:tcPr>
          <w:p>
            <w:pPr>
              <w:spacing w:after="0"/>
              <w:rPr>
                <w:sz w:val="1"/>
                <w:szCs w:val="1"/>
                <w:color w:val="auto"/>
              </w:rPr>
            </w:pPr>
          </w:p>
        </w:tc>
      </w:tr>
      <w:tr>
        <w:trPr>
          <w:trHeight w:val="20"/>
        </w:trPr>
        <w:tc>
          <w:tcPr>
            <w:tcW w:w="2960" w:type="dxa"/>
            <w:vAlign w:val="bottom"/>
            <w:tcBorders>
              <w:top w:val="single" w:sz="8" w:color="CFF0FC"/>
            </w:tcBorders>
            <w:shd w:val="clear" w:color="auto" w:fill="CFF0FC"/>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2430780</wp:posOffset>
            </wp:positionH>
            <wp:positionV relativeFrom="paragraph">
              <wp:posOffset>-24765</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2430780</wp:posOffset>
            </wp:positionH>
            <wp:positionV relativeFrom="paragraph">
              <wp:posOffset>-7620</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3013710</wp:posOffset>
            </wp:positionH>
            <wp:positionV relativeFrom="paragraph">
              <wp:posOffset>-24765</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3013710</wp:posOffset>
            </wp:positionH>
            <wp:positionV relativeFrom="paragraph">
              <wp:posOffset>-7620</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3759835</wp:posOffset>
            </wp:positionH>
            <wp:positionV relativeFrom="paragraph">
              <wp:posOffset>-24765</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3759835</wp:posOffset>
            </wp:positionH>
            <wp:positionV relativeFrom="paragraph">
              <wp:posOffset>-7620</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-24765</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-7620</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-24765</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-7620</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-24765</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-7620</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4" w:lineRule="exact"/>
        <w:rPr>
          <w:sz w:val="20"/>
          <w:szCs w:val="20"/>
          <w:color w:val="auto"/>
        </w:rPr>
      </w:pPr>
    </w:p>
    <w:p>
      <w:pPr>
        <w:ind w:left="140" w:hanging="132"/>
        <w:spacing w:after="0"/>
        <w:tabs>
          <w:tab w:leader="none" w:pos="140" w:val="left"/>
        </w:tabs>
        <w:numPr>
          <w:ilvl w:val="0"/>
          <w:numId w:val="3"/>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Cash dividends declared for the three and nine months ended September 30, 2026 were $0.39 and $1.17 per common share, respectively.</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UPBOUND GROUP,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960" w:type="dxa"/>
            <w:vAlign w:val="bottom"/>
          </w:tcPr>
          <w:p>
            <w:pPr>
              <w:spacing w:after="0"/>
              <w:rPr>
                <w:sz w:val="12"/>
                <w:szCs w:val="12"/>
                <w:color w:val="auto"/>
              </w:rPr>
            </w:pPr>
          </w:p>
        </w:tc>
        <w:tc>
          <w:tcPr>
            <w:tcW w:w="1780" w:type="dxa"/>
            <w:vAlign w:val="bottom"/>
            <w:gridSpan w:val="4"/>
            <w:vMerge w:val="restart"/>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960" w:type="dxa"/>
            <w:vAlign w:val="bottom"/>
          </w:tcPr>
          <w:p>
            <w:pPr>
              <w:spacing w:after="0"/>
              <w:rPr>
                <w:sz w:val="13"/>
                <w:szCs w:val="13"/>
                <w:color w:val="auto"/>
              </w:rPr>
            </w:pPr>
          </w:p>
        </w:tc>
        <w:tc>
          <w:tcPr>
            <w:tcW w:w="1780" w:type="dxa"/>
            <w:vAlign w:val="bottom"/>
            <w:tcBorders>
              <w:bottom w:val="single" w:sz="8" w:color="auto"/>
            </w:tcBorders>
            <w:gridSpan w:val="4"/>
            <w:vMerge w:val="continue"/>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jc w:val="right"/>
              <w:ind w:right="280"/>
              <w:spacing w:after="0" w:line="160" w:lineRule="exact"/>
              <w:rPr>
                <w:sz w:val="20"/>
                <w:szCs w:val="20"/>
                <w:color w:val="auto"/>
              </w:rPr>
            </w:pPr>
            <w:r>
              <w:rPr>
                <w:rFonts w:ascii="Times New Roman" w:cs="Times New Roman" w:eastAsia="Times New Roman" w:hAnsi="Times New Roman"/>
                <w:sz w:val="14"/>
                <w:szCs w:val="14"/>
                <w:b w:val="1"/>
                <w:bCs w:val="1"/>
                <w:color w:val="auto"/>
              </w:rPr>
              <w:t>Paid-In</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gridSpan w:val="2"/>
          </w:tcPr>
          <w:p>
            <w:pPr>
              <w:jc w:val="center"/>
              <w:ind w:right="40"/>
              <w:spacing w:after="0" w:line="160"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96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860" w:type="dxa"/>
            <w:vAlign w:val="bottom"/>
            <w:tcBorders>
              <w:bottom w:val="single" w:sz="8" w:color="auto"/>
            </w:tcBorders>
          </w:tcPr>
          <w:p>
            <w:pPr>
              <w:jc w:val="right"/>
              <w:ind w:right="20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19"/>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280"/>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1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240"/>
              <w:spacing w:after="0" w:line="142"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1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ind w:right="500"/>
              <w:spacing w:after="0" w:line="142" w:lineRule="exact"/>
              <w:rPr>
                <w:sz w:val="20"/>
                <w:szCs w:val="20"/>
                <w:color w:val="auto"/>
              </w:rPr>
            </w:pPr>
            <w:r>
              <w:rPr>
                <w:rFonts w:ascii="Times New Roman" w:cs="Times New Roman" w:eastAsia="Times New Roman" w:hAnsi="Times New Roman"/>
                <w:sz w:val="14"/>
                <w:szCs w:val="14"/>
                <w:b w:val="1"/>
                <w:bCs w:val="1"/>
                <w:color w:val="auto"/>
              </w:rPr>
              <w:t>Stock</w:t>
            </w:r>
          </w:p>
        </w:tc>
        <w:tc>
          <w:tcPr>
            <w:tcW w:w="1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center"/>
              <w:ind w:right="140"/>
              <w:spacing w:after="0" w:line="142" w:lineRule="exact"/>
              <w:rPr>
                <w:sz w:val="20"/>
                <w:szCs w:val="20"/>
                <w:color w:val="auto"/>
              </w:rPr>
            </w:pPr>
            <w:r>
              <w:rPr>
                <w:rFonts w:ascii="Times New Roman" w:cs="Times New Roman" w:eastAsia="Times New Roman" w:hAnsi="Times New Roman"/>
                <w:sz w:val="14"/>
                <w:szCs w:val="14"/>
                <w:b w:val="1"/>
                <w:bCs w:val="1"/>
                <w:color w:val="auto"/>
              </w:rPr>
              <w:t>(Loss) Income</w:t>
            </w:r>
          </w:p>
        </w:tc>
        <w:tc>
          <w:tcPr>
            <w:tcW w:w="1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419"/>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2"/>
        </w:trPr>
        <w:tc>
          <w:tcPr>
            <w:tcW w:w="2960" w:type="dxa"/>
            <w:vAlign w:val="bottom"/>
            <w:vMerge w:val="continue"/>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9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Balance at December 31, 2024</w:t>
            </w:r>
          </w:p>
        </w:tc>
        <w:tc>
          <w:tcPr>
            <w:tcW w:w="86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125,797</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1,108</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1,493,885</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1,036,169</w:t>
            </w:r>
          </w:p>
        </w:tc>
        <w:tc>
          <w:tcPr>
            <w:tcW w:w="340" w:type="dxa"/>
            <w:vAlign w:val="bottom"/>
            <w:gridSpan w:val="2"/>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(1,890,966)</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(11,212)</w:t>
            </w:r>
          </w:p>
        </w:tc>
        <w:tc>
          <w:tcPr>
            <w:tcW w:w="320" w:type="dxa"/>
            <w:vAlign w:val="bottom"/>
            <w:gridSpan w:val="2"/>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628,984</w:t>
            </w:r>
          </w:p>
        </w:tc>
        <w:tc>
          <w:tcPr>
            <w:tcW w:w="0" w:type="dxa"/>
            <w:vAlign w:val="bottom"/>
          </w:tcPr>
          <w:p>
            <w:pPr>
              <w:spacing w:after="0"/>
              <w:rPr>
                <w:sz w:val="1"/>
                <w:szCs w:val="1"/>
                <w:color w:val="auto"/>
              </w:rPr>
            </w:pPr>
          </w:p>
        </w:tc>
      </w:tr>
      <w:tr>
        <w:trPr>
          <w:trHeight w:val="203"/>
        </w:trPr>
        <w:tc>
          <w:tcPr>
            <w:tcW w:w="29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Net earnings</w:t>
            </w:r>
          </w:p>
        </w:tc>
        <w:tc>
          <w:tcPr>
            <w:tcW w:w="8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24,793</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24,793</w:t>
            </w:r>
          </w:p>
        </w:tc>
        <w:tc>
          <w:tcPr>
            <w:tcW w:w="0" w:type="dxa"/>
            <w:vAlign w:val="bottom"/>
          </w:tcPr>
          <w:p>
            <w:pPr>
              <w:spacing w:after="0"/>
              <w:rPr>
                <w:sz w:val="1"/>
                <w:szCs w:val="1"/>
                <w:color w:val="auto"/>
              </w:rPr>
            </w:pPr>
          </w:p>
        </w:tc>
      </w:tr>
      <w:tr>
        <w:trPr>
          <w:trHeight w:val="203"/>
        </w:trPr>
        <w:tc>
          <w:tcPr>
            <w:tcW w:w="29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Other comprehensive loss</w:t>
            </w:r>
          </w:p>
        </w:tc>
        <w:tc>
          <w:tcPr>
            <w:tcW w:w="86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7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6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4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8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0" w:type="dxa"/>
            <w:vAlign w:val="bottom"/>
          </w:tcPr>
          <w:p>
            <w:pPr>
              <w:spacing w:after="0"/>
              <w:rPr>
                <w:sz w:val="1"/>
                <w:szCs w:val="1"/>
                <w:color w:val="auto"/>
              </w:rPr>
            </w:pPr>
          </w:p>
        </w:tc>
      </w:tr>
      <w:tr>
        <w:trPr>
          <w:trHeight w:val="203"/>
        </w:trPr>
        <w:tc>
          <w:tcPr>
            <w:tcW w:w="29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Exercise of stock options</w:t>
            </w:r>
          </w:p>
        </w:tc>
        <w:tc>
          <w:tcPr>
            <w:tcW w:w="8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9</w:t>
            </w:r>
          </w:p>
        </w:tc>
        <w:tc>
          <w:tcPr>
            <w:tcW w:w="0" w:type="dxa"/>
            <w:vAlign w:val="bottom"/>
          </w:tcPr>
          <w:p>
            <w:pPr>
              <w:spacing w:after="0"/>
              <w:rPr>
                <w:sz w:val="1"/>
                <w:szCs w:val="1"/>
                <w:color w:val="auto"/>
              </w:rPr>
            </w:pPr>
          </w:p>
        </w:tc>
      </w:tr>
      <w:tr>
        <w:trPr>
          <w:trHeight w:val="189"/>
        </w:trPr>
        <w:tc>
          <w:tcPr>
            <w:tcW w:w="29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Vesting of restricted share units, net of</w:t>
            </w:r>
          </w:p>
        </w:tc>
        <w:tc>
          <w:tcPr>
            <w:tcW w:w="8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1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9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shares withheld for employee taxes</w:t>
            </w:r>
          </w:p>
        </w:tc>
        <w:tc>
          <w:tcPr>
            <w:tcW w:w="86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394</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29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Tax effect of stock awards vested and</w:t>
            </w: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9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options exercised</w:t>
            </w:r>
          </w:p>
        </w:tc>
        <w:tc>
          <w:tcPr>
            <w:tcW w:w="8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(6,230)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(6,230)</w:t>
            </w:r>
          </w:p>
        </w:tc>
        <w:tc>
          <w:tcPr>
            <w:tcW w:w="0" w:type="dxa"/>
            <w:vAlign w:val="bottom"/>
          </w:tcPr>
          <w:p>
            <w:pPr>
              <w:spacing w:after="0"/>
              <w:rPr>
                <w:sz w:val="1"/>
                <w:szCs w:val="1"/>
                <w:color w:val="auto"/>
              </w:rPr>
            </w:pPr>
          </w:p>
        </w:tc>
      </w:tr>
      <w:tr>
        <w:trPr>
          <w:trHeight w:val="205"/>
        </w:trPr>
        <w:tc>
          <w:tcPr>
            <w:tcW w:w="29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Stock-based compensation</w:t>
            </w:r>
          </w:p>
        </w:tc>
        <w:tc>
          <w:tcPr>
            <w:tcW w:w="86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7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6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13,279</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4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8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13,279</w:t>
            </w:r>
          </w:p>
        </w:tc>
        <w:tc>
          <w:tcPr>
            <w:tcW w:w="0" w:type="dxa"/>
            <w:vAlign w:val="bottom"/>
          </w:tcPr>
          <w:p>
            <w:pPr>
              <w:spacing w:after="0"/>
              <w:rPr>
                <w:sz w:val="1"/>
                <w:szCs w:val="1"/>
                <w:color w:val="auto"/>
              </w:rPr>
            </w:pPr>
          </w:p>
        </w:tc>
      </w:tr>
      <w:tr>
        <w:trPr>
          <w:trHeight w:val="203"/>
        </w:trPr>
        <w:tc>
          <w:tcPr>
            <w:tcW w:w="2960" w:type="dxa"/>
            <w:vAlign w:val="bottom"/>
          </w:tcPr>
          <w:p>
            <w:pPr>
              <w:ind w:left="60"/>
              <w:spacing w:after="0" w:line="203" w:lineRule="exact"/>
              <w:rPr>
                <w:sz w:val="20"/>
                <w:szCs w:val="20"/>
                <w:color w:val="auto"/>
              </w:rPr>
            </w:pPr>
            <w:r>
              <w:rPr>
                <w:rFonts w:ascii="Times New Roman" w:cs="Times New Roman" w:eastAsia="Times New Roman" w:hAnsi="Times New Roman"/>
                <w:sz w:val="16"/>
                <w:szCs w:val="16"/>
                <w:color w:val="auto"/>
              </w:rPr>
              <w:t>Dividends declared</w:t>
            </w:r>
            <w:r>
              <w:rPr>
                <w:rFonts w:ascii="Times New Roman" w:cs="Times New Roman" w:eastAsia="Times New Roman" w:hAnsi="Times New Roman"/>
                <w:sz w:val="21"/>
                <w:szCs w:val="21"/>
                <w:color w:val="auto"/>
                <w:vertAlign w:val="superscript"/>
              </w:rPr>
              <w:t>(1)</w:t>
            </w:r>
          </w:p>
        </w:tc>
        <w:tc>
          <w:tcPr>
            <w:tcW w:w="8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(22,602)</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(22,602)</w:t>
            </w:r>
          </w:p>
        </w:tc>
        <w:tc>
          <w:tcPr>
            <w:tcW w:w="0" w:type="dxa"/>
            <w:vAlign w:val="bottom"/>
          </w:tcPr>
          <w:p>
            <w:pPr>
              <w:spacing w:after="0"/>
              <w:rPr>
                <w:sz w:val="1"/>
                <w:szCs w:val="1"/>
                <w:color w:val="auto"/>
              </w:rPr>
            </w:pPr>
          </w:p>
        </w:tc>
      </w:tr>
      <w:tr>
        <w:trPr>
          <w:trHeight w:val="203"/>
        </w:trPr>
        <w:tc>
          <w:tcPr>
            <w:tcW w:w="296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Brigit acquisition equity consideration</w:t>
            </w:r>
          </w:p>
        </w:tc>
        <w:tc>
          <w:tcPr>
            <w:tcW w:w="860" w:type="dxa"/>
            <w:vAlign w:val="bottom"/>
            <w:tcBorders>
              <w:bottom w:val="single" w:sz="8" w:color="auto"/>
            </w:tcBorders>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2,694</w:t>
            </w:r>
          </w:p>
        </w:tc>
        <w:tc>
          <w:tcPr>
            <w:tcW w:w="12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auto"/>
            </w:tcBorders>
            <w:shd w:val="clear" w:color="auto" w:fill="CFF0FC"/>
          </w:tcPr>
          <w:p>
            <w:pPr>
              <w:spacing w:after="0"/>
              <w:rPr>
                <w:sz w:val="17"/>
                <w:szCs w:val="17"/>
                <w:color w:val="auto"/>
              </w:rPr>
            </w:pPr>
          </w:p>
        </w:tc>
        <w:tc>
          <w:tcPr>
            <w:tcW w:w="7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13</w:t>
            </w:r>
          </w:p>
        </w:tc>
        <w:tc>
          <w:tcPr>
            <w:tcW w:w="1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41,044</w:t>
            </w:r>
          </w:p>
        </w:tc>
        <w:tc>
          <w:tcPr>
            <w:tcW w:w="10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180" w:type="dxa"/>
            <w:vAlign w:val="bottom"/>
            <w:tcBorders>
              <w:bottom w:val="single" w:sz="8" w:color="auto"/>
            </w:tcBorders>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41,057</w:t>
            </w:r>
          </w:p>
        </w:tc>
        <w:tc>
          <w:tcPr>
            <w:tcW w:w="0" w:type="dxa"/>
            <w:vAlign w:val="bottom"/>
          </w:tcPr>
          <w:p>
            <w:pPr>
              <w:spacing w:after="0"/>
              <w:rPr>
                <w:sz w:val="1"/>
                <w:szCs w:val="1"/>
                <w:color w:val="auto"/>
              </w:rPr>
            </w:pPr>
          </w:p>
        </w:tc>
      </w:tr>
      <w:tr>
        <w:trPr>
          <w:trHeight w:val="196"/>
        </w:trPr>
        <w:tc>
          <w:tcPr>
            <w:tcW w:w="29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Balance at March 31, 2025</w:t>
            </w:r>
          </w:p>
        </w:tc>
        <w:tc>
          <w:tcPr>
            <w:tcW w:w="8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128,886</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1,125</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1,541,983</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1,038,360</w:t>
            </w:r>
          </w:p>
        </w:tc>
        <w:tc>
          <w:tcPr>
            <w:tcW w:w="34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(1,890,966)</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(11,289)</w:t>
            </w:r>
          </w:p>
        </w:tc>
        <w:tc>
          <w:tcPr>
            <w:tcW w:w="32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679,213</w:t>
            </w:r>
          </w:p>
        </w:tc>
        <w:tc>
          <w:tcPr>
            <w:tcW w:w="0" w:type="dxa"/>
            <w:vAlign w:val="bottom"/>
          </w:tcPr>
          <w:p>
            <w:pPr>
              <w:spacing w:after="0"/>
              <w:rPr>
                <w:sz w:val="1"/>
                <w:szCs w:val="1"/>
                <w:color w:val="auto"/>
              </w:rPr>
            </w:pPr>
          </w:p>
        </w:tc>
      </w:tr>
      <w:tr>
        <w:trPr>
          <w:trHeight w:val="203"/>
        </w:trPr>
        <w:tc>
          <w:tcPr>
            <w:tcW w:w="29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Net earnings</w:t>
            </w:r>
          </w:p>
        </w:tc>
        <w:tc>
          <w:tcPr>
            <w:tcW w:w="86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7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6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4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15,485</w:t>
            </w: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8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15,485</w:t>
            </w:r>
          </w:p>
        </w:tc>
        <w:tc>
          <w:tcPr>
            <w:tcW w:w="0" w:type="dxa"/>
            <w:vAlign w:val="bottom"/>
          </w:tcPr>
          <w:p>
            <w:pPr>
              <w:spacing w:after="0"/>
              <w:rPr>
                <w:sz w:val="1"/>
                <w:szCs w:val="1"/>
                <w:color w:val="auto"/>
              </w:rPr>
            </w:pPr>
          </w:p>
        </w:tc>
      </w:tr>
      <w:tr>
        <w:trPr>
          <w:trHeight w:val="203"/>
        </w:trPr>
        <w:tc>
          <w:tcPr>
            <w:tcW w:w="29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8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2,434</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2,434</w:t>
            </w:r>
          </w:p>
        </w:tc>
        <w:tc>
          <w:tcPr>
            <w:tcW w:w="0" w:type="dxa"/>
            <w:vAlign w:val="bottom"/>
          </w:tcPr>
          <w:p>
            <w:pPr>
              <w:spacing w:after="0"/>
              <w:rPr>
                <w:sz w:val="1"/>
                <w:szCs w:val="1"/>
                <w:color w:val="auto"/>
              </w:rPr>
            </w:pPr>
          </w:p>
        </w:tc>
      </w:tr>
      <w:tr>
        <w:trPr>
          <w:trHeight w:val="203"/>
        </w:trPr>
        <w:tc>
          <w:tcPr>
            <w:tcW w:w="29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Exercise of stock options</w:t>
            </w:r>
          </w:p>
        </w:tc>
        <w:tc>
          <w:tcPr>
            <w:tcW w:w="86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38</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7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6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152</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4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8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153</w:t>
            </w:r>
          </w:p>
        </w:tc>
        <w:tc>
          <w:tcPr>
            <w:tcW w:w="0" w:type="dxa"/>
            <w:vAlign w:val="bottom"/>
          </w:tcPr>
          <w:p>
            <w:pPr>
              <w:spacing w:after="0"/>
              <w:rPr>
                <w:sz w:val="1"/>
                <w:szCs w:val="1"/>
                <w:color w:val="auto"/>
              </w:rPr>
            </w:pPr>
          </w:p>
        </w:tc>
      </w:tr>
      <w:tr>
        <w:trPr>
          <w:trHeight w:val="189"/>
        </w:trPr>
        <w:tc>
          <w:tcPr>
            <w:tcW w:w="29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Vesting of restricted share units, net of</w:t>
            </w: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9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shares withheld for employee taxes</w:t>
            </w:r>
          </w:p>
        </w:tc>
        <w:tc>
          <w:tcPr>
            <w:tcW w:w="8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2"/>
        </w:trPr>
        <w:tc>
          <w:tcPr>
            <w:tcW w:w="29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Tax effect of stock awards vested and</w:t>
            </w:r>
          </w:p>
        </w:tc>
        <w:tc>
          <w:tcPr>
            <w:tcW w:w="8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1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9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options exercised</w:t>
            </w:r>
          </w:p>
        </w:tc>
        <w:tc>
          <w:tcPr>
            <w:tcW w:w="86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(477)</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(477)</w:t>
            </w:r>
          </w:p>
        </w:tc>
        <w:tc>
          <w:tcPr>
            <w:tcW w:w="0" w:type="dxa"/>
            <w:vAlign w:val="bottom"/>
          </w:tcPr>
          <w:p>
            <w:pPr>
              <w:spacing w:after="0"/>
              <w:rPr>
                <w:sz w:val="1"/>
                <w:szCs w:val="1"/>
                <w:color w:val="auto"/>
              </w:rPr>
            </w:pPr>
          </w:p>
        </w:tc>
      </w:tr>
      <w:tr>
        <w:trPr>
          <w:trHeight w:val="203"/>
        </w:trPr>
        <w:tc>
          <w:tcPr>
            <w:tcW w:w="29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Stock-based compensation</w:t>
            </w:r>
          </w:p>
        </w:tc>
        <w:tc>
          <w:tcPr>
            <w:tcW w:w="8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11,396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11,396</w:t>
            </w:r>
          </w:p>
        </w:tc>
        <w:tc>
          <w:tcPr>
            <w:tcW w:w="0" w:type="dxa"/>
            <w:vAlign w:val="bottom"/>
          </w:tcPr>
          <w:p>
            <w:pPr>
              <w:spacing w:after="0"/>
              <w:rPr>
                <w:sz w:val="1"/>
                <w:szCs w:val="1"/>
                <w:color w:val="auto"/>
              </w:rPr>
            </w:pPr>
          </w:p>
        </w:tc>
      </w:tr>
      <w:tr>
        <w:trPr>
          <w:trHeight w:val="203"/>
        </w:trPr>
        <w:tc>
          <w:tcPr>
            <w:tcW w:w="2960" w:type="dxa"/>
            <w:vAlign w:val="bottom"/>
            <w:shd w:val="clear" w:color="auto" w:fill="CFF0FC"/>
          </w:tcPr>
          <w:p>
            <w:pPr>
              <w:ind w:left="60"/>
              <w:spacing w:after="0" w:line="203" w:lineRule="exact"/>
              <w:rPr>
                <w:sz w:val="20"/>
                <w:szCs w:val="20"/>
                <w:color w:val="auto"/>
              </w:rPr>
            </w:pPr>
            <w:r>
              <w:rPr>
                <w:rFonts w:ascii="Times New Roman" w:cs="Times New Roman" w:eastAsia="Times New Roman" w:hAnsi="Times New Roman"/>
                <w:sz w:val="16"/>
                <w:szCs w:val="16"/>
                <w:color w:val="auto"/>
              </w:rPr>
              <w:t>Dividends declared</w:t>
            </w:r>
            <w:r>
              <w:rPr>
                <w:rFonts w:ascii="Times New Roman" w:cs="Times New Roman" w:eastAsia="Times New Roman" w:hAnsi="Times New Roman"/>
                <w:sz w:val="21"/>
                <w:szCs w:val="21"/>
                <w:color w:val="auto"/>
                <w:vertAlign w:val="superscript"/>
              </w:rPr>
              <w:t>(1)</w:t>
            </w:r>
          </w:p>
        </w:tc>
        <w:tc>
          <w:tcPr>
            <w:tcW w:w="86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7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6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(22,619)</w:t>
            </w: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8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(22,619)</w:t>
            </w:r>
          </w:p>
        </w:tc>
        <w:tc>
          <w:tcPr>
            <w:tcW w:w="0" w:type="dxa"/>
            <w:vAlign w:val="bottom"/>
          </w:tcPr>
          <w:p>
            <w:pPr>
              <w:spacing w:after="0"/>
              <w:rPr>
                <w:sz w:val="1"/>
                <w:szCs w:val="1"/>
                <w:color w:val="auto"/>
              </w:rPr>
            </w:pPr>
          </w:p>
        </w:tc>
      </w:tr>
      <w:tr>
        <w:trPr>
          <w:trHeight w:val="203"/>
        </w:trPr>
        <w:tc>
          <w:tcPr>
            <w:tcW w:w="29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Brigit acquisition equity consideration</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0" w:type="dxa"/>
            <w:vAlign w:val="bottom"/>
          </w:tcPr>
          <w:p>
            <w:pPr>
              <w:spacing w:after="0"/>
              <w:rPr>
                <w:sz w:val="1"/>
                <w:szCs w:val="1"/>
                <w:color w:val="auto"/>
              </w:rPr>
            </w:pPr>
          </w:p>
        </w:tc>
      </w:tr>
      <w:tr>
        <w:trPr>
          <w:trHeight w:val="196"/>
        </w:trPr>
        <w:tc>
          <w:tcPr>
            <w:tcW w:w="29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Balance at June 30, 2025</w:t>
            </w:r>
          </w:p>
        </w:tc>
        <w:tc>
          <w:tcPr>
            <w:tcW w:w="86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128,931</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1,126</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1,553,017</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1,031,226</w:t>
            </w:r>
          </w:p>
        </w:tc>
        <w:tc>
          <w:tcPr>
            <w:tcW w:w="340" w:type="dxa"/>
            <w:vAlign w:val="bottom"/>
            <w:gridSpan w:val="2"/>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(1,890,966)</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(8,855)</w:t>
            </w:r>
          </w:p>
        </w:tc>
        <w:tc>
          <w:tcPr>
            <w:tcW w:w="320" w:type="dxa"/>
            <w:vAlign w:val="bottom"/>
            <w:gridSpan w:val="2"/>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685,548</w:t>
            </w:r>
          </w:p>
        </w:tc>
        <w:tc>
          <w:tcPr>
            <w:tcW w:w="0" w:type="dxa"/>
            <w:vAlign w:val="bottom"/>
          </w:tcPr>
          <w:p>
            <w:pPr>
              <w:spacing w:after="0"/>
              <w:rPr>
                <w:sz w:val="1"/>
                <w:szCs w:val="1"/>
                <w:color w:val="auto"/>
              </w:rPr>
            </w:pPr>
          </w:p>
        </w:tc>
      </w:tr>
      <w:tr>
        <w:trPr>
          <w:trHeight w:val="203"/>
        </w:trPr>
        <w:tc>
          <w:tcPr>
            <w:tcW w:w="29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Net earnings</w:t>
            </w:r>
          </w:p>
        </w:tc>
        <w:tc>
          <w:tcPr>
            <w:tcW w:w="8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13,221</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13,221</w:t>
            </w:r>
          </w:p>
        </w:tc>
        <w:tc>
          <w:tcPr>
            <w:tcW w:w="0" w:type="dxa"/>
            <w:vAlign w:val="bottom"/>
          </w:tcPr>
          <w:p>
            <w:pPr>
              <w:spacing w:after="0"/>
              <w:rPr>
                <w:sz w:val="1"/>
                <w:szCs w:val="1"/>
                <w:color w:val="auto"/>
              </w:rPr>
            </w:pPr>
          </w:p>
        </w:tc>
      </w:tr>
      <w:tr>
        <w:trPr>
          <w:trHeight w:val="203"/>
        </w:trPr>
        <w:tc>
          <w:tcPr>
            <w:tcW w:w="29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86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7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6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4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8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659</w:t>
            </w: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659</w:t>
            </w:r>
          </w:p>
        </w:tc>
        <w:tc>
          <w:tcPr>
            <w:tcW w:w="0" w:type="dxa"/>
            <w:vAlign w:val="bottom"/>
          </w:tcPr>
          <w:p>
            <w:pPr>
              <w:spacing w:after="0"/>
              <w:rPr>
                <w:sz w:val="1"/>
                <w:szCs w:val="1"/>
                <w:color w:val="auto"/>
              </w:rPr>
            </w:pPr>
          </w:p>
        </w:tc>
      </w:tr>
      <w:tr>
        <w:trPr>
          <w:trHeight w:val="203"/>
        </w:trPr>
        <w:tc>
          <w:tcPr>
            <w:tcW w:w="29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Exercise of stock options</w:t>
            </w:r>
          </w:p>
        </w:tc>
        <w:tc>
          <w:tcPr>
            <w:tcW w:w="8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16</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292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292</w:t>
            </w:r>
          </w:p>
        </w:tc>
        <w:tc>
          <w:tcPr>
            <w:tcW w:w="0" w:type="dxa"/>
            <w:vAlign w:val="bottom"/>
          </w:tcPr>
          <w:p>
            <w:pPr>
              <w:spacing w:after="0"/>
              <w:rPr>
                <w:sz w:val="1"/>
                <w:szCs w:val="1"/>
                <w:color w:val="auto"/>
              </w:rPr>
            </w:pPr>
          </w:p>
        </w:tc>
      </w:tr>
      <w:tr>
        <w:trPr>
          <w:trHeight w:val="189"/>
        </w:trPr>
        <w:tc>
          <w:tcPr>
            <w:tcW w:w="29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Vesting of restricted share units, net of</w:t>
            </w:r>
          </w:p>
        </w:tc>
        <w:tc>
          <w:tcPr>
            <w:tcW w:w="8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1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9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shares withheld for employee taxes</w:t>
            </w:r>
          </w:p>
        </w:tc>
        <w:tc>
          <w:tcPr>
            <w:tcW w:w="86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20</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29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Tax effect of stock awards vested and</w:t>
            </w: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9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options exercised</w:t>
            </w:r>
          </w:p>
        </w:tc>
        <w:tc>
          <w:tcPr>
            <w:tcW w:w="8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w:t>
            </w:r>
          </w:p>
        </w:tc>
        <w:tc>
          <w:tcPr>
            <w:tcW w:w="0" w:type="dxa"/>
            <w:vAlign w:val="bottom"/>
          </w:tcPr>
          <w:p>
            <w:pPr>
              <w:spacing w:after="0"/>
              <w:rPr>
                <w:sz w:val="1"/>
                <w:szCs w:val="1"/>
                <w:color w:val="auto"/>
              </w:rPr>
            </w:pPr>
          </w:p>
        </w:tc>
      </w:tr>
      <w:tr>
        <w:trPr>
          <w:trHeight w:val="205"/>
        </w:trPr>
        <w:tc>
          <w:tcPr>
            <w:tcW w:w="29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Stock-based compensation</w:t>
            </w:r>
          </w:p>
        </w:tc>
        <w:tc>
          <w:tcPr>
            <w:tcW w:w="86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7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6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10,439</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4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8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10,439</w:t>
            </w:r>
          </w:p>
        </w:tc>
        <w:tc>
          <w:tcPr>
            <w:tcW w:w="0" w:type="dxa"/>
            <w:vAlign w:val="bottom"/>
          </w:tcPr>
          <w:p>
            <w:pPr>
              <w:spacing w:after="0"/>
              <w:rPr>
                <w:sz w:val="1"/>
                <w:szCs w:val="1"/>
                <w:color w:val="auto"/>
              </w:rPr>
            </w:pPr>
          </w:p>
        </w:tc>
      </w:tr>
      <w:tr>
        <w:trPr>
          <w:trHeight w:val="203"/>
        </w:trPr>
        <w:tc>
          <w:tcPr>
            <w:tcW w:w="2960" w:type="dxa"/>
            <w:vAlign w:val="bottom"/>
            <w:tcBorders>
              <w:bottom w:val="single" w:sz="8" w:color="CFF0FC"/>
            </w:tcBorders>
          </w:tcPr>
          <w:p>
            <w:pPr>
              <w:ind w:left="60"/>
              <w:spacing w:after="0" w:line="203" w:lineRule="exact"/>
              <w:rPr>
                <w:sz w:val="20"/>
                <w:szCs w:val="20"/>
                <w:color w:val="auto"/>
              </w:rPr>
            </w:pPr>
            <w:r>
              <w:rPr>
                <w:rFonts w:ascii="Times New Roman" w:cs="Times New Roman" w:eastAsia="Times New Roman" w:hAnsi="Times New Roman"/>
                <w:sz w:val="16"/>
                <w:szCs w:val="16"/>
                <w:color w:val="auto"/>
              </w:rPr>
              <w:t>Dividends declared</w:t>
            </w:r>
            <w:r>
              <w:rPr>
                <w:rFonts w:ascii="Times New Roman" w:cs="Times New Roman" w:eastAsia="Times New Roman" w:hAnsi="Times New Roman"/>
                <w:sz w:val="21"/>
                <w:szCs w:val="21"/>
                <w:color w:val="auto"/>
                <w:vertAlign w:val="superscript"/>
              </w:rPr>
              <w:t>(1)</w:t>
            </w:r>
          </w:p>
        </w:tc>
        <w:tc>
          <w:tcPr>
            <w:tcW w:w="86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FF0FC"/>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FF0FC"/>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181</w:t>
            </w:r>
          </w:p>
        </w:tc>
        <w:tc>
          <w:tcPr>
            <w:tcW w:w="100" w:type="dxa"/>
            <w:vAlign w:val="bottom"/>
            <w:tcBorders>
              <w:bottom w:val="single" w:sz="8" w:color="CFF0FC"/>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(22,814)</w:t>
            </w:r>
          </w:p>
        </w:tc>
        <w:tc>
          <w:tcPr>
            <w:tcW w:w="120" w:type="dxa"/>
            <w:vAlign w:val="bottom"/>
            <w:tcBorders>
              <w:bottom w:val="single" w:sz="8" w:color="CFF0FC"/>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FF0FC"/>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FF0FC"/>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(22,633)</w:t>
            </w:r>
          </w:p>
        </w:tc>
        <w:tc>
          <w:tcPr>
            <w:tcW w:w="0" w:type="dxa"/>
            <w:vAlign w:val="bottom"/>
          </w:tcPr>
          <w:p>
            <w:pPr>
              <w:spacing w:after="0"/>
              <w:rPr>
                <w:sz w:val="1"/>
                <w:szCs w:val="1"/>
                <w:color w:val="auto"/>
              </w:rPr>
            </w:pPr>
          </w:p>
        </w:tc>
      </w:tr>
      <w:tr>
        <w:trPr>
          <w:trHeight w:val="236"/>
        </w:trPr>
        <w:tc>
          <w:tcPr>
            <w:tcW w:w="29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Balance at September 30, 2025</w:t>
            </w:r>
          </w:p>
        </w:tc>
        <w:tc>
          <w:tcPr>
            <w:tcW w:w="860" w:type="dxa"/>
            <w:vAlign w:val="bottom"/>
            <w:tcBorders>
              <w:bottom w:val="single" w:sz="8" w:color="auto"/>
            </w:tcBorders>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128,967</w:t>
            </w:r>
          </w:p>
        </w:tc>
        <w:tc>
          <w:tcPr>
            <w:tcW w:w="12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1,126</w:t>
            </w:r>
          </w:p>
        </w:tc>
        <w:tc>
          <w:tcPr>
            <w:tcW w:w="12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bottom w:val="single" w:sz="8" w:color="auto"/>
            </w:tcBorders>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1,563,707</w:t>
            </w:r>
          </w:p>
        </w:tc>
        <w:tc>
          <w:tcPr>
            <w:tcW w:w="10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1,021,633</w:t>
            </w:r>
          </w:p>
        </w:tc>
        <w:tc>
          <w:tcPr>
            <w:tcW w:w="12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(1,890,966)</w:t>
            </w:r>
          </w:p>
        </w:tc>
        <w:tc>
          <w:tcPr>
            <w:tcW w:w="10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(8,196)</w:t>
            </w:r>
          </w:p>
        </w:tc>
        <w:tc>
          <w:tcPr>
            <w:tcW w:w="10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687,304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2430780</wp:posOffset>
            </wp:positionH>
            <wp:positionV relativeFrom="paragraph">
              <wp:posOffset>-2879725</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3013710</wp:posOffset>
            </wp:positionH>
            <wp:positionV relativeFrom="paragraph">
              <wp:posOffset>-2879725</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3759835</wp:posOffset>
            </wp:positionH>
            <wp:positionV relativeFrom="paragraph">
              <wp:posOffset>-2879725</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-2879725</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-2879725</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-2879725</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2430780</wp:posOffset>
            </wp:positionH>
            <wp:positionV relativeFrom="paragraph">
              <wp:posOffset>-24765</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2430780</wp:posOffset>
            </wp:positionH>
            <wp:positionV relativeFrom="paragraph">
              <wp:posOffset>-7620</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2430780</wp:posOffset>
            </wp:positionH>
            <wp:positionV relativeFrom="paragraph">
              <wp:posOffset>-161925</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3013710</wp:posOffset>
            </wp:positionH>
            <wp:positionV relativeFrom="paragraph">
              <wp:posOffset>-24765</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3013710</wp:posOffset>
            </wp:positionH>
            <wp:positionV relativeFrom="paragraph">
              <wp:posOffset>-7620</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3013710</wp:posOffset>
            </wp:positionH>
            <wp:positionV relativeFrom="paragraph">
              <wp:posOffset>-161925</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3759835</wp:posOffset>
            </wp:positionH>
            <wp:positionV relativeFrom="paragraph">
              <wp:posOffset>-24765</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3759835</wp:posOffset>
            </wp:positionH>
            <wp:positionV relativeFrom="paragraph">
              <wp:posOffset>-7620</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3759835</wp:posOffset>
            </wp:positionH>
            <wp:positionV relativeFrom="paragraph">
              <wp:posOffset>-161925</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-24765</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-7620</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-161925</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-24765</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-7620</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-161925</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-24765</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-7620</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-161925</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4" w:lineRule="exact"/>
        <w:rPr>
          <w:sz w:val="20"/>
          <w:szCs w:val="20"/>
          <w:color w:val="auto"/>
        </w:rPr>
      </w:pPr>
    </w:p>
    <w:p>
      <w:pPr>
        <w:ind w:left="140" w:hanging="132"/>
        <w:spacing w:after="0"/>
        <w:tabs>
          <w:tab w:leader="none" w:pos="140" w:val="left"/>
        </w:tabs>
        <w:numPr>
          <w:ilvl w:val="0"/>
          <w:numId w:val="4"/>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Cash dividends declared for the three and nine months ended September 30, 2025 were $0.39 and $1.17 per common share, respectively.</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UPBOUND GROUP,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4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3140" w:type="dxa"/>
            <w:vAlign w:val="bottom"/>
            <w:tcBorders>
              <w:bottom w:val="single" w:sz="8" w:color="auto"/>
            </w:tcBorders>
            <w:gridSpan w:val="4"/>
          </w:tcPr>
          <w:p>
            <w:pPr>
              <w:jc w:val="right"/>
              <w:ind w:right="651"/>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42"/>
        </w:trPr>
        <w:tc>
          <w:tcPr>
            <w:tcW w:w="774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6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ind w:right="651"/>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8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ind w:right="65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142"/>
        </w:trPr>
        <w:tc>
          <w:tcPr>
            <w:tcW w:w="774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earnings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91,644</w:t>
            </w:r>
          </w:p>
        </w:tc>
        <w:tc>
          <w:tcPr>
            <w:tcW w:w="5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53,499</w:t>
            </w:r>
          </w:p>
        </w:tc>
        <w:tc>
          <w:tcPr>
            <w:tcW w:w="0" w:type="dxa"/>
            <w:vAlign w:val="bottom"/>
          </w:tcPr>
          <w:p>
            <w:pPr>
              <w:spacing w:after="0"/>
              <w:rPr>
                <w:sz w:val="1"/>
                <w:szCs w:val="1"/>
                <w:color w:val="auto"/>
              </w:rPr>
            </w:pPr>
          </w:p>
        </w:tc>
      </w:tr>
      <w:tr>
        <w:trPr>
          <w:trHeight w:val="216"/>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Adjustments to reconcile net earnings to net cash provided by operating activities</w:t>
            </w: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Depreciation of rental merchandise</w:t>
            </w:r>
          </w:p>
        </w:tc>
        <w:tc>
          <w:tcPr>
            <w:tcW w:w="360" w:type="dxa"/>
            <w:vAlign w:val="bottom"/>
          </w:tcPr>
          <w:p>
            <w:pPr>
              <w:spacing w:after="0"/>
              <w:rPr>
                <w:sz w:val="18"/>
                <w:szCs w:val="18"/>
                <w:color w:val="auto"/>
              </w:rPr>
            </w:pP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1,010,133</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1,029,642</w:t>
            </w:r>
          </w:p>
        </w:tc>
        <w:tc>
          <w:tcPr>
            <w:tcW w:w="0" w:type="dxa"/>
            <w:vAlign w:val="bottom"/>
          </w:tcPr>
          <w:p>
            <w:pPr>
              <w:spacing w:after="0"/>
              <w:rPr>
                <w:sz w:val="1"/>
                <w:szCs w:val="1"/>
                <w:color w:val="auto"/>
              </w:rPr>
            </w:pPr>
          </w:p>
        </w:tc>
      </w:tr>
      <w:tr>
        <w:trPr>
          <w:trHeight w:val="216"/>
        </w:trPr>
        <w:tc>
          <w:tcPr>
            <w:tcW w:w="77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Bad debt expense</w:t>
            </w: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75,085</w:t>
            </w: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55,832</w:t>
            </w:r>
          </w:p>
        </w:tc>
        <w:tc>
          <w:tcPr>
            <w:tcW w:w="0" w:type="dxa"/>
            <w:vAlign w:val="bottom"/>
          </w:tcPr>
          <w:p>
            <w:pPr>
              <w:spacing w:after="0"/>
              <w:rPr>
                <w:sz w:val="1"/>
                <w:szCs w:val="1"/>
                <w:color w:val="auto"/>
              </w:rPr>
            </w:pPr>
          </w:p>
        </w:tc>
      </w:tr>
      <w:tr>
        <w:trPr>
          <w:trHeight w:val="216"/>
        </w:trPr>
        <w:tc>
          <w:tcPr>
            <w:tcW w:w="77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60" w:type="dxa"/>
            <w:vAlign w:val="bottom"/>
          </w:tcPr>
          <w:p>
            <w:pPr>
              <w:spacing w:after="0"/>
              <w:rPr>
                <w:sz w:val="18"/>
                <w:szCs w:val="18"/>
                <w:color w:val="auto"/>
              </w:rPr>
            </w:pP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35,311</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35,114</w:t>
            </w:r>
          </w:p>
        </w:tc>
        <w:tc>
          <w:tcPr>
            <w:tcW w:w="0" w:type="dxa"/>
            <w:vAlign w:val="bottom"/>
          </w:tcPr>
          <w:p>
            <w:pPr>
              <w:spacing w:after="0"/>
              <w:rPr>
                <w:sz w:val="1"/>
                <w:szCs w:val="1"/>
                <w:color w:val="auto"/>
              </w:rPr>
            </w:pPr>
          </w:p>
        </w:tc>
      </w:tr>
      <w:tr>
        <w:trPr>
          <w:trHeight w:val="216"/>
        </w:trPr>
        <w:tc>
          <w:tcPr>
            <w:tcW w:w="77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Depreciation of property assets</w:t>
            </w: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60,293</w:t>
            </w: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55,464</w:t>
            </w:r>
          </w:p>
        </w:tc>
        <w:tc>
          <w:tcPr>
            <w:tcW w:w="0" w:type="dxa"/>
            <w:vAlign w:val="bottom"/>
          </w:tcPr>
          <w:p>
            <w:pPr>
              <w:spacing w:after="0"/>
              <w:rPr>
                <w:sz w:val="1"/>
                <w:szCs w:val="1"/>
                <w:color w:val="auto"/>
              </w:rPr>
            </w:pPr>
          </w:p>
        </w:tc>
      </w:tr>
      <w:tr>
        <w:trPr>
          <w:trHeight w:val="216"/>
        </w:trPr>
        <w:tc>
          <w:tcPr>
            <w:tcW w:w="77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Loss on sale or disposal of property assets</w:t>
            </w:r>
          </w:p>
        </w:tc>
        <w:tc>
          <w:tcPr>
            <w:tcW w:w="360" w:type="dxa"/>
            <w:vAlign w:val="bottom"/>
          </w:tcPr>
          <w:p>
            <w:pPr>
              <w:spacing w:after="0"/>
              <w:rPr>
                <w:sz w:val="18"/>
                <w:szCs w:val="18"/>
                <w:color w:val="auto"/>
              </w:rPr>
            </w:pP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3,288</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694</w:t>
            </w:r>
          </w:p>
        </w:tc>
        <w:tc>
          <w:tcPr>
            <w:tcW w:w="0" w:type="dxa"/>
            <w:vAlign w:val="bottom"/>
          </w:tcPr>
          <w:p>
            <w:pPr>
              <w:spacing w:after="0"/>
              <w:rPr>
                <w:sz w:val="1"/>
                <w:szCs w:val="1"/>
                <w:color w:val="auto"/>
              </w:rPr>
            </w:pPr>
          </w:p>
        </w:tc>
      </w:tr>
      <w:tr>
        <w:trPr>
          <w:trHeight w:val="216"/>
        </w:trPr>
        <w:tc>
          <w:tcPr>
            <w:tcW w:w="77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45,436</w:t>
            </w: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43,948</w:t>
            </w:r>
          </w:p>
        </w:tc>
        <w:tc>
          <w:tcPr>
            <w:tcW w:w="0" w:type="dxa"/>
            <w:vAlign w:val="bottom"/>
          </w:tcPr>
          <w:p>
            <w:pPr>
              <w:spacing w:after="0"/>
              <w:rPr>
                <w:sz w:val="1"/>
                <w:szCs w:val="1"/>
                <w:color w:val="auto"/>
              </w:rPr>
            </w:pPr>
          </w:p>
        </w:tc>
      </w:tr>
      <w:tr>
        <w:trPr>
          <w:trHeight w:val="216"/>
        </w:trPr>
        <w:tc>
          <w:tcPr>
            <w:tcW w:w="77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Amortization of financing fees</w:t>
            </w:r>
          </w:p>
        </w:tc>
        <w:tc>
          <w:tcPr>
            <w:tcW w:w="360" w:type="dxa"/>
            <w:vAlign w:val="bottom"/>
          </w:tcPr>
          <w:p>
            <w:pPr>
              <w:spacing w:after="0"/>
              <w:rPr>
                <w:sz w:val="18"/>
                <w:szCs w:val="18"/>
                <w:color w:val="auto"/>
              </w:rPr>
            </w:pP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3,130</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3,370</w:t>
            </w:r>
          </w:p>
        </w:tc>
        <w:tc>
          <w:tcPr>
            <w:tcW w:w="0" w:type="dxa"/>
            <w:vAlign w:val="bottom"/>
          </w:tcPr>
          <w:p>
            <w:pPr>
              <w:spacing w:after="0"/>
              <w:rPr>
                <w:sz w:val="1"/>
                <w:szCs w:val="1"/>
                <w:color w:val="auto"/>
              </w:rPr>
            </w:pPr>
          </w:p>
        </w:tc>
      </w:tr>
      <w:tr>
        <w:trPr>
          <w:trHeight w:val="216"/>
        </w:trPr>
        <w:tc>
          <w:tcPr>
            <w:tcW w:w="77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Write-off of debt financing fees</w:t>
            </w: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958</w:t>
            </w:r>
          </w:p>
        </w:tc>
        <w:tc>
          <w:tcPr>
            <w:tcW w:w="0" w:type="dxa"/>
            <w:vAlign w:val="bottom"/>
          </w:tcPr>
          <w:p>
            <w:pPr>
              <w:spacing w:after="0"/>
              <w:rPr>
                <w:sz w:val="1"/>
                <w:szCs w:val="1"/>
                <w:color w:val="auto"/>
              </w:rPr>
            </w:pPr>
          </w:p>
        </w:tc>
      </w:tr>
      <w:tr>
        <w:trPr>
          <w:trHeight w:val="216"/>
        </w:trPr>
        <w:tc>
          <w:tcPr>
            <w:tcW w:w="77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Deferred income taxes</w:t>
            </w:r>
          </w:p>
        </w:tc>
        <w:tc>
          <w:tcPr>
            <w:tcW w:w="360" w:type="dxa"/>
            <w:vAlign w:val="bottom"/>
          </w:tcPr>
          <w:p>
            <w:pPr>
              <w:spacing w:after="0"/>
              <w:rPr>
                <w:sz w:val="18"/>
                <w:szCs w:val="18"/>
                <w:color w:val="auto"/>
              </w:rPr>
            </w:pP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29,300</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67,692</w:t>
            </w:r>
          </w:p>
        </w:tc>
        <w:tc>
          <w:tcPr>
            <w:tcW w:w="0" w:type="dxa"/>
            <w:vAlign w:val="bottom"/>
          </w:tcPr>
          <w:p>
            <w:pPr>
              <w:spacing w:after="0"/>
              <w:rPr>
                <w:sz w:val="1"/>
                <w:szCs w:val="1"/>
                <w:color w:val="auto"/>
              </w:rPr>
            </w:pPr>
          </w:p>
        </w:tc>
      </w:tr>
      <w:tr>
        <w:trPr>
          <w:trHeight w:val="21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 net of acquired assets</w:t>
            </w: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tcPr>
          <w:p>
            <w:pPr>
              <w:ind w:left="280"/>
              <w:spacing w:after="0" w:line="216" w:lineRule="exact"/>
              <w:rPr>
                <w:sz w:val="20"/>
                <w:szCs w:val="20"/>
                <w:color w:val="auto"/>
              </w:rPr>
            </w:pPr>
            <w:r>
              <w:rPr>
                <w:rFonts w:ascii="Times New Roman" w:cs="Times New Roman" w:eastAsia="Times New Roman" w:hAnsi="Times New Roman"/>
                <w:sz w:val="18"/>
                <w:szCs w:val="18"/>
                <w:color w:val="auto"/>
              </w:rPr>
              <w:t>Rental merchandise</w:t>
            </w:r>
            <w:r>
              <w:rPr>
                <w:rFonts w:ascii="Times New Roman" w:cs="Times New Roman" w:eastAsia="Times New Roman" w:hAnsi="Times New Roman"/>
                <w:sz w:val="24"/>
                <w:szCs w:val="24"/>
                <w:color w:val="auto"/>
                <w:vertAlign w:val="superscript"/>
              </w:rPr>
              <w:t>(1)</w:t>
            </w:r>
          </w:p>
        </w:tc>
        <w:tc>
          <w:tcPr>
            <w:tcW w:w="3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(880,873)</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(1,002,597)</w:t>
            </w:r>
          </w:p>
        </w:tc>
        <w:tc>
          <w:tcPr>
            <w:tcW w:w="0" w:type="dxa"/>
            <w:vAlign w:val="bottom"/>
          </w:tcPr>
          <w:p>
            <w:pPr>
              <w:spacing w:after="0"/>
              <w:rPr>
                <w:sz w:val="1"/>
                <w:szCs w:val="1"/>
                <w:color w:val="auto"/>
              </w:rPr>
            </w:pPr>
          </w:p>
        </w:tc>
      </w:tr>
      <w:tr>
        <w:trPr>
          <w:trHeight w:val="216"/>
        </w:trPr>
        <w:tc>
          <w:tcPr>
            <w:tcW w:w="77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Receivables</w:t>
            </w: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(9,335)</w:t>
            </w: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(10,530)</w:t>
            </w:r>
          </w:p>
        </w:tc>
        <w:tc>
          <w:tcPr>
            <w:tcW w:w="0" w:type="dxa"/>
            <w:vAlign w:val="bottom"/>
          </w:tcPr>
          <w:p>
            <w:pPr>
              <w:spacing w:after="0"/>
              <w:rPr>
                <w:sz w:val="1"/>
                <w:szCs w:val="1"/>
                <w:color w:val="auto"/>
              </w:rPr>
            </w:pPr>
          </w:p>
        </w:tc>
      </w:tr>
      <w:tr>
        <w:trPr>
          <w:trHeight w:val="216"/>
        </w:trPr>
        <w:tc>
          <w:tcPr>
            <w:tcW w:w="77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360" w:type="dxa"/>
            <w:vAlign w:val="bottom"/>
          </w:tcPr>
          <w:p>
            <w:pPr>
              <w:spacing w:after="0"/>
              <w:rPr>
                <w:sz w:val="18"/>
                <w:szCs w:val="18"/>
                <w:color w:val="auto"/>
              </w:rPr>
            </w:pP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34,477</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(123,764)</w:t>
            </w:r>
          </w:p>
        </w:tc>
        <w:tc>
          <w:tcPr>
            <w:tcW w:w="0" w:type="dxa"/>
            <w:vAlign w:val="bottom"/>
          </w:tcPr>
          <w:p>
            <w:pPr>
              <w:spacing w:after="0"/>
              <w:rPr>
                <w:sz w:val="1"/>
                <w:szCs w:val="1"/>
                <w:color w:val="auto"/>
              </w:rPr>
            </w:pPr>
          </w:p>
        </w:tc>
      </w:tr>
      <w:tr>
        <w:trPr>
          <w:trHeight w:val="216"/>
        </w:trPr>
        <w:tc>
          <w:tcPr>
            <w:tcW w:w="77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Operating lease right-of-use assets and lease liabilities</w:t>
            </w: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1,973</w:t>
            </w: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9,756</w:t>
            </w:r>
          </w:p>
        </w:tc>
        <w:tc>
          <w:tcPr>
            <w:tcW w:w="0" w:type="dxa"/>
            <w:vAlign w:val="bottom"/>
          </w:tcPr>
          <w:p>
            <w:pPr>
              <w:spacing w:after="0"/>
              <w:rPr>
                <w:sz w:val="1"/>
                <w:szCs w:val="1"/>
                <w:color w:val="auto"/>
              </w:rPr>
            </w:pPr>
          </w:p>
        </w:tc>
      </w:tr>
      <w:tr>
        <w:trPr>
          <w:trHeight w:val="216"/>
        </w:trPr>
        <w:tc>
          <w:tcPr>
            <w:tcW w:w="77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Accounts payable – trade</w:t>
            </w:r>
          </w:p>
        </w:tc>
        <w:tc>
          <w:tcPr>
            <w:tcW w:w="3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(28,776)</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15,485</w:t>
            </w:r>
          </w:p>
        </w:tc>
        <w:tc>
          <w:tcPr>
            <w:tcW w:w="0" w:type="dxa"/>
            <w:vAlign w:val="bottom"/>
          </w:tcPr>
          <w:p>
            <w:pPr>
              <w:spacing w:after="0"/>
              <w:rPr>
                <w:sz w:val="1"/>
                <w:szCs w:val="1"/>
                <w:color w:val="auto"/>
              </w:rPr>
            </w:pPr>
          </w:p>
        </w:tc>
      </w:tr>
      <w:tr>
        <w:trPr>
          <w:trHeight w:val="216"/>
        </w:trPr>
        <w:tc>
          <w:tcPr>
            <w:tcW w:w="774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Accrued liabilities</w:t>
            </w:r>
          </w:p>
        </w:tc>
        <w:tc>
          <w:tcPr>
            <w:tcW w:w="36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(13,985)</w:t>
            </w:r>
          </w:p>
        </w:tc>
        <w:tc>
          <w:tcPr>
            <w:tcW w:w="18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29,424</w:t>
            </w:r>
          </w:p>
        </w:tc>
        <w:tc>
          <w:tcPr>
            <w:tcW w:w="0" w:type="dxa"/>
            <w:vAlign w:val="bottom"/>
          </w:tcPr>
          <w:p>
            <w:pPr>
              <w:spacing w:after="0"/>
              <w:rPr>
                <w:sz w:val="1"/>
                <w:szCs w:val="1"/>
                <w:color w:val="auto"/>
              </w:rPr>
            </w:pPr>
          </w:p>
        </w:tc>
      </w:tr>
      <w:tr>
        <w:trPr>
          <w:trHeight w:val="209"/>
        </w:trPr>
        <w:tc>
          <w:tcPr>
            <w:tcW w:w="77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60" w:type="dxa"/>
            <w:vAlign w:val="bottom"/>
          </w:tcPr>
          <w:p>
            <w:pPr>
              <w:spacing w:after="0"/>
              <w:rPr>
                <w:sz w:val="18"/>
                <w:szCs w:val="18"/>
                <w:color w:val="auto"/>
              </w:rPr>
            </w:pP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457,101</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263,987</w:t>
            </w:r>
          </w:p>
        </w:tc>
        <w:tc>
          <w:tcPr>
            <w:tcW w:w="0" w:type="dxa"/>
            <w:vAlign w:val="bottom"/>
          </w:tcPr>
          <w:p>
            <w:pPr>
              <w:spacing w:after="0"/>
              <w:rPr>
                <w:sz w:val="1"/>
                <w:szCs w:val="1"/>
                <w:color w:val="auto"/>
              </w:rPr>
            </w:pPr>
          </w:p>
        </w:tc>
      </w:tr>
      <w:tr>
        <w:trPr>
          <w:trHeight w:val="21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originations and collections of customer cash advances</w:t>
            </w:r>
          </w:p>
        </w:tc>
        <w:tc>
          <w:tcPr>
            <w:tcW w:w="3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(68,995)</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(47,688)</w:t>
            </w:r>
          </w:p>
        </w:tc>
        <w:tc>
          <w:tcPr>
            <w:tcW w:w="0" w:type="dxa"/>
            <w:vAlign w:val="bottom"/>
          </w:tcPr>
          <w:p>
            <w:pPr>
              <w:spacing w:after="0"/>
              <w:rPr>
                <w:sz w:val="1"/>
                <w:szCs w:val="1"/>
                <w:color w:val="auto"/>
              </w:rPr>
            </w:pPr>
          </w:p>
        </w:tc>
      </w:tr>
      <w:tr>
        <w:trPr>
          <w:trHeight w:val="216"/>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Purchase of property assets</w:t>
            </w: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(47,592)</w:t>
            </w: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(49,327)</w:t>
            </w:r>
          </w:p>
        </w:tc>
        <w:tc>
          <w:tcPr>
            <w:tcW w:w="0" w:type="dxa"/>
            <w:vAlign w:val="bottom"/>
          </w:tcPr>
          <w:p>
            <w:pPr>
              <w:spacing w:after="0"/>
              <w:rPr>
                <w:sz w:val="1"/>
                <w:szCs w:val="1"/>
                <w:color w:val="auto"/>
              </w:rPr>
            </w:pP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Proceeds from sale of assets</w:t>
            </w:r>
          </w:p>
        </w:tc>
        <w:tc>
          <w:tcPr>
            <w:tcW w:w="360" w:type="dxa"/>
            <w:vAlign w:val="bottom"/>
          </w:tcPr>
          <w:p>
            <w:pPr>
              <w:spacing w:after="0"/>
              <w:rPr>
                <w:sz w:val="18"/>
                <w:szCs w:val="18"/>
                <w:color w:val="auto"/>
              </w:rPr>
            </w:pP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922</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16"/>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Promissory loan collection</w:t>
            </w: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35</w:t>
            </w: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Acquisitions of businesses, net of cash acquired</w:t>
            </w:r>
          </w:p>
        </w:tc>
        <w:tc>
          <w:tcPr>
            <w:tcW w:w="3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(278,043)</w:t>
            </w:r>
          </w:p>
        </w:tc>
        <w:tc>
          <w:tcPr>
            <w:tcW w:w="0" w:type="dxa"/>
            <w:vAlign w:val="bottom"/>
          </w:tcPr>
          <w:p>
            <w:pPr>
              <w:spacing w:after="0"/>
              <w:rPr>
                <w:sz w:val="1"/>
                <w:szCs w:val="1"/>
                <w:color w:val="auto"/>
              </w:rPr>
            </w:pPr>
          </w:p>
        </w:tc>
      </w:tr>
      <w:tr>
        <w:trPr>
          <w:trHeight w:val="210"/>
        </w:trPr>
        <w:tc>
          <w:tcPr>
            <w:tcW w:w="774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(115,630)</w:t>
            </w: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(374,881)</w:t>
            </w:r>
          </w:p>
        </w:tc>
        <w:tc>
          <w:tcPr>
            <w:tcW w:w="0" w:type="dxa"/>
            <w:vAlign w:val="bottom"/>
          </w:tcPr>
          <w:p>
            <w:pPr>
              <w:spacing w:after="0"/>
              <w:rPr>
                <w:sz w:val="1"/>
                <w:szCs w:val="1"/>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186</w:t>
            </w: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454</w:t>
            </w:r>
          </w:p>
        </w:tc>
        <w:tc>
          <w:tcPr>
            <w:tcW w:w="0" w:type="dxa"/>
            <w:vAlign w:val="bottom"/>
          </w:tcPr>
          <w:p>
            <w:pPr>
              <w:spacing w:after="0"/>
              <w:rPr>
                <w:sz w:val="1"/>
                <w:szCs w:val="1"/>
                <w:color w:val="auto"/>
              </w:rPr>
            </w:pP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Shares withheld for payment of employee tax withholdings</w:t>
            </w:r>
          </w:p>
        </w:tc>
        <w:tc>
          <w:tcPr>
            <w:tcW w:w="3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(4,657)</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(6,929)</w:t>
            </w:r>
          </w:p>
        </w:tc>
        <w:tc>
          <w:tcPr>
            <w:tcW w:w="0" w:type="dxa"/>
            <w:vAlign w:val="bottom"/>
          </w:tcPr>
          <w:p>
            <w:pPr>
              <w:spacing w:after="0"/>
              <w:rPr>
                <w:sz w:val="1"/>
                <w:szCs w:val="1"/>
                <w:color w:val="auto"/>
              </w:rPr>
            </w:pPr>
          </w:p>
        </w:tc>
      </w:tr>
      <w:tr>
        <w:trPr>
          <w:trHeight w:val="216"/>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Debt issuance costs</w:t>
            </w: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(8,531)</w:t>
            </w:r>
          </w:p>
        </w:tc>
        <w:tc>
          <w:tcPr>
            <w:tcW w:w="0" w:type="dxa"/>
            <w:vAlign w:val="bottom"/>
          </w:tcPr>
          <w:p>
            <w:pPr>
              <w:spacing w:after="0"/>
              <w:rPr>
                <w:sz w:val="1"/>
                <w:szCs w:val="1"/>
                <w:color w:val="auto"/>
              </w:rPr>
            </w:pPr>
          </w:p>
        </w:tc>
      </w:tr>
      <w:tr>
        <w:trPr>
          <w:trHeight w:val="216"/>
        </w:trPr>
        <w:tc>
          <w:tcPr>
            <w:tcW w:w="7740" w:type="dxa"/>
            <w:vAlign w:val="bottom"/>
          </w:tcPr>
          <w:p>
            <w:pPr>
              <w:ind w:left="140"/>
              <w:spacing w:after="0" w:line="216" w:lineRule="exact"/>
              <w:rPr>
                <w:sz w:val="20"/>
                <w:szCs w:val="20"/>
                <w:color w:val="auto"/>
              </w:rPr>
            </w:pPr>
            <w:r>
              <w:rPr>
                <w:rFonts w:ascii="Times New Roman" w:cs="Times New Roman" w:eastAsia="Times New Roman" w:hAnsi="Times New Roman"/>
                <w:sz w:val="18"/>
                <w:szCs w:val="18"/>
                <w:color w:val="auto"/>
              </w:rPr>
              <w:t>Deferred consideration for acquisition of businesses</w:t>
            </w:r>
            <w:r>
              <w:rPr>
                <w:rFonts w:ascii="Times New Roman" w:cs="Times New Roman" w:eastAsia="Times New Roman" w:hAnsi="Times New Roman"/>
                <w:sz w:val="24"/>
                <w:szCs w:val="24"/>
                <w:color w:val="auto"/>
                <w:vertAlign w:val="superscript"/>
              </w:rPr>
              <w:t>(2)</w:t>
            </w:r>
          </w:p>
        </w:tc>
        <w:tc>
          <w:tcPr>
            <w:tcW w:w="3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(37,500)</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Proceeds from debt</w:t>
            </w: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260,000</w:t>
            </w: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681,042</w:t>
            </w:r>
          </w:p>
        </w:tc>
        <w:tc>
          <w:tcPr>
            <w:tcW w:w="0" w:type="dxa"/>
            <w:vAlign w:val="bottom"/>
          </w:tcPr>
          <w:p>
            <w:pPr>
              <w:spacing w:after="0"/>
              <w:rPr>
                <w:sz w:val="1"/>
                <w:szCs w:val="1"/>
                <w:color w:val="auto"/>
              </w:rPr>
            </w:pP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Repayments of debt</w:t>
            </w:r>
          </w:p>
        </w:tc>
        <w:tc>
          <w:tcPr>
            <w:tcW w:w="3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(485,563)</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(444,375)</w:t>
            </w:r>
          </w:p>
        </w:tc>
        <w:tc>
          <w:tcPr>
            <w:tcW w:w="0" w:type="dxa"/>
            <w:vAlign w:val="bottom"/>
          </w:tcPr>
          <w:p>
            <w:pPr>
              <w:spacing w:after="0"/>
              <w:rPr>
                <w:sz w:val="1"/>
                <w:szCs w:val="1"/>
                <w:color w:val="auto"/>
              </w:rPr>
            </w:pPr>
          </w:p>
        </w:tc>
      </w:tr>
      <w:tr>
        <w:trPr>
          <w:trHeight w:val="216"/>
        </w:trPr>
        <w:tc>
          <w:tcPr>
            <w:tcW w:w="774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Dividends paid</w:t>
            </w:r>
          </w:p>
        </w:tc>
        <w:tc>
          <w:tcPr>
            <w:tcW w:w="36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(69,474)</w:t>
            </w:r>
          </w:p>
        </w:tc>
        <w:tc>
          <w:tcPr>
            <w:tcW w:w="18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(65,692)</w:t>
            </w:r>
          </w:p>
        </w:tc>
        <w:tc>
          <w:tcPr>
            <w:tcW w:w="0" w:type="dxa"/>
            <w:vAlign w:val="bottom"/>
          </w:tcPr>
          <w:p>
            <w:pPr>
              <w:spacing w:after="0"/>
              <w:rPr>
                <w:sz w:val="1"/>
                <w:szCs w:val="1"/>
                <w:color w:val="auto"/>
              </w:rPr>
            </w:pPr>
          </w:p>
        </w:tc>
      </w:tr>
      <w:tr>
        <w:trPr>
          <w:trHeight w:val="210"/>
        </w:trPr>
        <w:tc>
          <w:tcPr>
            <w:tcW w:w="77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3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(337,008)</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155,969</w:t>
            </w:r>
          </w:p>
        </w:tc>
        <w:tc>
          <w:tcPr>
            <w:tcW w:w="0" w:type="dxa"/>
            <w:vAlign w:val="bottom"/>
          </w:tcPr>
          <w:p>
            <w:pPr>
              <w:spacing w:after="0"/>
              <w:rPr>
                <w:sz w:val="1"/>
                <w:szCs w:val="1"/>
                <w:color w:val="auto"/>
              </w:rPr>
            </w:pPr>
          </w:p>
        </w:tc>
      </w:tr>
      <w:tr>
        <w:trPr>
          <w:trHeight w:val="216"/>
        </w:trPr>
        <w:tc>
          <w:tcPr>
            <w:tcW w:w="7740" w:type="dxa"/>
            <w:vAlign w:val="bottom"/>
            <w:tcBorders>
              <w:bottom w:val="single" w:sz="8" w:color="CFF0FC"/>
            </w:tcBorders>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Effect of exchange rate changes on cash</w:t>
            </w:r>
          </w:p>
        </w:tc>
        <w:tc>
          <w:tcPr>
            <w:tcW w:w="36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106</w:t>
            </w:r>
          </w:p>
        </w:tc>
        <w:tc>
          <w:tcPr>
            <w:tcW w:w="18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1,086</w:t>
            </w:r>
          </w:p>
        </w:tc>
        <w:tc>
          <w:tcPr>
            <w:tcW w:w="0" w:type="dxa"/>
            <w:vAlign w:val="bottom"/>
          </w:tcPr>
          <w:p>
            <w:pPr>
              <w:spacing w:after="0"/>
              <w:rPr>
                <w:sz w:val="1"/>
                <w:szCs w:val="1"/>
                <w:color w:val="auto"/>
              </w:rPr>
            </w:pPr>
          </w:p>
        </w:tc>
      </w:tr>
      <w:tr>
        <w:trPr>
          <w:trHeight w:val="210"/>
        </w:trPr>
        <w:tc>
          <w:tcPr>
            <w:tcW w:w="77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Net increase in cash and cash equivalents</w:t>
            </w:r>
          </w:p>
        </w:tc>
        <w:tc>
          <w:tcPr>
            <w:tcW w:w="360" w:type="dxa"/>
            <w:vAlign w:val="bottom"/>
          </w:tcPr>
          <w:p>
            <w:pPr>
              <w:spacing w:after="0"/>
              <w:rPr>
                <w:sz w:val="18"/>
                <w:szCs w:val="18"/>
                <w:color w:val="auto"/>
              </w:rPr>
            </w:pP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4,569</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46,161</w:t>
            </w:r>
          </w:p>
        </w:tc>
        <w:tc>
          <w:tcPr>
            <w:tcW w:w="0" w:type="dxa"/>
            <w:vAlign w:val="bottom"/>
          </w:tcPr>
          <w:p>
            <w:pPr>
              <w:spacing w:after="0"/>
              <w:rPr>
                <w:sz w:val="1"/>
                <w:szCs w:val="1"/>
                <w:color w:val="auto"/>
              </w:rPr>
            </w:pPr>
          </w:p>
        </w:tc>
      </w:tr>
      <w:tr>
        <w:trPr>
          <w:trHeight w:val="216"/>
        </w:trPr>
        <w:tc>
          <w:tcPr>
            <w:tcW w:w="77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36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120,528</w:t>
            </w:r>
          </w:p>
        </w:tc>
        <w:tc>
          <w:tcPr>
            <w:tcW w:w="18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60,860</w:t>
            </w:r>
          </w:p>
        </w:tc>
        <w:tc>
          <w:tcPr>
            <w:tcW w:w="0" w:type="dxa"/>
            <w:vAlign w:val="bottom"/>
          </w:tcPr>
          <w:p>
            <w:pPr>
              <w:spacing w:after="0"/>
              <w:rPr>
                <w:sz w:val="1"/>
                <w:szCs w:val="1"/>
                <w:color w:val="auto"/>
              </w:rPr>
            </w:pPr>
          </w:p>
        </w:tc>
      </w:tr>
      <w:tr>
        <w:trPr>
          <w:trHeight w:val="210"/>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125,097</w:t>
            </w:r>
          </w:p>
        </w:tc>
        <w:tc>
          <w:tcPr>
            <w:tcW w:w="5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107,021</w:t>
            </w:r>
          </w:p>
        </w:tc>
        <w:tc>
          <w:tcPr>
            <w:tcW w:w="0" w:type="dxa"/>
            <w:vAlign w:val="bottom"/>
          </w:tcPr>
          <w:p>
            <w:pPr>
              <w:spacing w:after="0"/>
              <w:rPr>
                <w:sz w:val="1"/>
                <w:szCs w:val="1"/>
                <w:color w:val="auto"/>
              </w:rPr>
            </w:pPr>
          </w:p>
        </w:tc>
      </w:tr>
      <w:tr>
        <w:trPr>
          <w:trHeight w:val="20"/>
        </w:trPr>
        <w:tc>
          <w:tcPr>
            <w:tcW w:w="77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-2948305</wp:posOffset>
            </wp:positionV>
            <wp:extent cx="11112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-736600</wp:posOffset>
            </wp:positionV>
            <wp:extent cx="11112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-453390</wp:posOffset>
            </wp:positionV>
            <wp:extent cx="11112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-170815</wp:posOffset>
            </wp:positionV>
            <wp:extent cx="11112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11125" cy="8890"/>
                    </a:xfrm>
                    <a:prstGeom prst="rect">
                      <a:avLst/>
                    </a:prstGeom>
                    <a:noFill/>
                  </pic:spPr>
                </pic:pic>
              </a:graphicData>
            </a:graphic>
          </wp:anchor>
        </w:drawing>
      </w:r>
    </w:p>
    <w:p>
      <w:pPr>
        <w:spacing w:after="0" w:line="79" w:lineRule="exact"/>
        <w:rPr>
          <w:sz w:val="20"/>
          <w:szCs w:val="20"/>
          <w:color w:val="auto"/>
        </w:rPr>
      </w:pPr>
    </w:p>
    <w:p>
      <w:pPr>
        <w:ind w:left="380" w:hanging="372"/>
        <w:spacing w:after="0"/>
        <w:tabs>
          <w:tab w:leader="none" w:pos="380" w:val="left"/>
        </w:tabs>
        <w:numPr>
          <w:ilvl w:val="0"/>
          <w:numId w:val="5"/>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The change in Rental merchandise includes lease charge-offs and other merchandise losses.</w:t>
      </w:r>
    </w:p>
    <w:p>
      <w:pPr>
        <w:spacing w:after="0" w:line="52" w:lineRule="exact"/>
        <w:rPr>
          <w:rFonts w:ascii="Times New Roman" w:cs="Times New Roman" w:eastAsia="Times New Roman" w:hAnsi="Times New Roman"/>
          <w:sz w:val="17"/>
          <w:szCs w:val="17"/>
          <w:color w:val="auto"/>
          <w:vertAlign w:val="superscript"/>
        </w:rPr>
      </w:pPr>
    </w:p>
    <w:p>
      <w:pPr>
        <w:ind w:left="380" w:hanging="372"/>
        <w:spacing w:after="0"/>
        <w:tabs>
          <w:tab w:leader="none" w:pos="380" w:val="left"/>
        </w:tabs>
        <w:numPr>
          <w:ilvl w:val="0"/>
          <w:numId w:val="5"/>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Cash used for the nine months ended September 30, 2026 represents the 1</w:t>
      </w:r>
      <w:r>
        <w:rPr>
          <w:rFonts w:ascii="Times New Roman" w:cs="Times New Roman" w:eastAsia="Times New Roman" w:hAnsi="Times New Roman"/>
          <w:sz w:val="16"/>
          <w:szCs w:val="16"/>
          <w:color w:val="auto"/>
          <w:vertAlign w:val="superscript"/>
        </w:rPr>
        <w:t>st</w:t>
      </w:r>
      <w:r>
        <w:rPr>
          <w:rFonts w:ascii="Times New Roman" w:cs="Times New Roman" w:eastAsia="Times New Roman" w:hAnsi="Times New Roman"/>
          <w:sz w:val="13"/>
          <w:szCs w:val="13"/>
          <w:color w:val="auto"/>
        </w:rPr>
        <w:t xml:space="preserve"> installment payment of Deferred Consideration for the Brigit acquisition described further in Note 2.</w:t>
      </w:r>
    </w:p>
    <w:p>
      <w:pPr>
        <w:spacing w:after="0" w:line="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8" w:name="page9"/>
    <w:bookmarkEnd w:id="8"/>
    <w:p>
      <w:pPr>
        <w:jc w:val="center"/>
        <w:ind w:left="340" w:right="2640"/>
        <w:spacing w:after="0" w:line="278" w:lineRule="auto"/>
        <w:rPr>
          <w:sz w:val="20"/>
          <w:szCs w:val="20"/>
          <w:color w:val="auto"/>
        </w:rPr>
      </w:pPr>
      <w:r>
        <w:rPr>
          <w:rFonts w:ascii="Times New Roman" w:cs="Times New Roman" w:eastAsia="Times New Roman" w:hAnsi="Times New Roman"/>
          <w:sz w:val="18"/>
          <w:szCs w:val="18"/>
          <w:b w:val="1"/>
          <w:bCs w:val="1"/>
          <w:color w:val="auto"/>
        </w:rPr>
        <w:t>UPBOUND GROUP, INC. AND SUBSIDIARIES NOTES TO CONDENSED CONSOLIDATED FINANCIAL STATEMENTS (Unaudited)</w:t>
      </w: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Basis of Presentation</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interim condensed consolidated financial statements of Upbound Group, Inc. included herein have been prepared by us pursuant to the rules and regulations of the Securities and Exchange Commission (the “SEC”). Certain information and footnote disclosures normally included in financial statements prepared in accordance with U.S. generally accepted accounting principles (“GAAP”) have been condensed or omitted pursuant to the SEC’s rules and regulations, although we believe the disclosures are adequate to make the information presented not misleading. We suggest these financial statements be read in conjunction with the financial statements and notes included in our Annual Report on Form 10-K for the year ended December 31, 2025. In our opinion, the accompanying unaudited interim financial statements contain all adjustments, consisting only of those of a normal recurring nature, necessary to present fairly our results of operations and cash flows for the periods presented. The results of operations for the periods presented are not necessarily indicative of the results to be expected for the full year.</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preparing financial statements in conformity with U.S. generally accepted accounting principles, we are required to make estimates and assumptions that affect the reported amounts of assets and liabilities, the disclosure of contingent losses and liabilities at the date of the condensed consolidated financial statements, and the reported amounts of revenues and expenses during the reporting period. In applying accounting principles, we must often make individual estimates and assumptions regarding expected outcomes or uncertainties. Our estimates, judgments and assumptions are continually evaluated based on available information and experience. However, uncertainties, including those related to recent macroeconomic trends or other factors, may affect certain estimates and assumptions inherent in the financial reporting process, which may impact reported amounts of assets and liabilities in future periods and cause actual results to differ from those estimates.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 and Nature of Operations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financial statements included herein include the accounts of Upbound Group, Inc. and its direct and indirect subsidiaries. All intercompany accounts and transactions have been eliminated. Unless the context indicates otherwise, references to “Upbound Group, Inc.” refer only to Upbound Group, Inc., the parent, and references to the “Company,” “we,” “us” and “our” refer to the consolidated business operations of Upbound Group, Inc. and any or all of its direct and indirect subsidiaries. We currently report four operating segments: Acima, Rent-A-Center, Brigit and Mexico.</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Acima segment, which primarily operates in the United States and Puerto Rico, generally offers the lease-to-own transaction to consumers who do not qualify for traditional financing through staffed or unstaffed kiosks located within third-party retailer locations or other virtual options. In virtual locations, customers, either directly or with the assistance of a representative of the third-party retailer, initiate the lease-to-own transaction online in the retailers’ locations using our virtual solutions.</w:t>
      </w:r>
    </w:p>
    <w:p>
      <w:pPr>
        <w:spacing w:after="0" w:line="7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Rent-A-Center segment primarily consists of company-owned lease-to-own stores in the United States and Puerto Rico that lease durable goods to customers on a lease-to-own basis. In addition, we offer merchandise on an installment sales basis in certain of our stores operating under the names “Get It Now” and “Home Choice” in the states of Minnesota and Wisconsin. The Rent-A-Center segment also includes franchising operations that offer the sale of rental merchandise to our franchisees, who in turn offer the merchandise to the general public for rent or purchase under lease-to-own agreements consistent with our company-owned lease-to-own stores. We also receive royalties based on a percent of the franchisees' monthly gross revenues. Our Rent-A-Center segment operates through our company-owned and franchise stores, and e-commerce platforms through rentacenter.com, getitnowstores.com and homechoicestores.com.</w:t>
      </w:r>
    </w:p>
    <w:p>
      <w:pPr>
        <w:spacing w:after="0" w:line="8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Brigit segment, which operates in the United States, includes the operations of Bridge IT Inc., which was acquired on January 31, 2025 (the “Closing Date”). The Brigit segment, through mobile and web applications, offers various financial health products and tools to help customers improve their financial health and literacy, obtain early access to earned wages ("cash advances"), build their credit, and protect themselves from identity theft. Application products and tools are offered through various elective subscription tiers for which customers make monthly subscription payments. Customers also make payments for transaction fees to expedite customer cash advances. In addition, Brigit receives monthly payments from third-party marketplace partners for allowing the partners to market their products and services to Brigit customers via digital marketing space within the mobile application.</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Mexico segment consists of our company-owned stores in Mexico that lease durable goods to customers on a lease-to-own basis.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9" w:name="page10"/>
    <w:bookmarkEnd w:id="9"/>
    <w:p>
      <w:pPr>
        <w:jc w:val="center"/>
        <w:ind w:left="340" w:right="2100"/>
        <w:spacing w:after="0" w:line="278" w:lineRule="auto"/>
        <w:rPr>
          <w:sz w:val="20"/>
          <w:szCs w:val="20"/>
          <w:color w:val="auto"/>
        </w:rPr>
      </w:pPr>
      <w:r>
        <w:rPr>
          <w:rFonts w:ascii="Times New Roman" w:cs="Times New Roman" w:eastAsia="Times New Roman" w:hAnsi="Times New Roman"/>
          <w:sz w:val="18"/>
          <w:szCs w:val="18"/>
          <w:b w:val="1"/>
          <w:bCs w:val="1"/>
          <w:color w:val="auto"/>
        </w:rPr>
        <w:t>UPBOUND GROUP, INC. AND SUBSIDIARIES NOTES TO CONDENSED CONSOLIDATED FINANCIAL STATEMENTS - (Continued) (Unaudited)</w:t>
      </w: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Newly Adopted Accounting Pronouncements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July 2025, the FASB issued ASU 2025-05, Financial Instruments - Credit Losses (Topic 326), which amends the existing standard that refers to estimating expected credit losses on current accounts receivable and current contract assets arising from transactions under Topic 606. Under the new standard, public business entities may elect a practical expedient that assumes the current conditions as of the balance sheet date do not change for the remaining life of the asset when estimating expected credit losses. We adopted ASU 2025-05 effective January 1, 2026 on a prospective basis. The adoption did not have a material impact on our financial statements.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Acquisitions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Brigit Acquisition</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December 12, 2024, we entered into an Agreement and Plan of Merger (the “Merger Agreement”) with Fortuna Merger Sub, Inc., a Delaware corporation and wholly owned subsidiary of the Company (“Merger Sub”), Brigit, and Shareholder Representative Services LLC, solely in its capacity as the representative, agent and attorney-in-fact of Brigit’s securityholders, pursuant to which Merger Sub merged with and into Brigit (the “Merger”), with Brigit surviving the Merger as a wholly owned subsidiary of the Company. The Merger with Brigit, a leading holistic financial health technology company, is intended to accelerate Upbound’s strategy to provide technology-driven financial solutions to customers underserved by the traditional financial system. The Merger was completed on January 31, 2025 for total purchase consideration of approximately $395.4 million comprised of stock, cash and other consideration described further below.</w:t>
      </w:r>
    </w:p>
    <w:p>
      <w:pPr>
        <w:spacing w:after="0" w:line="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accordance with the Merger Agreement, we issued to the security holders of Brigit (the “Brigit Securityholders”) approximately 2.7 million shares of our common stock, par value $0.01 per share (the “Closing Stock Consideration”), with a value of $29.75 per share based on the volume-weighted average price of our common stock over the ten consecutive trading days ending on (and including) the trading day immediately prior to the Closing Date, and paid to them closing cash consideration of approximately $278.5 million (“Closing Cash Consideration”), excluding approximately $63.7 million in debt settlement payments and other transaction expenses.</w:t>
      </w:r>
    </w:p>
    <w:p>
      <w:pPr>
        <w:spacing w:after="0" w:line="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also entered into deferred cash award agreements with certain Brigit employees to replace their unvested Brigit stock options or unvested phantom awards, as applicable (“Replacement Awards”), each entitling the holder to receive an amount in cash upon vesting equal to the excess of the merger consideration per common share over the exercise price of the original award. The maximum amount payable pursuant to the Replacement Awards, approximately $7.8 million, which is included in the Closing Cash Consideration described above, was escrowed on the Closing Date and recorded to Prepaid and other assets in our Condensed Consolidated Balance Sheet. The Replacement Awards are subject to vesting conditions that are substantially similar to those of the original awards. They will be amortized over the remaining award vesting periods as compensation expense and recorded to other gains and charges in our unaudited Condensed Consolidated Statements of Operations.</w:t>
      </w:r>
    </w:p>
    <w:p>
      <w:pPr>
        <w:spacing w:after="0" w:line="8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Pursuant to the terms of the Merger Agreement, we will also pay the Brigit Securityholders $75 million, payable in multiple installments (the “Deferred Consideration”). The first installment of $37.5 million was paid during the nine months ended September 30, 2026 with remaining installments payable no later than 30 days following the second anniversary of the Closing Date. The payment of the Deferred Consideration is subject to acceleration if certain acceleration events specified in the Merger Agreement occur prior to the payment of the Deferred Consideration. The estimated fair value of the Deferred Consideration at the Closing Date was approximately $66.1 million, discounted to estimate the present value of the installment payments that will be made over a 2-year period as described above. The Brigit Securityholders may also receive up to $60 million in earnout payments based on the achievement of certain financial performance metrics for the Brigit business in 2026. The estimated fair value of the earnout payments at the Closing Date was approximately $10.6 million. The fair value of the earnout payments was estimated using a Monte Carlo simulation model based on our estimated long-range cash flow projections for the Brigit business.</w:t>
      </w:r>
    </w:p>
    <w:p>
      <w:pPr>
        <w:spacing w:after="0" w:line="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portion of Closing Stock Consideration issued to Brigit’s co-founders and certain of their respective affiliates (collectively, the “Co-Founders”) included approximately 1.3 million shares, valued at $39.1 million, subject to certain vesting restrictions over a two-year period from the Closing Date and other limitations set forth in a restricted stock agreement entered into with each such Co-Founder. The value of these shares is recognized as stock-based compensation expense subject to ASC Topic 718, “Stock-based Compensation”, over the required vesting period, and recorded to other gains and charges in our unaudited Condensed Consolidated Statements of Operations.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0" w:name="page11"/>
    <w:bookmarkEnd w:id="10"/>
    <w:p>
      <w:pPr>
        <w:jc w:val="center"/>
        <w:ind w:left="340" w:right="2100"/>
        <w:spacing w:after="0" w:line="278" w:lineRule="auto"/>
        <w:rPr>
          <w:sz w:val="20"/>
          <w:szCs w:val="20"/>
          <w:color w:val="auto"/>
        </w:rPr>
      </w:pPr>
      <w:r>
        <w:rPr>
          <w:rFonts w:ascii="Times New Roman" w:cs="Times New Roman" w:eastAsia="Times New Roman" w:hAnsi="Times New Roman"/>
          <w:sz w:val="18"/>
          <w:szCs w:val="18"/>
          <w:b w:val="1"/>
          <w:bCs w:val="1"/>
          <w:color w:val="auto"/>
        </w:rPr>
        <w:t>UPBOUND GROUP, INC. AND SUBSIDIARIES NOTES TO CONDENSED CONSOLIDATED FINANCIAL STATEMENTS - (Continued) (Unaudited)</w:t>
      </w:r>
    </w:p>
    <w:p>
      <w:pPr>
        <w:spacing w:after="0" w:line="200" w:lineRule="exact"/>
        <w:rPr>
          <w:sz w:val="20"/>
          <w:szCs w:val="20"/>
          <w:color w:val="auto"/>
        </w:rPr>
      </w:pPr>
    </w:p>
    <w:p>
      <w:pPr>
        <w:spacing w:after="0" w:line="29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Assets acquired and liabilities assumed in connection with the acquisition were recorded at their fair values. The following table provides the estimated fair values of the identifiable assets acquired and liabilities assumed as of the acquisition date:</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02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62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January 31, 2025</w:t>
            </w:r>
          </w:p>
        </w:tc>
      </w:tr>
      <w:tr>
        <w:trPr>
          <w:trHeight w:val="209"/>
        </w:trPr>
        <w:tc>
          <w:tcPr>
            <w:tcW w:w="3020" w:type="dxa"/>
            <w:vAlign w:val="bottom"/>
            <w:shd w:val="clear" w:color="auto" w:fill="CFF0FC"/>
          </w:tcPr>
          <w:p>
            <w:pPr>
              <w:spacing w:after="0" w:line="210" w:lineRule="exact"/>
              <w:rPr>
                <w:sz w:val="20"/>
                <w:szCs w:val="20"/>
                <w:color w:val="auto"/>
              </w:rPr>
            </w:pPr>
            <w:r>
              <w:rPr>
                <w:rFonts w:ascii="Times New Roman" w:cs="Times New Roman" w:eastAsia="Times New Roman" w:hAnsi="Times New Roman"/>
                <w:sz w:val="18"/>
                <w:szCs w:val="18"/>
                <w:color w:val="auto"/>
              </w:rPr>
              <w:t>Aggregate cash consideration</w:t>
            </w:r>
            <w:r>
              <w:rPr>
                <w:rFonts w:ascii="Times New Roman" w:cs="Times New Roman" w:eastAsia="Times New Roman" w:hAnsi="Times New Roman"/>
                <w:sz w:val="24"/>
                <w:szCs w:val="24"/>
                <w:color w:val="auto"/>
                <w:vertAlign w:val="superscript"/>
              </w:rPr>
              <w:t>(1)</w:t>
            </w:r>
          </w:p>
        </w:tc>
        <w:tc>
          <w:tcPr>
            <w:tcW w:w="648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277,668</w:t>
            </w:r>
          </w:p>
        </w:tc>
      </w:tr>
      <w:tr>
        <w:trPr>
          <w:trHeight w:val="216"/>
        </w:trPr>
        <w:tc>
          <w:tcPr>
            <w:tcW w:w="302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Aggregate stock consideration</w:t>
            </w:r>
            <w:r>
              <w:rPr>
                <w:rFonts w:ascii="Times New Roman" w:cs="Times New Roman" w:eastAsia="Times New Roman" w:hAnsi="Times New Roman"/>
                <w:sz w:val="24"/>
                <w:szCs w:val="24"/>
                <w:color w:val="auto"/>
                <w:vertAlign w:val="superscript"/>
              </w:rPr>
              <w:t>(2)</w:t>
            </w:r>
          </w:p>
        </w:tc>
        <w:tc>
          <w:tcPr>
            <w:tcW w:w="6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41,019</w:t>
            </w:r>
          </w:p>
        </w:tc>
      </w:tr>
      <w:tr>
        <w:trPr>
          <w:trHeight w:val="216"/>
        </w:trPr>
        <w:tc>
          <w:tcPr>
            <w:tcW w:w="3020" w:type="dxa"/>
            <w:vAlign w:val="bottom"/>
            <w:tcBorders>
              <w:bottom w:val="single" w:sz="8" w:color="CFF0FC"/>
            </w:tcBorders>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Other consideration</w:t>
            </w:r>
            <w:r>
              <w:rPr>
                <w:rFonts w:ascii="Times New Roman" w:cs="Times New Roman" w:eastAsia="Times New Roman" w:hAnsi="Times New Roman"/>
                <w:sz w:val="24"/>
                <w:szCs w:val="24"/>
                <w:color w:val="auto"/>
                <w:vertAlign w:val="superscript"/>
              </w:rPr>
              <w:t>(3)</w:t>
            </w:r>
          </w:p>
        </w:tc>
        <w:tc>
          <w:tcPr>
            <w:tcW w:w="62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74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76,691</w:t>
            </w:r>
          </w:p>
        </w:tc>
      </w:tr>
      <w:tr>
        <w:trPr>
          <w:trHeight w:val="210"/>
        </w:trPr>
        <w:tc>
          <w:tcPr>
            <w:tcW w:w="3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purchase consideration</w:t>
            </w:r>
          </w:p>
        </w:tc>
        <w:tc>
          <w:tcPr>
            <w:tcW w:w="6220" w:type="dxa"/>
            <w:vAlign w:val="bottom"/>
          </w:tcPr>
          <w:p>
            <w:pPr>
              <w:spacing w:after="0"/>
              <w:rPr>
                <w:sz w:val="18"/>
                <w:szCs w:val="18"/>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395,378</w:t>
            </w:r>
          </w:p>
        </w:tc>
      </w:tr>
      <w:tr>
        <w:trPr>
          <w:trHeight w:val="209"/>
        </w:trPr>
        <w:tc>
          <w:tcPr>
            <w:tcW w:w="3020" w:type="dxa"/>
            <w:vAlign w:val="bottom"/>
            <w:shd w:val="clear" w:color="auto" w:fill="CFF0FC"/>
          </w:tcPr>
          <w:p>
            <w:pPr>
              <w:spacing w:after="0"/>
              <w:rPr>
                <w:sz w:val="18"/>
                <w:szCs w:val="18"/>
                <w:color w:val="auto"/>
              </w:rPr>
            </w:pPr>
          </w:p>
        </w:tc>
        <w:tc>
          <w:tcPr>
            <w:tcW w:w="6480" w:type="dxa"/>
            <w:vAlign w:val="bottom"/>
            <w:gridSpan w:val="2"/>
            <w:shd w:val="clear" w:color="auto" w:fill="CFF0FC"/>
          </w:tcPr>
          <w:p>
            <w:pPr>
              <w:jc w:val="right"/>
              <w:ind w:right="4090"/>
              <w:spacing w:after="0"/>
              <w:rPr>
                <w:sz w:val="20"/>
                <w:szCs w:val="20"/>
                <w:color w:val="auto"/>
              </w:rPr>
            </w:pPr>
            <w:r>
              <w:rPr>
                <w:rFonts w:ascii="Times New Roman" w:cs="Times New Roman" w:eastAsia="Times New Roman" w:hAnsi="Times New Roman"/>
                <w:sz w:val="18"/>
                <w:szCs w:val="18"/>
                <w:color w:val="auto"/>
              </w:rPr>
              <w:t>ASSETS ACQUIRED</w:t>
            </w:r>
          </w:p>
        </w:tc>
        <w:tc>
          <w:tcPr>
            <w:tcW w:w="1740" w:type="dxa"/>
            <w:vAlign w:val="bottom"/>
            <w:shd w:val="clear" w:color="auto" w:fill="CFF0FC"/>
          </w:tcPr>
          <w:p>
            <w:pPr>
              <w:spacing w:after="0"/>
              <w:rPr>
                <w:sz w:val="18"/>
                <w:szCs w:val="18"/>
                <w:color w:val="auto"/>
              </w:rPr>
            </w:pPr>
          </w:p>
        </w:tc>
      </w:tr>
      <w:tr>
        <w:trPr>
          <w:trHeight w:val="216"/>
        </w:trPr>
        <w:tc>
          <w:tcPr>
            <w:tcW w:w="302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Receivables, net</w:t>
            </w:r>
            <w:r>
              <w:rPr>
                <w:rFonts w:ascii="Times New Roman" w:cs="Times New Roman" w:eastAsia="Times New Roman" w:hAnsi="Times New Roman"/>
                <w:sz w:val="24"/>
                <w:szCs w:val="24"/>
                <w:color w:val="auto"/>
                <w:vertAlign w:val="superscript"/>
              </w:rPr>
              <w:t>(4)</w:t>
            </w:r>
          </w:p>
        </w:tc>
        <w:tc>
          <w:tcPr>
            <w:tcW w:w="64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44,470</w:t>
            </w:r>
          </w:p>
        </w:tc>
      </w:tr>
      <w:tr>
        <w:trPr>
          <w:trHeight w:val="216"/>
        </w:trPr>
        <w:tc>
          <w:tcPr>
            <w:tcW w:w="3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6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74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2,672</w:t>
            </w:r>
          </w:p>
        </w:tc>
      </w:tr>
      <w:tr>
        <w:trPr>
          <w:trHeight w:val="216"/>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Property assets</w:t>
            </w:r>
          </w:p>
        </w:tc>
        <w:tc>
          <w:tcPr>
            <w:tcW w:w="6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65,311</w:t>
            </w:r>
          </w:p>
        </w:tc>
      </w:tr>
      <w:tr>
        <w:trPr>
          <w:trHeight w:val="216"/>
        </w:trPr>
        <w:tc>
          <w:tcPr>
            <w:tcW w:w="3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6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74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850</w:t>
            </w:r>
          </w:p>
        </w:tc>
      </w:tr>
      <w:tr>
        <w:trPr>
          <w:trHeight w:val="216"/>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6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196,866</w:t>
            </w:r>
          </w:p>
        </w:tc>
      </w:tr>
      <w:tr>
        <w:trPr>
          <w:trHeight w:val="216"/>
        </w:trPr>
        <w:tc>
          <w:tcPr>
            <w:tcW w:w="30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intangible assets</w:t>
            </w:r>
          </w:p>
        </w:tc>
        <w:tc>
          <w:tcPr>
            <w:tcW w:w="62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74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152,300</w:t>
            </w:r>
          </w:p>
        </w:tc>
      </w:tr>
      <w:tr>
        <w:trPr>
          <w:trHeight w:val="210"/>
        </w:trPr>
        <w:tc>
          <w:tcPr>
            <w:tcW w:w="3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assets acquired</w:t>
            </w:r>
          </w:p>
        </w:tc>
        <w:tc>
          <w:tcPr>
            <w:tcW w:w="6220" w:type="dxa"/>
            <w:vAlign w:val="bottom"/>
          </w:tcPr>
          <w:p>
            <w:pPr>
              <w:spacing w:after="0"/>
              <w:rPr>
                <w:sz w:val="18"/>
                <w:szCs w:val="18"/>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462,469</w:t>
            </w:r>
          </w:p>
        </w:tc>
      </w:tr>
      <w:tr>
        <w:trPr>
          <w:trHeight w:val="209"/>
        </w:trPr>
        <w:tc>
          <w:tcPr>
            <w:tcW w:w="3020" w:type="dxa"/>
            <w:vAlign w:val="bottom"/>
            <w:shd w:val="clear" w:color="auto" w:fill="CFF0FC"/>
          </w:tcPr>
          <w:p>
            <w:pPr>
              <w:spacing w:after="0"/>
              <w:rPr>
                <w:sz w:val="18"/>
                <w:szCs w:val="18"/>
                <w:color w:val="auto"/>
              </w:rPr>
            </w:pPr>
          </w:p>
        </w:tc>
        <w:tc>
          <w:tcPr>
            <w:tcW w:w="6480" w:type="dxa"/>
            <w:vAlign w:val="bottom"/>
            <w:gridSpan w:val="2"/>
            <w:shd w:val="clear" w:color="auto" w:fill="CFF0FC"/>
          </w:tcPr>
          <w:p>
            <w:pPr>
              <w:jc w:val="right"/>
              <w:ind w:right="3930"/>
              <w:spacing w:after="0"/>
              <w:rPr>
                <w:sz w:val="20"/>
                <w:szCs w:val="20"/>
                <w:color w:val="auto"/>
              </w:rPr>
            </w:pPr>
            <w:r>
              <w:rPr>
                <w:rFonts w:ascii="Times New Roman" w:cs="Times New Roman" w:eastAsia="Times New Roman" w:hAnsi="Times New Roman"/>
                <w:sz w:val="18"/>
                <w:szCs w:val="18"/>
                <w:color w:val="auto"/>
              </w:rPr>
              <w:t>LIABILITIES ASSUMED</w:t>
            </w:r>
          </w:p>
        </w:tc>
        <w:tc>
          <w:tcPr>
            <w:tcW w:w="1740" w:type="dxa"/>
            <w:vAlign w:val="bottom"/>
            <w:shd w:val="clear" w:color="auto" w:fill="CFF0FC"/>
          </w:tcPr>
          <w:p>
            <w:pPr>
              <w:spacing w:after="0"/>
              <w:rPr>
                <w:sz w:val="18"/>
                <w:szCs w:val="18"/>
                <w:color w:val="auto"/>
              </w:rPr>
            </w:pPr>
          </w:p>
        </w:tc>
      </w:tr>
      <w:tr>
        <w:trPr>
          <w:trHeight w:val="216"/>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 - trade</w:t>
            </w:r>
          </w:p>
        </w:tc>
        <w:tc>
          <w:tcPr>
            <w:tcW w:w="6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17,989</w:t>
            </w:r>
          </w:p>
        </w:tc>
      </w:tr>
      <w:tr>
        <w:trPr>
          <w:trHeight w:val="216"/>
        </w:trPr>
        <w:tc>
          <w:tcPr>
            <w:tcW w:w="3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liabilities</w:t>
            </w:r>
          </w:p>
        </w:tc>
        <w:tc>
          <w:tcPr>
            <w:tcW w:w="6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74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3,877</w:t>
            </w:r>
          </w:p>
        </w:tc>
      </w:tr>
      <w:tr>
        <w:trPr>
          <w:trHeight w:val="216"/>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6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850</w:t>
            </w:r>
          </w:p>
        </w:tc>
      </w:tr>
      <w:tr>
        <w:trPr>
          <w:trHeight w:val="216"/>
        </w:trPr>
        <w:tc>
          <w:tcPr>
            <w:tcW w:w="30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62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74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44,375</w:t>
            </w:r>
          </w:p>
        </w:tc>
      </w:tr>
      <w:tr>
        <w:trPr>
          <w:trHeight w:val="209"/>
        </w:trPr>
        <w:tc>
          <w:tcPr>
            <w:tcW w:w="3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liabilities assumed</w:t>
            </w:r>
          </w:p>
        </w:tc>
        <w:tc>
          <w:tcPr>
            <w:tcW w:w="62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67,091</w:t>
            </w:r>
          </w:p>
        </w:tc>
      </w:tr>
      <w:tr>
        <w:trPr>
          <w:trHeight w:val="209"/>
        </w:trPr>
        <w:tc>
          <w:tcPr>
            <w:tcW w:w="30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assets acquired</w:t>
            </w:r>
          </w:p>
        </w:tc>
        <w:tc>
          <w:tcPr>
            <w:tcW w:w="62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395,378</w:t>
            </w:r>
          </w:p>
        </w:tc>
      </w:tr>
    </w:tbl>
    <w:p>
      <w:pPr>
        <w:spacing w:after="0" w:line="184" w:lineRule="exact"/>
        <w:rPr>
          <w:sz w:val="20"/>
          <w:szCs w:val="20"/>
          <w:color w:val="auto"/>
        </w:rPr>
      </w:pPr>
    </w:p>
    <w:p>
      <w:pPr>
        <w:ind w:left="180" w:hanging="172"/>
        <w:spacing w:after="0" w:line="208" w:lineRule="auto"/>
        <w:tabs>
          <w:tab w:leader="none" w:pos="180" w:val="left"/>
        </w:tabs>
        <w:numPr>
          <w:ilvl w:val="0"/>
          <w:numId w:val="6"/>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Aggregate cash consideration excludes $7.8 million in Replacement Awards described above and $58.6 million in cash acquired, and includes cash paid to settle Brigit's outstanding debt and loan balances and other transaction expenses of $63.7 million, and post-closing net working capital adjustments of $1.7 million.</w:t>
      </w:r>
    </w:p>
    <w:p>
      <w:pPr>
        <w:spacing w:after="0" w:line="7" w:lineRule="exact"/>
        <w:rPr>
          <w:rFonts w:ascii="Times New Roman" w:cs="Times New Roman" w:eastAsia="Times New Roman" w:hAnsi="Times New Roman"/>
          <w:sz w:val="17"/>
          <w:szCs w:val="17"/>
          <w:color w:val="auto"/>
          <w:vertAlign w:val="superscript"/>
        </w:rPr>
      </w:pPr>
    </w:p>
    <w:p>
      <w:pPr>
        <w:ind w:left="180" w:hanging="172"/>
        <w:spacing w:after="0"/>
        <w:tabs>
          <w:tab w:leader="none" w:pos="180" w:val="left"/>
        </w:tabs>
        <w:numPr>
          <w:ilvl w:val="0"/>
          <w:numId w:val="6"/>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Aggregate stock consideration excludes approximately 1.3 million shares valued at approximately $39.1 million subject to certain vesting restrictions, as described further above.</w:t>
      </w:r>
    </w:p>
    <w:p>
      <w:pPr>
        <w:spacing w:after="0" w:line="78" w:lineRule="exact"/>
        <w:rPr>
          <w:rFonts w:ascii="Times New Roman" w:cs="Times New Roman" w:eastAsia="Times New Roman" w:hAnsi="Times New Roman"/>
          <w:sz w:val="17"/>
          <w:szCs w:val="17"/>
          <w:color w:val="auto"/>
          <w:vertAlign w:val="superscript"/>
        </w:rPr>
      </w:pPr>
    </w:p>
    <w:p>
      <w:pPr>
        <w:ind w:left="180" w:right="20" w:hanging="172"/>
        <w:spacing w:after="0" w:line="208" w:lineRule="auto"/>
        <w:tabs>
          <w:tab w:leader="none" w:pos="180" w:val="left"/>
        </w:tabs>
        <w:numPr>
          <w:ilvl w:val="0"/>
          <w:numId w:val="6"/>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Includes the fair value of Deferred Consideration and earnout payments described above, which were not included in Closing Cash Consideration paid at the time of closing but are paid out in subsequent periods pursuant to the terms of the Merger Agreement. As described above, the first installment payment of $37.5 million of Deferred Consideration was made during the nine months ended September 30, 2026.</w:t>
      </w:r>
    </w:p>
    <w:p>
      <w:pPr>
        <w:spacing w:after="0" w:line="7" w:lineRule="exact"/>
        <w:rPr>
          <w:rFonts w:ascii="Times New Roman" w:cs="Times New Roman" w:eastAsia="Times New Roman" w:hAnsi="Times New Roman"/>
          <w:sz w:val="17"/>
          <w:szCs w:val="17"/>
          <w:color w:val="auto"/>
          <w:vertAlign w:val="superscript"/>
        </w:rPr>
      </w:pPr>
    </w:p>
    <w:p>
      <w:pPr>
        <w:ind w:left="180" w:hanging="172"/>
        <w:spacing w:after="0"/>
        <w:tabs>
          <w:tab w:leader="none" w:pos="180" w:val="left"/>
        </w:tabs>
        <w:numPr>
          <w:ilvl w:val="0"/>
          <w:numId w:val="6"/>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Includes gross contractual receivables of $43.8 million related to customer cash advances, of which $4.5 million were estimated to be uncollectible as of the Closing Date.</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carrying values for certain assets and liabilities assumed as part of the acquisition, including receivables, prepaid expenses and other assets, accounts payable and accrued liabilities were considered equivalent to and recorded as fair value, as of the date of acquisition, due to the short-term nature of these balances. Operating lease right-of-use assets and liabilities were recorded as the discounted value of future obligations in accordance with ASC Topic 842, “Leases”. The fair value measurements for acquired intangible assets and developed technology were primarily based on significant unobservable inputs (Level 3) developed using company-specific information. Certain fair values were determined based on an independent valuation of the net assets acquired, including $152.3 million of identifiable intangible assets with an estimated weighted average useful life of nine years, as follows: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20" w:type="dxa"/>
            <w:vAlign w:val="bottom"/>
            <w:vMerge w:val="restart"/>
          </w:tcPr>
          <w:p>
            <w:pPr>
              <w:ind w:left="3420"/>
              <w:spacing w:after="0"/>
              <w:rPr>
                <w:sz w:val="20"/>
                <w:szCs w:val="20"/>
                <w:color w:val="auto"/>
              </w:rPr>
            </w:pPr>
            <w:r>
              <w:rPr>
                <w:rFonts w:ascii="Times New Roman" w:cs="Times New Roman" w:eastAsia="Times New Roman" w:hAnsi="Times New Roman"/>
                <w:sz w:val="14"/>
                <w:szCs w:val="14"/>
                <w:b w:val="1"/>
                <w:bCs w:val="1"/>
                <w:color w:val="auto"/>
              </w:rPr>
              <w:t>Asset Class</w:t>
            </w:r>
          </w:p>
        </w:tc>
        <w:tc>
          <w:tcPr>
            <w:tcW w:w="1920" w:type="dxa"/>
            <w:vAlign w:val="bottom"/>
          </w:tcPr>
          <w:p>
            <w:pPr>
              <w:spacing w:after="0"/>
              <w:rPr>
                <w:sz w:val="13"/>
                <w:szCs w:val="13"/>
                <w:color w:val="auto"/>
              </w:rPr>
            </w:pPr>
          </w:p>
        </w:tc>
        <w:tc>
          <w:tcPr>
            <w:tcW w:w="1620" w:type="dxa"/>
            <w:vAlign w:val="bottom"/>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Estimated Fair Value</w:t>
            </w:r>
          </w:p>
        </w:tc>
        <w:tc>
          <w:tcPr>
            <w:tcW w:w="1780" w:type="dxa"/>
            <w:vAlign w:val="bottom"/>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Estimated Remaining</w:t>
            </w:r>
          </w:p>
        </w:tc>
        <w:tc>
          <w:tcPr>
            <w:tcW w:w="0" w:type="dxa"/>
            <w:vAlign w:val="bottom"/>
          </w:tcPr>
          <w:p>
            <w:pPr>
              <w:spacing w:after="0"/>
              <w:rPr>
                <w:sz w:val="1"/>
                <w:szCs w:val="1"/>
                <w:color w:val="auto"/>
              </w:rPr>
            </w:pPr>
          </w:p>
        </w:tc>
      </w:tr>
      <w:tr>
        <w:trPr>
          <w:trHeight w:val="173"/>
        </w:trPr>
        <w:tc>
          <w:tcPr>
            <w:tcW w:w="5920" w:type="dxa"/>
            <w:vAlign w:val="bottom"/>
            <w:tcBorders>
              <w:bottom w:val="single" w:sz="8" w:color="auto"/>
            </w:tcBorders>
            <w:vMerge w:val="continue"/>
          </w:tcPr>
          <w:p>
            <w:pPr>
              <w:spacing w:after="0"/>
              <w:rPr>
                <w:sz w:val="15"/>
                <w:szCs w:val="15"/>
                <w:color w:val="auto"/>
              </w:rPr>
            </w:pPr>
          </w:p>
        </w:tc>
        <w:tc>
          <w:tcPr>
            <w:tcW w:w="192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7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Useful Life (in years)</w:t>
            </w:r>
          </w:p>
        </w:tc>
        <w:tc>
          <w:tcPr>
            <w:tcW w:w="0" w:type="dxa"/>
            <w:vAlign w:val="bottom"/>
          </w:tcPr>
          <w:p>
            <w:pPr>
              <w:spacing w:after="0"/>
              <w:rPr>
                <w:sz w:val="1"/>
                <w:szCs w:val="1"/>
                <w:color w:val="auto"/>
              </w:rPr>
            </w:pPr>
          </w:p>
        </w:tc>
      </w:tr>
      <w:tr>
        <w:trPr>
          <w:trHeight w:val="210"/>
        </w:trPr>
        <w:tc>
          <w:tcPr>
            <w:tcW w:w="5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Customer contracts</w:t>
            </w:r>
          </w:p>
        </w:tc>
        <w:tc>
          <w:tcPr>
            <w:tcW w:w="1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8"/>
                <w:szCs w:val="18"/>
                <w:color w:val="auto"/>
              </w:rPr>
              <w:t>144,500</w:t>
            </w:r>
          </w:p>
        </w:tc>
        <w:tc>
          <w:tcPr>
            <w:tcW w:w="17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34"/>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Trade name</w:t>
            </w:r>
          </w:p>
        </w:tc>
        <w:tc>
          <w:tcPr>
            <w:tcW w:w="1920" w:type="dxa"/>
            <w:vAlign w:val="bottom"/>
          </w:tcPr>
          <w:p>
            <w:pPr>
              <w:spacing w:after="0"/>
              <w:rPr>
                <w:sz w:val="20"/>
                <w:szCs w:val="20"/>
                <w:color w:val="auto"/>
              </w:rPr>
            </w:pPr>
          </w:p>
        </w:tc>
        <w:tc>
          <w:tcPr>
            <w:tcW w:w="1620" w:type="dxa"/>
            <w:vAlign w:val="bottom"/>
          </w:tcPr>
          <w:p>
            <w:pPr>
              <w:jc w:val="right"/>
              <w:ind w:right="99"/>
              <w:spacing w:after="0"/>
              <w:rPr>
                <w:sz w:val="20"/>
                <w:szCs w:val="20"/>
                <w:color w:val="auto"/>
              </w:rPr>
            </w:pPr>
            <w:r>
              <w:rPr>
                <w:rFonts w:ascii="Times New Roman" w:cs="Times New Roman" w:eastAsia="Times New Roman" w:hAnsi="Times New Roman"/>
                <w:sz w:val="18"/>
                <w:szCs w:val="18"/>
                <w:color w:val="auto"/>
              </w:rPr>
              <w:t>7,800</w:t>
            </w:r>
          </w:p>
        </w:tc>
        <w:tc>
          <w:tcPr>
            <w:tcW w:w="178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bl>
    <w:p>
      <w:pPr>
        <w:spacing w:after="0" w:line="15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Developed technology, included in Property assets, net, in line with our accounting policies, was also acquired with a value of $65.1 million and an estimated remaining useful life of seven years. The fair value for these intangibles and developed technology were estimated using common industry valuation methods for similar asset types, including the relief-from-royalty, excess earnings and replacement cost methods using significant unobservable inputs (level 3) based on the Company's historical financial results, cost estimates and projected future cash flows discounted by an estimated weighted average cost of capital.</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we recorded goodwill of $196.9 million in our Brigit operating segment, which consists of the excess of the net purchase price over the fair value of the net assets acquired. Goodwill represents expected cost and revenue synergies and other benefits expected to result within our financial health business from the acquisition of Brigit.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Brigit’s results of operations are reflected in our unaudited Condensed Consolidated Statements of Operations from the Closing Date.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1" w:name="page12"/>
    <w:bookmarkEnd w:id="11"/>
    <w:p>
      <w:pPr>
        <w:jc w:val="center"/>
        <w:ind w:left="340" w:right="2100"/>
        <w:spacing w:after="0" w:line="278" w:lineRule="auto"/>
        <w:rPr>
          <w:sz w:val="20"/>
          <w:szCs w:val="20"/>
          <w:color w:val="auto"/>
        </w:rPr>
      </w:pPr>
      <w:r>
        <w:rPr>
          <w:rFonts w:ascii="Times New Roman" w:cs="Times New Roman" w:eastAsia="Times New Roman" w:hAnsi="Times New Roman"/>
          <w:sz w:val="18"/>
          <w:szCs w:val="18"/>
          <w:b w:val="1"/>
          <w:bCs w:val="1"/>
          <w:color w:val="auto"/>
        </w:rPr>
        <w:t>UPBOUND GROUP, INC. AND SUBSIDIARIES NOTES TO CONDENSED CONSOLIDATED FINANCIAL STATEMENTS - (Continued) (Unaudited)</w:t>
      </w:r>
    </w:p>
    <w:p>
      <w:pPr>
        <w:spacing w:after="0" w:line="200" w:lineRule="exact"/>
        <w:rPr>
          <w:sz w:val="20"/>
          <w:szCs w:val="20"/>
          <w:color w:val="auto"/>
        </w:rPr>
      </w:pPr>
    </w:p>
    <w:p>
      <w:pPr>
        <w:spacing w:after="0" w:line="29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second quarter of 2025, we recorded adjustments to certain assets acquired and liabilities assumed related to post-closing updates in net working capital and adjustments to deferred income taxes resulting in an overall decrease to goodwill of approximately $1.3 million. The purchase price allocation for the Brigit acquisition was complete as of December 31, 2025.</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this acquisition, we recognized approximately $6.7 million in acquisition-related expenses including expenses related to legal, professional and banking transaction fees, during the nine months ended September 30, 2025. These costs were included in other gains and charges in our unaudited Condensed Consolidated Statements of Operations.</w:t>
      </w:r>
    </w:p>
    <w:p>
      <w:pPr>
        <w:spacing w:after="0" w:line="6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following unaudited pro forma combined results of operations present our financial results as if the acquisition of Brigit had been completed on January 1, 2024. These unaudited pro forma results may not necessarily reflect the actual results of operations that would have been achieved, nor are they necessarily indicative of future results of operations. The unaudited pro forma information reflects step-up and step-down adjustments for depreciation and amortization of $1.8 million for the fair value of the assets acquired, compensation expense of $(3.6) million as a result of Closing Stock Consideration and Replacement Awards subject to vesting provisions, interest expense of $1.4 million due to the elimination of historical debt, accreted interest of $0.3 million related to the Deferred Consideration, and an adjustment to income tax expense of $1.7 million for the nine months ended September 30, 2025. In addition, pro forma net income for the nine months ended September 30, 2025 has been adjusted to reflect transaction expenses incurred of $22.0 million as of January 1, 2024. The unaudited pro forma financial information is as follows:</w:t>
      </w:r>
    </w:p>
    <w:tbl>
      <w:tblPr>
        <w:tblLayout w:type="fixed"/>
        <w:tblInd w:w="0" w:type="dxa"/>
        <w:tblCellMar>
          <w:top w:w="0" w:type="dxa"/>
          <w:left w:w="0" w:type="dxa"/>
          <w:bottom w:w="0" w:type="dxa"/>
          <w:right w:w="0" w:type="dxa"/>
        </w:tblCellMar>
      </w:tblPr>
      <w:tr>
        <w:trPr>
          <w:trHeight w:val="131"/>
        </w:trPr>
        <w:tc>
          <w:tcPr>
            <w:tcW w:w="6760" w:type="dxa"/>
            <w:vAlign w:val="bottom"/>
          </w:tcPr>
          <w:p>
            <w:pPr>
              <w:spacing w:after="0"/>
              <w:rPr>
                <w:sz w:val="11"/>
                <w:szCs w:val="11"/>
                <w:color w:val="auto"/>
              </w:rPr>
            </w:pPr>
          </w:p>
        </w:tc>
        <w:tc>
          <w:tcPr>
            <w:tcW w:w="2140" w:type="dxa"/>
            <w:vAlign w:val="bottom"/>
            <w:gridSpan w:val="2"/>
          </w:tcPr>
          <w:p>
            <w:pPr>
              <w:spacing w:after="0" w:line="131" w:lineRule="exact"/>
              <w:rPr>
                <w:sz w:val="20"/>
                <w:szCs w:val="20"/>
                <w:color w:val="auto"/>
              </w:rPr>
            </w:pPr>
            <w:r>
              <w:rPr>
                <w:rFonts w:ascii="Times New Roman" w:cs="Times New Roman" w:eastAsia="Times New Roman" w:hAnsi="Times New Roman"/>
                <w:sz w:val="14"/>
                <w:szCs w:val="14"/>
                <w:b w:val="1"/>
                <w:bCs w:val="1"/>
                <w:color w:val="auto"/>
              </w:rPr>
              <w:t>Three Months Ended September</w:t>
            </w:r>
          </w:p>
        </w:tc>
        <w:tc>
          <w:tcPr>
            <w:tcW w:w="220" w:type="dxa"/>
            <w:vAlign w:val="bottom"/>
          </w:tcPr>
          <w:p>
            <w:pPr>
              <w:spacing w:after="0"/>
              <w:rPr>
                <w:sz w:val="11"/>
                <w:szCs w:val="11"/>
                <w:color w:val="auto"/>
              </w:rPr>
            </w:pPr>
          </w:p>
        </w:tc>
        <w:tc>
          <w:tcPr>
            <w:tcW w:w="2120" w:type="dxa"/>
            <w:vAlign w:val="bottom"/>
            <w:gridSpan w:val="2"/>
          </w:tcPr>
          <w:p>
            <w:pPr>
              <w:ind w:left="20"/>
              <w:spacing w:after="0" w:line="131" w:lineRule="exact"/>
              <w:rPr>
                <w:sz w:val="20"/>
                <w:szCs w:val="20"/>
                <w:color w:val="auto"/>
              </w:rPr>
            </w:pPr>
            <w:r>
              <w:rPr>
                <w:rFonts w:ascii="Times New Roman" w:cs="Times New Roman" w:eastAsia="Times New Roman" w:hAnsi="Times New Roman"/>
                <w:sz w:val="14"/>
                <w:szCs w:val="14"/>
                <w:b w:val="1"/>
                <w:bCs w:val="1"/>
                <w:color w:val="auto"/>
              </w:rPr>
              <w:t>Nine Months Ended September</w:t>
            </w:r>
          </w:p>
        </w:tc>
        <w:tc>
          <w:tcPr>
            <w:tcW w:w="0" w:type="dxa"/>
            <w:vAlign w:val="bottom"/>
          </w:tcPr>
          <w:p>
            <w:pPr>
              <w:spacing w:after="0"/>
              <w:rPr>
                <w:sz w:val="1"/>
                <w:szCs w:val="1"/>
                <w:color w:val="auto"/>
              </w:rPr>
            </w:pPr>
          </w:p>
        </w:tc>
      </w:tr>
      <w:tr>
        <w:trPr>
          <w:trHeight w:val="173"/>
        </w:trPr>
        <w:tc>
          <w:tcPr>
            <w:tcW w:w="676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48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tcPr>
          <w:p>
            <w:pPr>
              <w:jc w:val="right"/>
              <w:ind w:right="959"/>
              <w:spacing w:after="0"/>
              <w:rPr>
                <w:sz w:val="20"/>
                <w:szCs w:val="20"/>
                <w:color w:val="auto"/>
              </w:rPr>
            </w:pPr>
            <w:r>
              <w:rPr>
                <w:rFonts w:ascii="Times New Roman" w:cs="Times New Roman" w:eastAsia="Times New Roman" w:hAnsi="Times New Roman"/>
                <w:sz w:val="14"/>
                <w:szCs w:val="14"/>
                <w:b w:val="1"/>
                <w:bCs w:val="1"/>
                <w:color w:val="auto"/>
              </w:rPr>
              <w:t>30,</w:t>
            </w:r>
          </w:p>
        </w:tc>
        <w:tc>
          <w:tcPr>
            <w:tcW w:w="2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jc w:val="right"/>
              <w:ind w:right="959"/>
              <w:spacing w:after="0"/>
              <w:rPr>
                <w:sz w:val="20"/>
                <w:szCs w:val="20"/>
                <w:color w:val="auto"/>
              </w:rPr>
            </w:pPr>
            <w:r>
              <w:rPr>
                <w:rFonts w:ascii="Times New Roman" w:cs="Times New Roman" w:eastAsia="Times New Roman" w:hAnsi="Times New Roman"/>
                <w:sz w:val="14"/>
                <w:szCs w:val="14"/>
                <w:b w:val="1"/>
                <w:bCs w:val="1"/>
                <w:color w:val="auto"/>
              </w:rPr>
              <w:t>30,</w:t>
            </w:r>
          </w:p>
        </w:tc>
        <w:tc>
          <w:tcPr>
            <w:tcW w:w="0" w:type="dxa"/>
            <w:vAlign w:val="bottom"/>
          </w:tcPr>
          <w:p>
            <w:pPr>
              <w:spacing w:after="0"/>
              <w:rPr>
                <w:sz w:val="1"/>
                <w:szCs w:val="1"/>
                <w:color w:val="auto"/>
              </w:rPr>
            </w:pPr>
          </w:p>
        </w:tc>
      </w:tr>
      <w:tr>
        <w:trPr>
          <w:trHeight w:val="142"/>
        </w:trPr>
        <w:tc>
          <w:tcPr>
            <w:tcW w:w="6760" w:type="dxa"/>
            <w:vAlign w:val="bottom"/>
            <w:vMerge w:val="continue"/>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660" w:type="dxa"/>
            <w:vAlign w:val="bottom"/>
            <w:tcBorders>
              <w:bottom w:val="single" w:sz="8" w:color="auto"/>
            </w:tcBorders>
          </w:tcPr>
          <w:p>
            <w:pPr>
              <w:jc w:val="right"/>
              <w:ind w:right="91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640" w:type="dxa"/>
            <w:vAlign w:val="bottom"/>
            <w:tcBorders>
              <w:bottom w:val="single" w:sz="8" w:color="auto"/>
            </w:tcBorders>
          </w:tcPr>
          <w:p>
            <w:pPr>
              <w:jc w:val="right"/>
              <w:ind w:right="89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09"/>
        </w:trPr>
        <w:tc>
          <w:tcPr>
            <w:tcW w:w="6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 Forma total revenues</w:t>
            </w:r>
          </w:p>
        </w:tc>
        <w:tc>
          <w:tcPr>
            <w:tcW w:w="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1,164,717</w:t>
            </w:r>
          </w:p>
        </w:tc>
        <w:tc>
          <w:tcPr>
            <w:tcW w:w="70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3,514,670</w:t>
            </w:r>
          </w:p>
        </w:tc>
        <w:tc>
          <w:tcPr>
            <w:tcW w:w="0" w:type="dxa"/>
            <w:vAlign w:val="bottom"/>
          </w:tcPr>
          <w:p>
            <w:pPr>
              <w:spacing w:after="0"/>
              <w:rPr>
                <w:sz w:val="1"/>
                <w:szCs w:val="1"/>
                <w:color w:val="auto"/>
              </w:rPr>
            </w:pPr>
          </w:p>
        </w:tc>
      </w:tr>
      <w:tr>
        <w:trPr>
          <w:trHeight w:val="317"/>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Pro Forma net earnings</w:t>
            </w:r>
            <w:r>
              <w:rPr>
                <w:rFonts w:ascii="Times New Roman" w:cs="Times New Roman" w:eastAsia="Times New Roman" w:hAnsi="Times New Roman"/>
                <w:sz w:val="24"/>
                <w:szCs w:val="24"/>
                <w:color w:val="auto"/>
                <w:vertAlign w:val="superscript"/>
              </w:rPr>
              <w:t>(1)</w:t>
            </w:r>
          </w:p>
        </w:tc>
        <w:tc>
          <w:tcPr>
            <w:tcW w:w="480" w:type="dxa"/>
            <w:vAlign w:val="bottom"/>
          </w:tcPr>
          <w:p>
            <w:pPr>
              <w:spacing w:after="0"/>
              <w:rPr>
                <w:sz w:val="24"/>
                <w:szCs w:val="24"/>
                <w:color w:val="auto"/>
              </w:rPr>
            </w:pPr>
          </w:p>
        </w:tc>
        <w:tc>
          <w:tcPr>
            <w:tcW w:w="166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14,632</w:t>
            </w: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4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51,697</w:t>
            </w:r>
          </w:p>
        </w:tc>
        <w:tc>
          <w:tcPr>
            <w:tcW w:w="0" w:type="dxa"/>
            <w:vAlign w:val="bottom"/>
          </w:tcPr>
          <w:p>
            <w:pPr>
              <w:spacing w:after="0"/>
              <w:rPr>
                <w:sz w:val="1"/>
                <w:szCs w:val="1"/>
                <w:color w:val="auto"/>
              </w:rPr>
            </w:pPr>
          </w:p>
        </w:tc>
      </w:tr>
    </w:tbl>
    <w:p>
      <w:pPr>
        <w:spacing w:after="0" w:line="52" w:lineRule="exact"/>
        <w:rPr>
          <w:sz w:val="20"/>
          <w:szCs w:val="20"/>
          <w:color w:val="auto"/>
        </w:rPr>
      </w:pPr>
    </w:p>
    <w:p>
      <w:pPr>
        <w:ind w:left="180" w:hanging="172"/>
        <w:spacing w:after="0"/>
        <w:tabs>
          <w:tab w:leader="none" w:pos="180" w:val="left"/>
        </w:tabs>
        <w:numPr>
          <w:ilvl w:val="0"/>
          <w:numId w:val="7"/>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Total pro forma adjustments to net earnings represented an increase of $1.4 million and a decrease of $1.8 million for the three and nine months ended September 30, 2025, respectively.</w:t>
      </w:r>
    </w:p>
    <w:p>
      <w:pPr>
        <w:spacing w:after="0" w:line="119"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color w:val="auto"/>
        </w:rPr>
        <w:t>The amounts of revenue and earnings of Brigit included in our Condensed Consolidated Statements of Operations from the acquisition date of January 31, 2025 are as follows:</w:t>
      </w:r>
    </w:p>
    <w:tbl>
      <w:tblPr>
        <w:tblLayout w:type="fixed"/>
        <w:tblInd w:w="0" w:type="dxa"/>
        <w:tblCellMar>
          <w:top w:w="0" w:type="dxa"/>
          <w:left w:w="0" w:type="dxa"/>
          <w:bottom w:w="0" w:type="dxa"/>
          <w:right w:w="0" w:type="dxa"/>
        </w:tblCellMar>
      </w:tblPr>
      <w:tr>
        <w:trPr>
          <w:trHeight w:val="131"/>
        </w:trPr>
        <w:tc>
          <w:tcPr>
            <w:tcW w:w="9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780" w:type="dxa"/>
            <w:vAlign w:val="bottom"/>
          </w:tcPr>
          <w:p>
            <w:pPr>
              <w:jc w:val="right"/>
              <w:ind w:right="419"/>
              <w:spacing w:after="0" w:line="131" w:lineRule="exact"/>
              <w:rPr>
                <w:sz w:val="20"/>
                <w:szCs w:val="20"/>
                <w:color w:val="auto"/>
              </w:rPr>
            </w:pPr>
            <w:r>
              <w:rPr>
                <w:rFonts w:ascii="Times New Roman" w:cs="Times New Roman" w:eastAsia="Times New Roman" w:hAnsi="Times New Roman"/>
                <w:sz w:val="14"/>
                <w:szCs w:val="14"/>
                <w:b w:val="1"/>
                <w:bCs w:val="1"/>
                <w:color w:val="auto"/>
              </w:rPr>
              <w:t>January 31, 2025 -</w:t>
            </w:r>
          </w:p>
        </w:tc>
      </w:tr>
      <w:tr>
        <w:trPr>
          <w:trHeight w:val="173"/>
        </w:trPr>
        <w:tc>
          <w:tcPr>
            <w:tcW w:w="924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2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September 30, 2025</w:t>
            </w:r>
          </w:p>
        </w:tc>
      </w:tr>
      <w:tr>
        <w:trPr>
          <w:trHeight w:val="210"/>
        </w:trPr>
        <w:tc>
          <w:tcPr>
            <w:tcW w:w="9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8"/>
                <w:szCs w:val="18"/>
                <w:color w:val="auto"/>
              </w:rPr>
              <w:t>141,414</w:t>
            </w:r>
          </w:p>
        </w:tc>
      </w:tr>
      <w:tr>
        <w:trPr>
          <w:trHeight w:val="317"/>
        </w:trPr>
        <w:tc>
          <w:tcPr>
            <w:tcW w:w="9240" w:type="dxa"/>
            <w:vAlign w:val="bottom"/>
          </w:tcPr>
          <w:p>
            <w:pPr>
              <w:spacing w:after="0"/>
              <w:rPr>
                <w:sz w:val="20"/>
                <w:szCs w:val="20"/>
                <w:color w:val="auto"/>
              </w:rPr>
            </w:pPr>
            <w:r>
              <w:rPr>
                <w:rFonts w:ascii="Times New Roman" w:cs="Times New Roman" w:eastAsia="Times New Roman" w:hAnsi="Times New Roman"/>
                <w:sz w:val="18"/>
                <w:szCs w:val="18"/>
                <w:color w:val="auto"/>
              </w:rPr>
              <w:t>Net earnings</w:t>
            </w:r>
            <w:r>
              <w:rPr>
                <w:rFonts w:ascii="Times New Roman" w:cs="Times New Roman" w:eastAsia="Times New Roman" w:hAnsi="Times New Roman"/>
                <w:sz w:val="24"/>
                <w:szCs w:val="24"/>
                <w:color w:val="auto"/>
                <w:vertAlign w:val="superscript"/>
              </w:rPr>
              <w:t>(1)</w:t>
            </w:r>
          </w:p>
        </w:tc>
        <w:tc>
          <w:tcPr>
            <w:tcW w:w="220" w:type="dxa"/>
            <w:vAlign w:val="bottom"/>
          </w:tcPr>
          <w:p>
            <w:pPr>
              <w:spacing w:after="0"/>
              <w:rPr>
                <w:sz w:val="24"/>
                <w:szCs w:val="24"/>
                <w:color w:val="auto"/>
              </w:rPr>
            </w:pPr>
          </w:p>
        </w:tc>
        <w:tc>
          <w:tcPr>
            <w:tcW w:w="1780" w:type="dxa"/>
            <w:vAlign w:val="bottom"/>
          </w:tcPr>
          <w:p>
            <w:pPr>
              <w:jc w:val="right"/>
              <w:ind w:right="59"/>
              <w:spacing w:after="0"/>
              <w:rPr>
                <w:sz w:val="20"/>
                <w:szCs w:val="20"/>
                <w:color w:val="auto"/>
              </w:rPr>
            </w:pPr>
            <w:r>
              <w:rPr>
                <w:rFonts w:ascii="Times New Roman" w:cs="Times New Roman" w:eastAsia="Times New Roman" w:hAnsi="Times New Roman"/>
                <w:sz w:val="18"/>
                <w:szCs w:val="18"/>
                <w:color w:val="auto"/>
              </w:rPr>
              <w:t>10,854</w:t>
            </w:r>
          </w:p>
        </w:tc>
      </w:tr>
    </w:tbl>
    <w:p>
      <w:pPr>
        <w:ind w:left="180" w:hanging="172"/>
        <w:spacing w:after="0" w:line="238" w:lineRule="auto"/>
        <w:tabs>
          <w:tab w:leader="none" w:pos="180" w:val="left"/>
        </w:tabs>
        <w:numPr>
          <w:ilvl w:val="0"/>
          <w:numId w:val="8"/>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Net earnings for the period includes amortization and depreciation of intangible assets and developed technology acquired upon closing of the Brigit acquisition.</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Revenues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disaggregate our revenue for the periods ended September 30, 2026 and 2025:</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000" w:type="dxa"/>
            <w:vAlign w:val="bottom"/>
            <w:tcBorders>
              <w:bottom w:val="single" w:sz="8" w:color="auto"/>
            </w:tcBorders>
            <w:gridSpan w:val="8"/>
          </w:tcPr>
          <w:p>
            <w:pPr>
              <w:jc w:val="right"/>
              <w:ind w:right="733"/>
              <w:spacing w:after="0"/>
              <w:rPr>
                <w:sz w:val="20"/>
                <w:szCs w:val="20"/>
                <w:color w:val="auto"/>
              </w:rPr>
            </w:pPr>
            <w:r>
              <w:rPr>
                <w:rFonts w:ascii="Times New Roman" w:cs="Times New Roman" w:eastAsia="Times New Roman" w:hAnsi="Times New Roman"/>
                <w:sz w:val="14"/>
                <w:szCs w:val="14"/>
                <w:b w:val="1"/>
                <w:bCs w:val="1"/>
                <w:color w:val="auto"/>
              </w:rPr>
              <w:t>Three Months Ended September 30, 2026</w:t>
            </w:r>
          </w:p>
        </w:tc>
        <w:tc>
          <w:tcPr>
            <w:tcW w:w="1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1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393"/>
              <w:spacing w:after="0" w:line="142" w:lineRule="exact"/>
              <w:rPr>
                <w:sz w:val="20"/>
                <w:szCs w:val="20"/>
                <w:color w:val="auto"/>
              </w:rPr>
            </w:pPr>
            <w:r>
              <w:rPr>
                <w:rFonts w:ascii="Times New Roman" w:cs="Times New Roman" w:eastAsia="Times New Roman" w:hAnsi="Times New Roman"/>
                <w:sz w:val="14"/>
                <w:szCs w:val="14"/>
                <w:b w:val="1"/>
                <w:bCs w:val="1"/>
                <w:color w:val="auto"/>
              </w:rPr>
              <w:t>Acima</w:t>
            </w:r>
          </w:p>
        </w:tc>
        <w:tc>
          <w:tcPr>
            <w:tcW w:w="1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Rent-A-Center</w:t>
            </w:r>
          </w:p>
        </w:tc>
        <w:tc>
          <w:tcPr>
            <w:tcW w:w="14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3"/>
              <w:spacing w:after="0" w:line="142" w:lineRule="exact"/>
              <w:rPr>
                <w:sz w:val="20"/>
                <w:szCs w:val="20"/>
                <w:color w:val="auto"/>
              </w:rPr>
            </w:pPr>
            <w:r>
              <w:rPr>
                <w:rFonts w:ascii="Times New Roman" w:cs="Times New Roman" w:eastAsia="Times New Roman" w:hAnsi="Times New Roman"/>
                <w:sz w:val="14"/>
                <w:szCs w:val="14"/>
                <w:b w:val="1"/>
                <w:bCs w:val="1"/>
                <w:color w:val="auto"/>
              </w:rPr>
              <w:t>Brigit</w:t>
            </w:r>
          </w:p>
        </w:tc>
        <w:tc>
          <w:tcPr>
            <w:tcW w:w="16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73"/>
              <w:spacing w:after="0" w:line="142" w:lineRule="exact"/>
              <w:rPr>
                <w:sz w:val="20"/>
                <w:szCs w:val="20"/>
                <w:color w:val="auto"/>
              </w:rPr>
            </w:pPr>
            <w:r>
              <w:rPr>
                <w:rFonts w:ascii="Times New Roman" w:cs="Times New Roman" w:eastAsia="Times New Roman" w:hAnsi="Times New Roman"/>
                <w:sz w:val="14"/>
                <w:szCs w:val="14"/>
                <w:b w:val="1"/>
                <w:bCs w:val="1"/>
                <w:color w:val="auto"/>
              </w:rPr>
              <w:t>Mexico</w:t>
            </w:r>
          </w:p>
        </w:tc>
        <w:tc>
          <w:tcPr>
            <w:tcW w:w="1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42"/>
        </w:trPr>
        <w:tc>
          <w:tcPr>
            <w:tcW w:w="41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180" w:type="dxa"/>
            <w:vAlign w:val="bottom"/>
            <w:tcBorders>
              <w:right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Rentals and fees</w:t>
            </w:r>
          </w:p>
        </w:tc>
        <w:tc>
          <w:tcPr>
            <w:tcW w:w="32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right w:val="single" w:sz="8" w:color="CFF0FC"/>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461,398</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398,219</w:t>
            </w:r>
          </w:p>
        </w:tc>
        <w:tc>
          <w:tcPr>
            <w:tcW w:w="80" w:type="dxa"/>
            <w:vAlign w:val="bottom"/>
            <w:shd w:val="clear" w:color="auto" w:fill="CFF0FC"/>
          </w:tcPr>
          <w:p>
            <w:pPr>
              <w:spacing w:after="0"/>
              <w:rPr>
                <w:sz w:val="18"/>
                <w:szCs w:val="18"/>
                <w:color w:val="auto"/>
              </w:rPr>
            </w:pPr>
          </w:p>
        </w:tc>
        <w:tc>
          <w:tcPr>
            <w:tcW w:w="380" w:type="dxa"/>
            <w:vAlign w:val="bottom"/>
            <w:gridSpan w:val="2"/>
            <w:shd w:val="clear" w:color="auto" w:fill="CFF0FC"/>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right w:val="single" w:sz="8" w:color="CFF0FC"/>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FF0FC"/>
          </w:tcPr>
          <w:p>
            <w:pPr>
              <w:jc w:val="right"/>
              <w:ind w:right="204"/>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21,647</w:t>
            </w:r>
          </w:p>
        </w:tc>
        <w:tc>
          <w:tcPr>
            <w:tcW w:w="32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881,264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Merchandise sales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123,179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55,966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1,020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180,165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tcBorders>
              <w:right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Subscriptions and fees</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60" w:type="dxa"/>
            <w:vAlign w:val="bottom"/>
            <w:tcBorders>
              <w:right w:val="single" w:sz="8" w:color="CFF0FC"/>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CFF0FC"/>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40" w:type="dxa"/>
            <w:vAlign w:val="bottom"/>
            <w:tcBorders>
              <w:right w:val="single" w:sz="8" w:color="CFF0FC"/>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78,775</w:t>
            </w:r>
          </w:p>
        </w:tc>
        <w:tc>
          <w:tcPr>
            <w:tcW w:w="160" w:type="dxa"/>
            <w:vAlign w:val="bottom"/>
            <w:tcBorders>
              <w:right w:val="single" w:sz="8" w:color="CFF0FC"/>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78,775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148</w:t>
            </w: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4,860</w:t>
            </w:r>
          </w:p>
        </w:tc>
        <w:tc>
          <w:tcPr>
            <w:tcW w:w="8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949</w:t>
            </w:r>
          </w:p>
        </w:tc>
        <w:tc>
          <w:tcPr>
            <w:tcW w:w="1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5,957</w:t>
            </w:r>
          </w:p>
        </w:tc>
        <w:tc>
          <w:tcPr>
            <w:tcW w:w="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180" w:type="dxa"/>
            <w:vAlign w:val="bottom"/>
            <w:tcBorders>
              <w:bottom w:val="single" w:sz="8" w:color="CFF0FC"/>
              <w:right w:val="single" w:sz="8" w:color="CFF0FC"/>
            </w:tcBorders>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Total revenues</w:t>
            </w:r>
          </w:p>
        </w:tc>
        <w:tc>
          <w:tcPr>
            <w:tcW w:w="1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right w:val="single" w:sz="8" w:color="CFF0FC"/>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584,725</w:t>
            </w:r>
          </w:p>
        </w:tc>
        <w:tc>
          <w:tcPr>
            <w:tcW w:w="140" w:type="dxa"/>
            <w:vAlign w:val="bottom"/>
            <w:tcBorders>
              <w:bottom w:val="single" w:sz="8" w:color="CFF0FC"/>
              <w:right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459,045</w:t>
            </w:r>
          </w:p>
        </w:tc>
        <w:tc>
          <w:tcPr>
            <w:tcW w:w="80" w:type="dxa"/>
            <w:vAlign w:val="bottom"/>
            <w:tcBorders>
              <w:bottom w:val="single" w:sz="8" w:color="auto"/>
            </w:tcBorders>
            <w:shd w:val="clear" w:color="auto" w:fill="CFF0FC"/>
          </w:tcPr>
          <w:p>
            <w:pPr>
              <w:spacing w:after="0"/>
              <w:rPr>
                <w:sz w:val="21"/>
                <w:szCs w:val="21"/>
                <w:color w:val="auto"/>
              </w:rPr>
            </w:pPr>
          </w:p>
        </w:tc>
        <w:tc>
          <w:tcPr>
            <w:tcW w:w="140" w:type="dxa"/>
            <w:vAlign w:val="bottom"/>
            <w:tcBorders>
              <w:bottom w:val="single" w:sz="8" w:color="CFF0FC"/>
              <w:right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right w:val="single" w:sz="8" w:color="CFF0FC"/>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78,775</w:t>
            </w:r>
          </w:p>
        </w:tc>
        <w:tc>
          <w:tcPr>
            <w:tcW w:w="160" w:type="dxa"/>
            <w:vAlign w:val="bottom"/>
            <w:tcBorders>
              <w:bottom w:val="single" w:sz="8" w:color="CFF0FC"/>
              <w:right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jc w:val="right"/>
              <w:ind w:right="204"/>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23,616</w:t>
            </w:r>
          </w:p>
        </w:tc>
        <w:tc>
          <w:tcPr>
            <w:tcW w:w="14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1,146,161</w:t>
            </w:r>
          </w:p>
        </w:tc>
        <w:tc>
          <w:tcPr>
            <w:tcW w:w="100" w:type="dxa"/>
            <w:vAlign w:val="bottom"/>
            <w:tcBorders>
              <w:bottom w:val="single" w:sz="8" w:color="auto"/>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3080" w:type="dxa"/>
            <w:vAlign w:val="bottom"/>
            <w:tcBorders>
              <w:bottom w:val="single" w:sz="8" w:color="auto"/>
            </w:tcBorders>
            <w:gridSpan w:val="7"/>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 September 30, 2026</w:t>
            </w:r>
          </w:p>
        </w:tc>
        <w:tc>
          <w:tcPr>
            <w:tcW w:w="9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2"/>
        </w:trPr>
        <w:tc>
          <w:tcPr>
            <w:tcW w:w="41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jc w:val="right"/>
              <w:ind w:right="473"/>
              <w:spacing w:after="0" w:line="142" w:lineRule="exact"/>
              <w:rPr>
                <w:sz w:val="20"/>
                <w:szCs w:val="20"/>
                <w:color w:val="auto"/>
              </w:rPr>
            </w:pPr>
            <w:r>
              <w:rPr>
                <w:rFonts w:ascii="Times New Roman" w:cs="Times New Roman" w:eastAsia="Times New Roman" w:hAnsi="Times New Roman"/>
                <w:sz w:val="14"/>
                <w:szCs w:val="14"/>
                <w:b w:val="1"/>
                <w:bCs w:val="1"/>
                <w:color w:val="auto"/>
              </w:rPr>
              <w:t>Acima</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Rent-A-Center</w:t>
            </w: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tcPr>
          <w:p>
            <w:pPr>
              <w:jc w:val="right"/>
              <w:ind w:right="393"/>
              <w:spacing w:after="0" w:line="142" w:lineRule="exact"/>
              <w:rPr>
                <w:sz w:val="20"/>
                <w:szCs w:val="20"/>
                <w:color w:val="auto"/>
              </w:rPr>
            </w:pPr>
            <w:r>
              <w:rPr>
                <w:rFonts w:ascii="Times New Roman" w:cs="Times New Roman" w:eastAsia="Times New Roman" w:hAnsi="Times New Roman"/>
                <w:sz w:val="14"/>
                <w:szCs w:val="14"/>
                <w:b w:val="1"/>
                <w:bCs w:val="1"/>
                <w:color w:val="auto"/>
              </w:rPr>
              <w:t>Brigit</w:t>
            </w: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20" w:type="dxa"/>
            <w:vAlign w:val="bottom"/>
          </w:tcPr>
          <w:p>
            <w:pPr>
              <w:jc w:val="right"/>
              <w:ind w:right="313"/>
              <w:spacing w:after="0" w:line="142" w:lineRule="exact"/>
              <w:rPr>
                <w:sz w:val="20"/>
                <w:szCs w:val="20"/>
                <w:color w:val="auto"/>
              </w:rPr>
            </w:pPr>
            <w:r>
              <w:rPr>
                <w:rFonts w:ascii="Times New Roman" w:cs="Times New Roman" w:eastAsia="Times New Roman" w:hAnsi="Times New Roman"/>
                <w:sz w:val="14"/>
                <w:szCs w:val="14"/>
                <w:b w:val="1"/>
                <w:bCs w:val="1"/>
                <w:color w:val="auto"/>
              </w:rPr>
              <w:t>Mexico</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right"/>
              <w:ind w:right="93"/>
              <w:spacing w:after="0" w:line="142" w:lineRule="exact"/>
              <w:rPr>
                <w:sz w:val="20"/>
                <w:szCs w:val="20"/>
                <w:color w:val="auto"/>
              </w:rPr>
            </w:pPr>
            <w:r>
              <w:rPr>
                <w:rFonts w:ascii="Times New Roman" w:cs="Times New Roman" w:eastAsia="Times New Roman" w:hAnsi="Times New Roman"/>
                <w:sz w:val="14"/>
                <w:szCs w:val="14"/>
                <w:b w:val="1"/>
                <w:bCs w:val="1"/>
                <w:color w:val="auto"/>
              </w:rPr>
              <w:t>Consolidated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180" w:type="dxa"/>
            <w:vAlign w:val="bottom"/>
            <w:gridSpan w:val="2"/>
            <w:vMerge w:val="continue"/>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180" w:type="dxa"/>
            <w:vAlign w:val="bottom"/>
            <w:tcBorders>
              <w:right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Rentals and fees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00" w:type="dxa"/>
            <w:vAlign w:val="bottom"/>
            <w:shd w:val="clear" w:color="auto" w:fill="CFF0FC"/>
          </w:tcPr>
          <w:p>
            <w:pPr>
              <w:spacing w:after="0"/>
              <w:rPr>
                <w:sz w:val="18"/>
                <w:szCs w:val="18"/>
                <w:color w:val="auto"/>
              </w:rPr>
            </w:pPr>
          </w:p>
        </w:tc>
        <w:tc>
          <w:tcPr>
            <w:tcW w:w="1060" w:type="dxa"/>
            <w:vAlign w:val="bottom"/>
            <w:tcBorders>
              <w:right w:val="single" w:sz="8" w:color="CFF0FC"/>
            </w:tcBorders>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1,428,719</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1,209,629</w:t>
            </w:r>
          </w:p>
        </w:tc>
        <w:tc>
          <w:tcPr>
            <w:tcW w:w="80" w:type="dxa"/>
            <w:vAlign w:val="bottom"/>
            <w:shd w:val="clear" w:color="auto" w:fill="CFF0FC"/>
          </w:tcPr>
          <w:p>
            <w:pPr>
              <w:spacing w:after="0"/>
              <w:rPr>
                <w:sz w:val="18"/>
                <w:szCs w:val="18"/>
                <w:color w:val="auto"/>
              </w:rPr>
            </w:pPr>
          </w:p>
        </w:tc>
        <w:tc>
          <w:tcPr>
            <w:tcW w:w="380" w:type="dxa"/>
            <w:vAlign w:val="bottom"/>
            <w:gridSpan w:val="2"/>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FF0FC"/>
          </w:tcPr>
          <w:p>
            <w:pPr>
              <w:jc w:val="right"/>
              <w:ind w:right="164"/>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63,045</w:t>
            </w:r>
          </w:p>
        </w:tc>
        <w:tc>
          <w:tcPr>
            <w:tcW w:w="32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2,701,393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Merchandise sales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407,433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182,739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593,216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tcBorders>
              <w:right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Subscriptions and fees</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60" w:type="dxa"/>
            <w:vAlign w:val="bottom"/>
            <w:tcBorders>
              <w:right w:val="single" w:sz="8" w:color="CFF0FC"/>
            </w:tcBorders>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CFF0FC"/>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217,589</w:t>
            </w:r>
          </w:p>
        </w:tc>
        <w:tc>
          <w:tcPr>
            <w:tcW w:w="160" w:type="dxa"/>
            <w:vAlign w:val="bottom"/>
            <w:tcBorders>
              <w:right w:val="single" w:sz="8" w:color="CFF0FC"/>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217,589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791</w:t>
            </w: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14,663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80" w:type="dxa"/>
            <w:vAlign w:val="bottom"/>
            <w:tcBorders>
              <w:right w:val="single" w:sz="8" w:color="CFF0FC"/>
            </w:tcBorders>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Total revenues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00" w:type="dxa"/>
            <w:vAlign w:val="bottom"/>
            <w:shd w:val="clear" w:color="auto" w:fill="CFF0FC"/>
          </w:tcPr>
          <w:p>
            <w:pPr>
              <w:spacing w:after="0"/>
              <w:rPr>
                <w:sz w:val="19"/>
                <w:szCs w:val="19"/>
                <w:color w:val="auto"/>
              </w:rPr>
            </w:pPr>
          </w:p>
        </w:tc>
        <w:tc>
          <w:tcPr>
            <w:tcW w:w="1060" w:type="dxa"/>
            <w:vAlign w:val="bottom"/>
            <w:tcBorders>
              <w:right w:val="single" w:sz="8" w:color="CFF0FC"/>
            </w:tcBorders>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1,836,943</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1,407,031</w:t>
            </w:r>
          </w:p>
        </w:tc>
        <w:tc>
          <w:tcPr>
            <w:tcW w:w="80" w:type="dxa"/>
            <w:vAlign w:val="bottom"/>
            <w:shd w:val="clear" w:color="auto" w:fill="CFF0FC"/>
          </w:tcPr>
          <w:p>
            <w:pPr>
              <w:spacing w:after="0"/>
              <w:rPr>
                <w:sz w:val="19"/>
                <w:szCs w:val="19"/>
                <w:color w:val="auto"/>
              </w:rPr>
            </w:pPr>
          </w:p>
        </w:tc>
        <w:tc>
          <w:tcPr>
            <w:tcW w:w="380" w:type="dxa"/>
            <w:vAlign w:val="bottom"/>
            <w:gridSpan w:val="2"/>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217,589</w:t>
            </w:r>
          </w:p>
        </w:tc>
        <w:tc>
          <w:tcPr>
            <w:tcW w:w="480" w:type="dxa"/>
            <w:vAlign w:val="bottom"/>
            <w:gridSpan w:val="2"/>
            <w:shd w:val="clear" w:color="auto" w:fill="CFF0FC"/>
          </w:tcPr>
          <w:p>
            <w:pPr>
              <w:jc w:val="right"/>
              <w:ind w:right="164"/>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67,753</w:t>
            </w:r>
          </w:p>
        </w:tc>
        <w:tc>
          <w:tcPr>
            <w:tcW w:w="32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3,529,316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14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16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77"/>
              </w:rPr>
              <w:t>10</w:t>
            </w: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40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-1636395</wp:posOffset>
            </wp:positionV>
            <wp:extent cx="8572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-1619250</wp:posOffset>
            </wp:positionV>
            <wp:extent cx="8572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-1636395</wp:posOffset>
            </wp:positionV>
            <wp:extent cx="8572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-1619250</wp:posOffset>
            </wp:positionV>
            <wp:extent cx="8572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-1636395</wp:posOffset>
            </wp:positionV>
            <wp:extent cx="8572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-1619250</wp:posOffset>
            </wp:positionV>
            <wp:extent cx="8572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-1636395</wp:posOffset>
            </wp:positionV>
            <wp:extent cx="8572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-1619250</wp:posOffset>
            </wp:positionV>
            <wp:extent cx="8572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3451225</wp:posOffset>
            </wp:positionH>
            <wp:positionV relativeFrom="paragraph">
              <wp:posOffset>-539115</wp:posOffset>
            </wp:positionV>
            <wp:extent cx="7747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3451225</wp:posOffset>
            </wp:positionH>
            <wp:positionV relativeFrom="paragraph">
              <wp:posOffset>-521970</wp:posOffset>
            </wp:positionV>
            <wp:extent cx="7747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-539115</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-521970</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-539115</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-521970</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-539115</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-521970</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-539115</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-521970</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2" w:name="page13"/>
    <w:bookmarkEnd w:id="12"/>
    <w:p>
      <w:pPr>
        <w:jc w:val="center"/>
        <w:ind w:left="340" w:right="2100"/>
        <w:spacing w:after="0" w:line="278" w:lineRule="auto"/>
        <w:rPr>
          <w:sz w:val="20"/>
          <w:szCs w:val="20"/>
          <w:color w:val="auto"/>
        </w:rPr>
      </w:pPr>
      <w:r>
        <w:rPr>
          <w:rFonts w:ascii="Times New Roman" w:cs="Times New Roman" w:eastAsia="Times New Roman" w:hAnsi="Times New Roman"/>
          <w:sz w:val="18"/>
          <w:szCs w:val="18"/>
          <w:b w:val="1"/>
          <w:bCs w:val="1"/>
          <w:color w:val="auto"/>
        </w:rPr>
        <w:t>UPBOUND GROUP, INC. AND SUBSIDIARIES NOTES TO CONDENSED CONSOLIDATED FINANCIAL STATEMENTS - (Continued) (Unaudited)</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9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000" w:type="dxa"/>
            <w:vAlign w:val="bottom"/>
            <w:tcBorders>
              <w:bottom w:val="single" w:sz="8" w:color="auto"/>
            </w:tcBorders>
            <w:gridSpan w:val="7"/>
          </w:tcPr>
          <w:p>
            <w:pPr>
              <w:jc w:val="right"/>
              <w:ind w:right="733"/>
              <w:spacing w:after="0"/>
              <w:rPr>
                <w:sz w:val="20"/>
                <w:szCs w:val="20"/>
                <w:color w:val="auto"/>
              </w:rPr>
            </w:pPr>
            <w:r>
              <w:rPr>
                <w:rFonts w:ascii="Times New Roman" w:cs="Times New Roman" w:eastAsia="Times New Roman" w:hAnsi="Times New Roman"/>
                <w:sz w:val="14"/>
                <w:szCs w:val="14"/>
                <w:b w:val="1"/>
                <w:bCs w:val="1"/>
                <w:color w:val="auto"/>
              </w:rPr>
              <w:t>Three Months Ended September 30, 2025</w:t>
            </w:r>
          </w:p>
        </w:tc>
        <w:tc>
          <w:tcPr>
            <w:tcW w:w="1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90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gridSpan w:val="2"/>
          </w:tcPr>
          <w:p>
            <w:pPr>
              <w:jc w:val="right"/>
              <w:ind w:right="480"/>
              <w:spacing w:after="0" w:line="142" w:lineRule="exact"/>
              <w:rPr>
                <w:sz w:val="20"/>
                <w:szCs w:val="20"/>
                <w:color w:val="auto"/>
              </w:rPr>
            </w:pPr>
            <w:r>
              <w:rPr>
                <w:rFonts w:ascii="Times New Roman" w:cs="Times New Roman" w:eastAsia="Times New Roman" w:hAnsi="Times New Roman"/>
                <w:sz w:val="14"/>
                <w:szCs w:val="14"/>
                <w:b w:val="1"/>
                <w:bCs w:val="1"/>
                <w:color w:val="auto"/>
              </w:rPr>
              <w:t>Acima</w:t>
            </w:r>
          </w:p>
        </w:tc>
        <w:tc>
          <w:tcPr>
            <w:tcW w:w="1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ind w:right="155"/>
              <w:spacing w:after="0" w:line="142" w:lineRule="exact"/>
              <w:rPr>
                <w:sz w:val="20"/>
                <w:szCs w:val="20"/>
                <w:color w:val="auto"/>
              </w:rPr>
            </w:pPr>
            <w:r>
              <w:rPr>
                <w:rFonts w:ascii="Times New Roman" w:cs="Times New Roman" w:eastAsia="Times New Roman" w:hAnsi="Times New Roman"/>
                <w:sz w:val="14"/>
                <w:szCs w:val="14"/>
                <w:b w:val="1"/>
                <w:bCs w:val="1"/>
                <w:color w:val="auto"/>
              </w:rPr>
              <w:t>Rent-A-Center</w:t>
            </w:r>
          </w:p>
        </w:tc>
        <w:tc>
          <w:tcPr>
            <w:tcW w:w="16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3"/>
              <w:spacing w:after="0" w:line="142" w:lineRule="exact"/>
              <w:rPr>
                <w:sz w:val="20"/>
                <w:szCs w:val="20"/>
                <w:color w:val="auto"/>
              </w:rPr>
            </w:pPr>
            <w:r>
              <w:rPr>
                <w:rFonts w:ascii="Times New Roman" w:cs="Times New Roman" w:eastAsia="Times New Roman" w:hAnsi="Times New Roman"/>
                <w:sz w:val="14"/>
                <w:szCs w:val="14"/>
                <w:b w:val="1"/>
                <w:bCs w:val="1"/>
                <w:color w:val="auto"/>
              </w:rPr>
              <w:t>Brigit</w:t>
            </w:r>
          </w:p>
        </w:tc>
        <w:tc>
          <w:tcPr>
            <w:tcW w:w="12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73"/>
              <w:spacing w:after="0" w:line="142" w:lineRule="exact"/>
              <w:rPr>
                <w:sz w:val="20"/>
                <w:szCs w:val="20"/>
                <w:color w:val="auto"/>
              </w:rPr>
            </w:pPr>
            <w:r>
              <w:rPr>
                <w:rFonts w:ascii="Times New Roman" w:cs="Times New Roman" w:eastAsia="Times New Roman" w:hAnsi="Times New Roman"/>
                <w:sz w:val="14"/>
                <w:szCs w:val="14"/>
                <w:b w:val="1"/>
                <w:bCs w:val="1"/>
                <w:color w:val="auto"/>
              </w:rPr>
              <w:t>Mexico</w:t>
            </w:r>
          </w:p>
        </w:tc>
        <w:tc>
          <w:tcPr>
            <w:tcW w:w="1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42"/>
        </w:trPr>
        <w:tc>
          <w:tcPr>
            <w:tcW w:w="2900" w:type="dxa"/>
            <w:vAlign w:val="bottom"/>
            <w:vMerge w:val="continue"/>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Rentals and fees</w:t>
            </w:r>
          </w:p>
        </w:tc>
        <w:tc>
          <w:tcPr>
            <w:tcW w:w="1600" w:type="dxa"/>
            <w:vAlign w:val="bottom"/>
            <w:gridSpan w:val="3"/>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488,516</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right w:val="single" w:sz="8" w:color="CFF0FC"/>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393,212</w:t>
            </w:r>
          </w:p>
        </w:tc>
        <w:tc>
          <w:tcPr>
            <w:tcW w:w="380" w:type="dxa"/>
            <w:vAlign w:val="bottom"/>
            <w:gridSpan w:val="2"/>
            <w:shd w:val="clear" w:color="auto" w:fill="CFF0FC"/>
          </w:tcPr>
          <w:p>
            <w:pPr>
              <w:jc w:val="right"/>
              <w:ind w:right="104"/>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right w:val="single" w:sz="8" w:color="CFF0FC"/>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19,614</w:t>
            </w:r>
          </w:p>
        </w:tc>
        <w:tc>
          <w:tcPr>
            <w:tcW w:w="32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901,342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Merchandise sales</w:t>
            </w: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136,538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60,703</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854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198,095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Subscriptions and fees</w:t>
            </w:r>
          </w:p>
        </w:tc>
        <w:tc>
          <w:tcPr>
            <w:tcW w:w="1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80" w:type="dxa"/>
            <w:vAlign w:val="bottom"/>
            <w:tcBorders>
              <w:right w:val="single" w:sz="8" w:color="CFF0FC"/>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right w:val="single" w:sz="8" w:color="CFF0FC"/>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tcBorders>
              <w:right w:val="single" w:sz="8" w:color="CFF0FC"/>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57,663</w:t>
            </w:r>
          </w:p>
        </w:tc>
        <w:tc>
          <w:tcPr>
            <w:tcW w:w="120" w:type="dxa"/>
            <w:vAlign w:val="bottom"/>
            <w:shd w:val="clear" w:color="auto" w:fill="CFF0FC"/>
          </w:tcPr>
          <w:p>
            <w:pPr>
              <w:spacing w:after="0"/>
              <w:rPr>
                <w:sz w:val="18"/>
                <w:szCs w:val="18"/>
                <w:color w:val="auto"/>
              </w:rPr>
            </w:pPr>
          </w:p>
        </w:tc>
        <w:tc>
          <w:tcPr>
            <w:tcW w:w="360" w:type="dxa"/>
            <w:vAlign w:val="bottom"/>
            <w:tcBorders>
              <w:left w:val="single" w:sz="8" w:color="CFF0FC"/>
            </w:tcBorders>
            <w:shd w:val="clear" w:color="auto" w:fill="CFF0FC"/>
          </w:tcPr>
          <w:p>
            <w:pPr>
              <w:spacing w:after="0"/>
              <w:rPr>
                <w:sz w:val="18"/>
                <w:szCs w:val="18"/>
                <w:color w:val="auto"/>
              </w:rPr>
            </w:pPr>
          </w:p>
        </w:tc>
        <w:tc>
          <w:tcPr>
            <w:tcW w:w="9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57,663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218</w:t>
            </w: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7,175</w:t>
            </w:r>
          </w:p>
        </w:tc>
        <w:tc>
          <w:tcPr>
            <w:tcW w:w="1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224</w:t>
            </w:r>
          </w:p>
        </w:tc>
        <w:tc>
          <w:tcPr>
            <w:tcW w:w="1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7,617</w:t>
            </w:r>
          </w:p>
        </w:tc>
        <w:tc>
          <w:tcPr>
            <w:tcW w:w="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90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Total revenues</w:t>
            </w:r>
          </w:p>
        </w:tc>
        <w:tc>
          <w:tcPr>
            <w:tcW w:w="1400" w:type="dxa"/>
            <w:vAlign w:val="bottom"/>
            <w:tcBorders>
              <w:bottom w:val="single" w:sz="8" w:color="CFF0FC"/>
            </w:tcBorders>
            <w:gridSpan w:val="2"/>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625,272</w:t>
            </w:r>
          </w:p>
        </w:tc>
        <w:tc>
          <w:tcPr>
            <w:tcW w:w="140" w:type="dxa"/>
            <w:vAlign w:val="bottom"/>
            <w:tcBorders>
              <w:bottom w:val="single" w:sz="8" w:color="CFF0FC"/>
              <w:right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right w:val="single" w:sz="8" w:color="CFF0FC"/>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461,090</w:t>
            </w:r>
          </w:p>
        </w:tc>
        <w:tc>
          <w:tcPr>
            <w:tcW w:w="160" w:type="dxa"/>
            <w:vAlign w:val="bottom"/>
            <w:tcBorders>
              <w:bottom w:val="single" w:sz="8" w:color="CFF0FC"/>
              <w:right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bottom w:val="single" w:sz="8" w:color="auto"/>
              <w:right w:val="single" w:sz="8" w:color="CFF0FC"/>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57,663</w:t>
            </w:r>
          </w:p>
        </w:tc>
        <w:tc>
          <w:tcPr>
            <w:tcW w:w="12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left w:val="single" w:sz="8" w:color="CFF0FC"/>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20,692</w:t>
            </w:r>
          </w:p>
        </w:tc>
        <w:tc>
          <w:tcPr>
            <w:tcW w:w="14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1,164,717</w:t>
            </w:r>
          </w:p>
        </w:tc>
        <w:tc>
          <w:tcPr>
            <w:tcW w:w="100" w:type="dxa"/>
            <w:vAlign w:val="bottom"/>
            <w:tcBorders>
              <w:bottom w:val="single" w:sz="8" w:color="auto"/>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345"/>
        </w:trPr>
        <w:tc>
          <w:tcPr>
            <w:tcW w:w="29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 September 30, 2025</w:t>
            </w:r>
          </w:p>
        </w:tc>
        <w:tc>
          <w:tcPr>
            <w:tcW w:w="9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90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gridSpan w:val="2"/>
          </w:tcPr>
          <w:p>
            <w:pPr>
              <w:jc w:val="right"/>
              <w:ind w:right="560"/>
              <w:spacing w:after="0" w:line="142" w:lineRule="exact"/>
              <w:rPr>
                <w:sz w:val="20"/>
                <w:szCs w:val="20"/>
                <w:color w:val="auto"/>
              </w:rPr>
            </w:pPr>
            <w:r>
              <w:rPr>
                <w:rFonts w:ascii="Times New Roman" w:cs="Times New Roman" w:eastAsia="Times New Roman" w:hAnsi="Times New Roman"/>
                <w:sz w:val="14"/>
                <w:szCs w:val="14"/>
                <w:b w:val="1"/>
                <w:bCs w:val="1"/>
                <w:color w:val="auto"/>
              </w:rPr>
              <w:t>Acima</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jc w:val="right"/>
              <w:ind w:right="135"/>
              <w:spacing w:after="0" w:line="142" w:lineRule="exact"/>
              <w:rPr>
                <w:sz w:val="20"/>
                <w:szCs w:val="20"/>
                <w:color w:val="auto"/>
              </w:rPr>
            </w:pPr>
            <w:r>
              <w:rPr>
                <w:rFonts w:ascii="Times New Roman" w:cs="Times New Roman" w:eastAsia="Times New Roman" w:hAnsi="Times New Roman"/>
                <w:sz w:val="14"/>
                <w:szCs w:val="14"/>
                <w:b w:val="1"/>
                <w:bCs w:val="1"/>
                <w:color w:val="auto"/>
              </w:rPr>
              <w:t>Rent-A-Center</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jc w:val="right"/>
              <w:ind w:right="393"/>
              <w:spacing w:after="0" w:line="142" w:lineRule="exact"/>
              <w:rPr>
                <w:sz w:val="20"/>
                <w:szCs w:val="20"/>
                <w:color w:val="auto"/>
              </w:rPr>
            </w:pPr>
            <w:r>
              <w:rPr>
                <w:rFonts w:ascii="Times New Roman" w:cs="Times New Roman" w:eastAsia="Times New Roman" w:hAnsi="Times New Roman"/>
                <w:sz w:val="14"/>
                <w:szCs w:val="14"/>
                <w:b w:val="1"/>
                <w:bCs w:val="1"/>
                <w:color w:val="auto"/>
              </w:rPr>
              <w:t>Brigit</w:t>
            </w: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20" w:type="dxa"/>
            <w:vAlign w:val="bottom"/>
          </w:tcPr>
          <w:p>
            <w:pPr>
              <w:jc w:val="right"/>
              <w:ind w:right="293"/>
              <w:spacing w:after="0" w:line="142" w:lineRule="exact"/>
              <w:rPr>
                <w:sz w:val="20"/>
                <w:szCs w:val="20"/>
                <w:color w:val="auto"/>
              </w:rPr>
            </w:pPr>
            <w:r>
              <w:rPr>
                <w:rFonts w:ascii="Times New Roman" w:cs="Times New Roman" w:eastAsia="Times New Roman" w:hAnsi="Times New Roman"/>
                <w:sz w:val="14"/>
                <w:szCs w:val="14"/>
                <w:b w:val="1"/>
                <w:bCs w:val="1"/>
                <w:color w:val="auto"/>
              </w:rPr>
              <w:t>Mexico</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right"/>
              <w:ind w:right="73"/>
              <w:spacing w:after="0" w:line="142" w:lineRule="exact"/>
              <w:rPr>
                <w:sz w:val="20"/>
                <w:szCs w:val="20"/>
                <w:color w:val="auto"/>
              </w:rPr>
            </w:pPr>
            <w:r>
              <w:rPr>
                <w:rFonts w:ascii="Times New Roman" w:cs="Times New Roman" w:eastAsia="Times New Roman" w:hAnsi="Times New Roman"/>
                <w:sz w:val="14"/>
                <w:szCs w:val="14"/>
                <w:b w:val="1"/>
                <w:bCs w:val="1"/>
                <w:color w:val="auto"/>
              </w:rPr>
              <w:t>Consolidated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900" w:type="dxa"/>
            <w:vAlign w:val="bottom"/>
            <w:vMerge w:val="continue"/>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Rentals and fees</w:t>
            </w:r>
          </w:p>
        </w:tc>
        <w:tc>
          <w:tcPr>
            <w:tcW w:w="14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1,452,329</w:t>
            </w:r>
          </w:p>
        </w:tc>
        <w:tc>
          <w:tcPr>
            <w:tcW w:w="120" w:type="dxa"/>
            <w:vAlign w:val="bottom"/>
            <w:shd w:val="clear" w:color="auto" w:fill="CFF0FC"/>
          </w:tcPr>
          <w:p>
            <w:pPr>
              <w:spacing w:after="0"/>
              <w:rPr>
                <w:sz w:val="18"/>
                <w:szCs w:val="18"/>
                <w:color w:val="auto"/>
              </w:rPr>
            </w:pP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1,197,601</w:t>
            </w:r>
          </w:p>
        </w:tc>
        <w:tc>
          <w:tcPr>
            <w:tcW w:w="380" w:type="dxa"/>
            <w:vAlign w:val="bottom"/>
            <w:gridSpan w:val="2"/>
            <w:shd w:val="clear" w:color="auto" w:fill="CFF0FC"/>
          </w:tcPr>
          <w:p>
            <w:pPr>
              <w:jc w:val="right"/>
              <w:ind w:right="84"/>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55,207</w:t>
            </w:r>
          </w:p>
        </w:tc>
        <w:tc>
          <w:tcPr>
            <w:tcW w:w="3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2,705,137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Merchandise sales</w:t>
            </w: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428,122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195,874</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626,557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Subscriptions and fees</w:t>
            </w:r>
          </w:p>
        </w:tc>
        <w:tc>
          <w:tcPr>
            <w:tcW w:w="1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right w:val="single" w:sz="8" w:color="CFF0FC"/>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141,414</w:t>
            </w:r>
          </w:p>
        </w:tc>
        <w:tc>
          <w:tcPr>
            <w:tcW w:w="120" w:type="dxa"/>
            <w:vAlign w:val="bottom"/>
            <w:shd w:val="clear" w:color="auto" w:fill="CFF0FC"/>
          </w:tcPr>
          <w:p>
            <w:pPr>
              <w:spacing w:after="0"/>
              <w:rPr>
                <w:sz w:val="18"/>
                <w:szCs w:val="18"/>
                <w:color w:val="auto"/>
              </w:rPr>
            </w:pPr>
          </w:p>
        </w:tc>
        <w:tc>
          <w:tcPr>
            <w:tcW w:w="360" w:type="dxa"/>
            <w:vAlign w:val="bottom"/>
            <w:tcBorders>
              <w:left w:val="single" w:sz="8" w:color="CFF0FC"/>
            </w:tcBorders>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141,414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2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23,758</w:t>
            </w:r>
          </w:p>
        </w:tc>
        <w:tc>
          <w:tcPr>
            <w:tcW w:w="1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9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Total revenues</w:t>
            </w:r>
          </w:p>
        </w:tc>
        <w:tc>
          <w:tcPr>
            <w:tcW w:w="14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1,881,526</w:t>
            </w:r>
          </w:p>
        </w:tc>
        <w:tc>
          <w:tcPr>
            <w:tcW w:w="12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1,417,233</w:t>
            </w:r>
          </w:p>
        </w:tc>
        <w:tc>
          <w:tcPr>
            <w:tcW w:w="380" w:type="dxa"/>
            <w:vAlign w:val="bottom"/>
            <w:gridSpan w:val="2"/>
            <w:shd w:val="clear" w:color="auto" w:fill="CFF0FC"/>
          </w:tcPr>
          <w:p>
            <w:pPr>
              <w:jc w:val="right"/>
              <w:ind w:right="84"/>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141,414</w:t>
            </w:r>
          </w:p>
        </w:tc>
        <w:tc>
          <w:tcPr>
            <w:tcW w:w="48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58,443</w:t>
            </w:r>
          </w:p>
        </w:tc>
        <w:tc>
          <w:tcPr>
            <w:tcW w:w="3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3,498,616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900" w:type="dxa"/>
            <w:vAlign w:val="bottom"/>
            <w:tcBorders>
              <w:top w:val="single" w:sz="8" w:color="CFF0FC"/>
            </w:tcBorders>
            <w:shd w:val="clear" w:color="auto" w:fill="CFF0FC"/>
          </w:tcPr>
          <w:p>
            <w:pPr>
              <w:spacing w:after="0" w:line="20" w:lineRule="exact"/>
              <w:rPr>
                <w:sz w:val="1"/>
                <w:szCs w:val="1"/>
                <w:color w:val="auto"/>
              </w:rPr>
            </w:pPr>
          </w:p>
        </w:tc>
        <w:tc>
          <w:tcPr>
            <w:tcW w:w="12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16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left w:val="single" w:sz="8" w:color="CFF0FC"/>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3536950</wp:posOffset>
            </wp:positionH>
            <wp:positionV relativeFrom="paragraph">
              <wp:posOffset>-1182370</wp:posOffset>
            </wp:positionV>
            <wp:extent cx="8572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-1165225</wp:posOffset>
            </wp:positionV>
            <wp:extent cx="8572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-1182370</wp:posOffset>
            </wp:positionV>
            <wp:extent cx="8572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-1165225</wp:posOffset>
            </wp:positionV>
            <wp:extent cx="8572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-1182370</wp:posOffset>
            </wp:positionV>
            <wp:extent cx="8572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-1165225</wp:posOffset>
            </wp:positionV>
            <wp:extent cx="8572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-1182370</wp:posOffset>
            </wp:positionV>
            <wp:extent cx="8572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-1165225</wp:posOffset>
            </wp:positionV>
            <wp:extent cx="8572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3451225</wp:posOffset>
            </wp:positionH>
            <wp:positionV relativeFrom="paragraph">
              <wp:posOffset>-25400</wp:posOffset>
            </wp:positionV>
            <wp:extent cx="7747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3451225</wp:posOffset>
            </wp:positionH>
            <wp:positionV relativeFrom="paragraph">
              <wp:posOffset>-7620</wp:posOffset>
            </wp:positionV>
            <wp:extent cx="7747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-25400</wp:posOffset>
            </wp:positionV>
            <wp:extent cx="6858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-7620</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-25400</wp:posOffset>
            </wp:positionV>
            <wp:extent cx="6858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-7620</wp:posOffset>
            </wp:positionV>
            <wp:extent cx="68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-25400</wp:posOffset>
            </wp:positionV>
            <wp:extent cx="6858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-7620</wp:posOffset>
            </wp:positionV>
            <wp:extent cx="685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 Purchase Agreements</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Rentals and Fees. </w:t>
      </w:r>
      <w:r>
        <w:rPr>
          <w:rFonts w:ascii="Times New Roman" w:cs="Times New Roman" w:eastAsia="Times New Roman" w:hAnsi="Times New Roman"/>
          <w:sz w:val="18"/>
          <w:szCs w:val="18"/>
          <w:color w:val="auto"/>
        </w:rPr>
        <w:t>Rental merchandise is leased to customers pursuant to lease-to-own agreements, which provide for weekly, bi-weekly, semi-monthly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monthly terms with non-refundable lease payments. At the expiration of each lease term, customers may renew the lease-to-own agreement for the next lease term. The customer has the right to acquire title of the merchandise either through an early purchase option or through payment of all optional lease renewal terms. Customers can terminate the lease-to-own agreement and return the product at the end of any lease term without penalty. Therefore, lease-to-own agreements are accounted for as operating leases.</w:t>
      </w:r>
    </w:p>
    <w:p>
      <w:pPr>
        <w:spacing w:after="0" w:line="7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Lease payments received at our company-owned Rent-A-Center stores, certain Acima locations formerly operating under the Acceptance Now brand, and Mexico stores must be prepaid in advance of the next lease renewal term. Under the Acima Holdings business model, in certain cases revenues may be earned prior to the lease payment due date, in which case revenue is accrued prior to receipt of the lease payment, net of estimated returns and uncollectible renewal payments. Under both models, rental revenue is recognized over the lease term. See Note 4 for additional information regarding accrued lease revenue.</w:t>
      </w:r>
    </w:p>
    <w:p>
      <w:pPr>
        <w:spacing w:after="0" w:line="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Cash received for rental payments, including fees, prior to the period in which it should be recognized, is deferred and recognized according to the lease term. At September 30, 2026 and December 31, 2025, we had $52.2 million and $62.1 million, respectively, in deferred revenue included in accrued liabilities related to our lease-to-own agreements. Revenues related to various payments, reinstatement or late fees are recognized when paid by the customer at the point service is provided. Rental merchandise in our company-owned Rent-A-Center stores, certain Acima locations formerly operating under the Acceptance Now brand, and Mexico stores is depreciated using the income forecasting method and recognized in cost of rentals and fees in our Condensed Consolidated Statements of Operations over the lease term. Lease merchandise under Acima Holdings is depreciated over the lease term using a straight-line depreciation method. Under the income forecasting method, the consumption of lease merchandise occurs during periods of rental and depreciation directly coincides with the receipt of rental revenue over the lease-to-own contract period. Depreciation under the straight-line method is recognized each period over the term of the lease-to-own contract irrespective of receipt of revenue payments from the customer.</w:t>
      </w:r>
    </w:p>
    <w:p>
      <w:pPr>
        <w:spacing w:after="0" w:line="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also offer additional optional product plans along with our lease-to-own agreements which provide customers with liability protection against significant damage or loss of a product, and club membership benefits, including various discount programs and product service and replacement benefits in the event merchandise is damaged or lost, and payment waivers in the event eligible customers become unemployed. Customers renew product plans in conjunction with their lease term renewals, and can cancel the plans at any time. We do not separate the lease and non-lease components for lease purchase agreements so revenue for product plans is recognized over the current term of the lease. Costs incurred related to product plans are primarily recognized in cost of revenues.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3" w:name="page14"/>
    <w:bookmarkEnd w:id="13"/>
    <w:p>
      <w:pPr>
        <w:jc w:val="center"/>
        <w:ind w:left="340" w:right="2100"/>
        <w:spacing w:after="0" w:line="278" w:lineRule="auto"/>
        <w:rPr>
          <w:sz w:val="20"/>
          <w:szCs w:val="20"/>
          <w:color w:val="auto"/>
        </w:rPr>
      </w:pPr>
      <w:r>
        <w:rPr>
          <w:rFonts w:ascii="Times New Roman" w:cs="Times New Roman" w:eastAsia="Times New Roman" w:hAnsi="Times New Roman"/>
          <w:sz w:val="18"/>
          <w:szCs w:val="18"/>
          <w:b w:val="1"/>
          <w:bCs w:val="1"/>
          <w:color w:val="auto"/>
        </w:rPr>
        <w:t>UPBOUND GROUP, INC. AND SUBSIDIARIES NOTES TO CONDENSED CONSOLIDATED FINANCIAL STATEMENTS - (Continued) (Unaudited)</w:t>
      </w: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from contracts with customers</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Merchandise Sales. </w:t>
      </w:r>
      <w:r>
        <w:rPr>
          <w:rFonts w:ascii="Times New Roman" w:cs="Times New Roman" w:eastAsia="Times New Roman" w:hAnsi="Times New Roman"/>
          <w:sz w:val="18"/>
          <w:szCs w:val="18"/>
          <w:color w:val="auto"/>
        </w:rPr>
        <w:t>Revenue for merchandise sales is recognized when payment is received and ownership of the merchandise passes to the customer.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Merchandise sales include payments received for the exercise of the early purchase options offered through our lease-to-own agreements or merchandise sold through point-of-sale transactions. The remaining net value of lease merchandise sold is recorded to cost of merchandise sold at the time of the transaction. Revenue from the sale of lease merchandise to our franchisees is recognized upon shipment of the merchandise to the franchisee.</w:t>
      </w:r>
    </w:p>
    <w:p>
      <w:pPr>
        <w:spacing w:after="0" w:line="7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Revenue from the sale of merchandise in our retail installment stores is recognized when the installment note is signed and control of the merchandise has passed to the customer. The cost of merchandise sold through installment agreements is recognized at the time of the transaction. We offer optional extended service plans with our installment agreements which are administered by third parties and provide customers with product maintenance beyond the term of the installment agreement. Payments received for extended service plans are deferred and recognized, net of related costs, when the installment payment plan is complete and the service plan goes into effect. Customers can cancel extended service plans at any time during the installment agreement period and receive a refund for payments previously made towards the plan. At September 30, 2026 and December 31, 2025, the amount of deferred revenue included in accrued liabilities related to extended service plans was inconsequential to our financial statements.</w:t>
      </w:r>
    </w:p>
    <w:p>
      <w:pPr>
        <w:spacing w:after="0" w:line="7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Subscriptions and fees. </w:t>
      </w:r>
      <w:r>
        <w:rPr>
          <w:rFonts w:ascii="Times New Roman" w:cs="Times New Roman" w:eastAsia="Times New Roman" w:hAnsi="Times New Roman"/>
          <w:sz w:val="18"/>
          <w:szCs w:val="18"/>
          <w:color w:val="auto"/>
        </w:rPr>
        <w:t>Subscription payments in our Brigit segment are received on a monthly basis from customers who elect access to the Plus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Premium subscription tiers of the Brigit mobile application and/or web browser. This payment can range based on a variety of factors and higher cost tiers generally offer additional services. Brigit continually fulfills obligations to each customer over the subscription term. The series of distinct services represents a single performance obligation that is satisfied over time. Revenue for the Plus and Premium subscription tiers is recognized over the subscription term. Customers pay subscriptions at the end of the term. Price concessions are granted to customers who have insufficient funds and are unable to make subscription payments when they are due.</w:t>
      </w:r>
    </w:p>
    <w:p>
      <w:pPr>
        <w:spacing w:after="0" w:line="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also receive payments from customers for optional transfer fees for expedited cash advances. Such expedited transfer fee payments from customers are recognized as revenue over the expected term of the associated customer cash advance. In addition, we also market promotional offers from our marketplace partners’ products and services in our mobile application. We receive a payment from our partners based on contractual terms, generally on the basis of customer traffic or conversions brought to such products or services. Marketplace revenues are recognized as customer traffic is added and conversions to the marketplace partners’ products and services occur.</w:t>
      </w:r>
    </w:p>
    <w:p>
      <w:pPr>
        <w:spacing w:after="0" w:line="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Other. </w:t>
      </w:r>
      <w:r>
        <w:rPr>
          <w:rFonts w:ascii="Times New Roman" w:cs="Times New Roman" w:eastAsia="Times New Roman" w:hAnsi="Times New Roman"/>
          <w:sz w:val="18"/>
          <w:szCs w:val="18"/>
          <w:color w:val="auto"/>
        </w:rPr>
        <w:t>Other revenue primarily consists of franchise royalties, including franchisee contributions to corporate advertising funds, which represent sales-based royalties calculated as a percentage of gross rental payments and sales. Royalty revenue is accrued and recognized as lease payments and merchandise sales occur. Franchise fees are initial fees charged to franchisees for new or converted franchise stores. Franchise fee revenue is recognized on a straight-line basis over the term of the franchise agreement. At September 30, 2026 and December 31, 2025, we had $0.9 million and $1.4 million, respectively, in deferred revenue included in accrued liabilities related to franchise fees.</w:t>
      </w:r>
    </w:p>
    <w:p>
      <w:pPr>
        <w:spacing w:after="0" w:line="7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Other revenue also includes revenues generated by other miscellaneous product plans offered to our lease-to-own and installment customers. Revenue for other product plans is recognized in accordance with the terms of the applicable plan agreement.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Receivables and Allowance for Doubtful Accounts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Trade and notes receivables consist of amounts due from our lease-to-own customers for lease renewal payments and past due uncollected lease payments, adjusted for the probability of collection based on our assessment of historical collection rates and length of time the receivable is past due; amounts owed from our franchisees for inventory purchases, earned royalties and other obligations; and other miscellaneous and corporate related receivables. Credit is extended to franchisees based on an evaluation of each franchisee’s financial condition and collateral is generally not required. Trade receivables are generally due within 30 days.</w:t>
      </w:r>
    </w:p>
    <w:p>
      <w:pPr>
        <w:spacing w:after="0" w:line="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Installment sales receivables consist primarily of receivables due from customers for the sale of merchandise in our retail installment stores. Installment sales receivables associated with the sale of merchandise at our Get It Now and Home Choice stores generally consist of the sales price of the merchandise purchased and any additional fees for optional services the customer has chosen, less the customer’s down payment. No interest is accrued and interest income is recognized each time a customer makes a payment, generally on a monthly basis. Interest payments received on installment agreements for both the nine months ended September 30, 2026 and 2025 were $7.3 million, included in our merchandise sales revenues in our Condensed Consolidated Statements of Operations.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4" w:name="page15"/>
    <w:bookmarkEnd w:id="14"/>
    <w:p>
      <w:pPr>
        <w:jc w:val="center"/>
        <w:ind w:left="340" w:right="2100"/>
        <w:spacing w:after="0" w:line="278" w:lineRule="auto"/>
        <w:rPr>
          <w:sz w:val="20"/>
          <w:szCs w:val="20"/>
          <w:color w:val="auto"/>
        </w:rPr>
      </w:pPr>
      <w:r>
        <w:rPr>
          <w:rFonts w:ascii="Times New Roman" w:cs="Times New Roman" w:eastAsia="Times New Roman" w:hAnsi="Times New Roman"/>
          <w:sz w:val="18"/>
          <w:szCs w:val="18"/>
          <w:b w:val="1"/>
          <w:bCs w:val="1"/>
          <w:color w:val="auto"/>
        </w:rPr>
        <w:t>UPBOUND GROUP, INC. AND SUBSIDIARIES NOTES TO CONDENSED CONSOLIDATED FINANCIAL STATEMENTS - (Continued) (Unaudited)</w:t>
      </w:r>
    </w:p>
    <w:p>
      <w:pPr>
        <w:spacing w:after="0" w:line="200" w:lineRule="exact"/>
        <w:rPr>
          <w:sz w:val="20"/>
          <w:szCs w:val="20"/>
          <w:color w:val="auto"/>
        </w:rPr>
      </w:pPr>
    </w:p>
    <w:p>
      <w:pPr>
        <w:spacing w:after="0" w:line="29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Customer cash advances consist of earned wage access advances provided to Brigit customers when requested. By leveraging cash flow information from the customer’s bank account as well as customer verified income information, Brigit’s algorithm assesses their earned income and ability to repay, with no FICO or credit check needed and no impact on credit scores. Generally customers repay cash advances on or shortly after they receive their next paycheck.</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Receivables consist of the following:</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4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4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1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209"/>
        </w:trPr>
        <w:tc>
          <w:tcPr>
            <w:tcW w:w="7740" w:type="dxa"/>
            <w:vAlign w:val="bottom"/>
            <w:shd w:val="clear" w:color="auto" w:fill="CFF0FC"/>
          </w:tcPr>
          <w:p>
            <w:pPr>
              <w:spacing w:after="0" w:line="210" w:lineRule="exact"/>
              <w:rPr>
                <w:sz w:val="20"/>
                <w:szCs w:val="20"/>
                <w:color w:val="auto"/>
              </w:rPr>
            </w:pPr>
            <w:r>
              <w:rPr>
                <w:rFonts w:ascii="Times New Roman" w:cs="Times New Roman" w:eastAsia="Times New Roman" w:hAnsi="Times New Roman"/>
                <w:sz w:val="18"/>
                <w:szCs w:val="18"/>
                <w:color w:val="auto"/>
              </w:rPr>
              <w:t>Trade and notes receivables</w:t>
            </w:r>
            <w:r>
              <w:rPr>
                <w:rFonts w:ascii="Times New Roman" w:cs="Times New Roman" w:eastAsia="Times New Roman" w:hAnsi="Times New Roman"/>
                <w:sz w:val="24"/>
                <w:szCs w:val="24"/>
                <w:color w:val="auto"/>
                <w:vertAlign w:val="superscript"/>
              </w:rPr>
              <w:t>(1)</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108,559</w:t>
            </w:r>
          </w:p>
        </w:tc>
        <w:tc>
          <w:tcPr>
            <w:tcW w:w="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112,490</w:t>
            </w: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Installment sales receivables</w:t>
            </w:r>
          </w:p>
        </w:tc>
        <w:tc>
          <w:tcPr>
            <w:tcW w:w="140" w:type="dxa"/>
            <w:vAlign w:val="bottom"/>
          </w:tcPr>
          <w:p>
            <w:pPr>
              <w:spacing w:after="0"/>
              <w:rPr>
                <w:sz w:val="18"/>
                <w:szCs w:val="18"/>
                <w:color w:val="auto"/>
              </w:rPr>
            </w:pPr>
          </w:p>
        </w:tc>
        <w:tc>
          <w:tcPr>
            <w:tcW w:w="15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55,715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61,389</w:t>
            </w:r>
          </w:p>
        </w:tc>
      </w:tr>
      <w:tr>
        <w:trPr>
          <w:trHeight w:val="216"/>
        </w:trPr>
        <w:tc>
          <w:tcPr>
            <w:tcW w:w="77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Customer cash advances</w:t>
            </w:r>
          </w:p>
        </w:tc>
        <w:tc>
          <w:tcPr>
            <w:tcW w:w="140" w:type="dxa"/>
            <w:vAlign w:val="bottom"/>
            <w:tcBorders>
              <w:bottom w:val="single" w:sz="8" w:color="auto"/>
            </w:tcBorders>
            <w:shd w:val="clear" w:color="auto" w:fill="CFF0FC"/>
          </w:tcPr>
          <w:p>
            <w:pPr>
              <w:spacing w:after="0"/>
              <w:rPr>
                <w:sz w:val="18"/>
                <w:szCs w:val="18"/>
                <w:color w:val="auto"/>
              </w:rPr>
            </w:pPr>
          </w:p>
        </w:tc>
        <w:tc>
          <w:tcPr>
            <w:tcW w:w="152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81,157</w:t>
            </w:r>
          </w:p>
        </w:tc>
        <w:tc>
          <w:tcPr>
            <w:tcW w:w="1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52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58,976</w:t>
            </w:r>
          </w:p>
        </w:tc>
      </w:tr>
      <w:tr>
        <w:trPr>
          <w:trHeight w:val="210"/>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receivables</w:t>
            </w:r>
          </w:p>
        </w:tc>
        <w:tc>
          <w:tcPr>
            <w:tcW w:w="140" w:type="dxa"/>
            <w:vAlign w:val="bottom"/>
          </w:tcPr>
          <w:p>
            <w:pPr>
              <w:spacing w:after="0"/>
              <w:rPr>
                <w:sz w:val="18"/>
                <w:szCs w:val="18"/>
                <w:color w:val="auto"/>
              </w:rPr>
            </w:pPr>
          </w:p>
        </w:tc>
        <w:tc>
          <w:tcPr>
            <w:tcW w:w="15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245,431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232,855</w:t>
            </w:r>
          </w:p>
        </w:tc>
      </w:tr>
      <w:tr>
        <w:trPr>
          <w:trHeight w:val="216"/>
        </w:trPr>
        <w:tc>
          <w:tcPr>
            <w:tcW w:w="7740" w:type="dxa"/>
            <w:vAlign w:val="bottom"/>
            <w:tcBorders>
              <w:bottom w:val="single" w:sz="8" w:color="CFF0FC"/>
            </w:tcBorders>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Less allowance for doubtful accounts</w:t>
            </w:r>
            <w:r>
              <w:rPr>
                <w:rFonts w:ascii="Times New Roman" w:cs="Times New Roman" w:eastAsia="Times New Roman" w:hAnsi="Times New Roman"/>
                <w:sz w:val="24"/>
                <w:szCs w:val="24"/>
                <w:color w:val="auto"/>
                <w:vertAlign w:val="superscript"/>
              </w:rPr>
              <w:t>(2)</w:t>
            </w:r>
          </w:p>
        </w:tc>
        <w:tc>
          <w:tcPr>
            <w:tcW w:w="140" w:type="dxa"/>
            <w:vAlign w:val="bottom"/>
            <w:tcBorders>
              <w:bottom w:val="single" w:sz="8" w:color="auto"/>
            </w:tcBorders>
            <w:shd w:val="clear" w:color="auto" w:fill="CFF0FC"/>
          </w:tcPr>
          <w:p>
            <w:pPr>
              <w:spacing w:after="0"/>
              <w:rPr>
                <w:sz w:val="18"/>
                <w:szCs w:val="18"/>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(39,027)</w:t>
            </w:r>
          </w:p>
        </w:tc>
        <w:tc>
          <w:tcPr>
            <w:tcW w:w="1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(29,661)</w:t>
            </w:r>
          </w:p>
        </w:tc>
      </w:tr>
      <w:tr>
        <w:trPr>
          <w:trHeight w:val="209"/>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receivables, net of allowance for doubtful accounts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206,404</w:t>
            </w: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203,194</w:t>
            </w:r>
          </w:p>
        </w:tc>
      </w:tr>
      <w:tr>
        <w:trPr>
          <w:trHeight w:val="20"/>
        </w:trPr>
        <w:tc>
          <w:tcPr>
            <w:tcW w:w="77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-454025</wp:posOffset>
            </wp:positionV>
            <wp:extent cx="11112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-170815</wp:posOffset>
            </wp:positionV>
            <wp:extent cx="11112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124" w:lineRule="exact"/>
        <w:rPr>
          <w:sz w:val="20"/>
          <w:szCs w:val="20"/>
          <w:color w:val="auto"/>
        </w:rPr>
      </w:pPr>
    </w:p>
    <w:p>
      <w:pPr>
        <w:ind w:left="180" w:hanging="172"/>
        <w:spacing w:after="0" w:line="377" w:lineRule="auto"/>
        <w:tabs>
          <w:tab w:leader="none" w:pos="120" w:val="left"/>
        </w:tabs>
        <w:numPr>
          <w:ilvl w:val="0"/>
          <w:numId w:val="9"/>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0"/>
          <w:szCs w:val="10"/>
          <w:color w:val="auto"/>
        </w:rPr>
        <w:t>Trade and notes receivables includes accrued revenue, adjusted for the probability of collection, related to our lease-to-own agreements of $56.7 million and $55.9 million at September 30, 2026 and December 31, 2025, respectively, including $52.8 million and $51.9 million related to lease-to-own agreements for Acima Holdings and $3.5 million and $3.6 million related to lease-to-own agreements for Rent-A-Center at September 30, 2026 and December 31, 2025, respectively.</w:t>
      </w:r>
    </w:p>
    <w:p>
      <w:pPr>
        <w:ind w:left="180" w:hanging="172"/>
        <w:spacing w:after="0"/>
        <w:tabs>
          <w:tab w:leader="none" w:pos="120" w:val="left"/>
        </w:tabs>
        <w:numPr>
          <w:ilvl w:val="0"/>
          <w:numId w:val="9"/>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0"/>
          <w:szCs w:val="10"/>
          <w:color w:val="auto"/>
        </w:rPr>
        <w:t>Lease receivables are accrued on a net basis, adjusted for the probability of collection based on our assessment of historical collection rates, as described above. Therefore, we do not maintain a separate allowance for doubtful accounts related to our lease receivables.</w:t>
      </w:r>
    </w:p>
    <w:p>
      <w:pPr>
        <w:spacing w:after="0" w:line="21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allowance for our franchising trade and notes receivables is determined by considering a number of factors, including the length of time receivables are past due, previous loss history, the franchisee’s current ability to pay its obligation, and the condition of the general economy and the industry as a whole. Trade receivables that are more than 90 days past due are either written off or fully reserved in our allowance for doubtful accounts. Payments subsequently received on such receivables are recognized as contra-bad debt expense in our Condensed Consolidated Statements of Operations.</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established an allowance for doubtful accounts for our installment notes receivable. Our policy for determining the allowance is primarily based on historical loss experience, as well as the results of management’s review and analysis of the payment and collection of the installment notes receivable within the previous year. Our allowance is adequate to absorb all expected losses. Our policy is to charge off installment notes receivable that are 120 days or more past due. Charge-offs are applied as a reduction to the allowance for doubtful accounts and any recoveries of previously charged off balances are recognized as contra-bad debt expense in our Condensed Consolidated Statements of Operations.</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estimate the allowance for customer cash advance losses based on a number of factors, including the length of time receivables are past due, previous loss history and current economic conditions. The allowance for credit losses is recognized upon origination of customer cash advances. Customer cash advances are charged off 45 days past their due date as a reduction to the allowance for doubtful accounts and any recoveries of previously charged off balances are recognized as contra-bad debt expense in our Condensed Consolidated Statements of Operations.</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allowance for doubtful accounts related to franchising trade and notes receivables was $17.7 million and $12.7 million at September 30, 2026 and December 31, 2025, respectively; the allowance for doubtful accounts related to installment sales receivables was $11.1 million at both September 30, 2026 and December 31, 2025; and the allowance for doubtful accounts related to Brigit customer cash advances was $10.2 million and $5.9 million at September 30, 2026 and December 31, 2025, respectively.</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our allowance for doubtful accounts are as follows: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924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2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September 30, 2026</w:t>
            </w:r>
          </w:p>
        </w:tc>
      </w:tr>
      <w:tr>
        <w:trPr>
          <w:trHeight w:val="209"/>
        </w:trPr>
        <w:tc>
          <w:tcPr>
            <w:tcW w:w="9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Beginning allowance for doubtful accounts</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29,661</w:t>
            </w:r>
          </w:p>
        </w:tc>
      </w:tr>
      <w:tr>
        <w:trPr>
          <w:trHeight w:val="216"/>
        </w:trPr>
        <w:tc>
          <w:tcPr>
            <w:tcW w:w="9240" w:type="dxa"/>
            <w:vAlign w:val="bottom"/>
          </w:tcPr>
          <w:p>
            <w:pPr>
              <w:ind w:left="180"/>
              <w:spacing w:after="0" w:line="216" w:lineRule="exact"/>
              <w:rPr>
                <w:sz w:val="20"/>
                <w:szCs w:val="20"/>
                <w:color w:val="auto"/>
              </w:rPr>
            </w:pPr>
            <w:r>
              <w:rPr>
                <w:rFonts w:ascii="Times New Roman" w:cs="Times New Roman" w:eastAsia="Times New Roman" w:hAnsi="Times New Roman"/>
                <w:sz w:val="18"/>
                <w:szCs w:val="18"/>
                <w:color w:val="auto"/>
              </w:rPr>
              <w:t>Bad debt expense</w:t>
            </w:r>
            <w:r>
              <w:rPr>
                <w:rFonts w:ascii="Times New Roman" w:cs="Times New Roman" w:eastAsia="Times New Roman" w:hAnsi="Times New Roman"/>
                <w:sz w:val="24"/>
                <w:szCs w:val="24"/>
                <w:color w:val="auto"/>
                <w:vertAlign w:val="superscript"/>
              </w:rPr>
              <w:t>(1)</w:t>
            </w:r>
          </w:p>
        </w:tc>
        <w:tc>
          <w:tcPr>
            <w:tcW w:w="220" w:type="dxa"/>
            <w:vAlign w:val="bottom"/>
          </w:tcPr>
          <w:p>
            <w:pPr>
              <w:spacing w:after="0"/>
              <w:rPr>
                <w:sz w:val="18"/>
                <w:szCs w:val="18"/>
                <w:color w:val="auto"/>
              </w:rPr>
            </w:pPr>
          </w:p>
        </w:tc>
        <w:tc>
          <w:tcPr>
            <w:tcW w:w="178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75,085</w:t>
            </w:r>
          </w:p>
        </w:tc>
      </w:tr>
      <w:tr>
        <w:trPr>
          <w:trHeight w:val="216"/>
        </w:trPr>
        <w:tc>
          <w:tcPr>
            <w:tcW w:w="924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Accounts written off, net of recoveries</w:t>
            </w:r>
          </w:p>
        </w:tc>
        <w:tc>
          <w:tcPr>
            <w:tcW w:w="220" w:type="dxa"/>
            <w:vAlign w:val="bottom"/>
            <w:tcBorders>
              <w:bottom w:val="single" w:sz="8" w:color="auto"/>
            </w:tcBorders>
            <w:shd w:val="clear" w:color="auto" w:fill="CFF0FC"/>
          </w:tcPr>
          <w:p>
            <w:pPr>
              <w:spacing w:after="0"/>
              <w:rPr>
                <w:sz w:val="18"/>
                <w:szCs w:val="18"/>
                <w:color w:val="auto"/>
              </w:rPr>
            </w:pPr>
          </w:p>
        </w:tc>
        <w:tc>
          <w:tcPr>
            <w:tcW w:w="1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(65,719)</w:t>
            </w:r>
          </w:p>
        </w:tc>
      </w:tr>
      <w:tr>
        <w:trPr>
          <w:trHeight w:val="210"/>
        </w:trPr>
        <w:tc>
          <w:tcPr>
            <w:tcW w:w="9240" w:type="dxa"/>
            <w:vAlign w:val="bottom"/>
          </w:tcPr>
          <w:p>
            <w:pPr>
              <w:spacing w:after="0"/>
              <w:rPr>
                <w:sz w:val="20"/>
                <w:szCs w:val="20"/>
                <w:color w:val="auto"/>
              </w:rPr>
            </w:pPr>
            <w:r>
              <w:rPr>
                <w:rFonts w:ascii="Times New Roman" w:cs="Times New Roman" w:eastAsia="Times New Roman" w:hAnsi="Times New Roman"/>
                <w:sz w:val="18"/>
                <w:szCs w:val="18"/>
                <w:color w:val="auto"/>
              </w:rPr>
              <w:t>Ending allowance for doubtful accounts</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8"/>
                <w:szCs w:val="18"/>
                <w:color w:val="auto"/>
              </w:rPr>
              <w:t>39,027</w:t>
            </w:r>
          </w:p>
        </w:tc>
      </w:tr>
      <w:tr>
        <w:trPr>
          <w:trHeight w:val="20"/>
        </w:trPr>
        <w:tc>
          <w:tcPr>
            <w:tcW w:w="9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124" w:lineRule="exact"/>
        <w:rPr>
          <w:sz w:val="20"/>
          <w:szCs w:val="20"/>
          <w:color w:val="auto"/>
        </w:rPr>
      </w:pPr>
    </w:p>
    <w:p>
      <w:pPr>
        <w:ind w:left="140" w:hanging="132"/>
        <w:spacing w:after="0"/>
        <w:tabs>
          <w:tab w:leader="none" w:pos="140" w:val="left"/>
        </w:tabs>
        <w:numPr>
          <w:ilvl w:val="0"/>
          <w:numId w:val="10"/>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Uncollectible installment payments, franchisee obligations, customer cash advances and other corporate receivables are recognized in non-labor operating expenses in our condensed consolidated financial statements.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5" w:name="page16"/>
    <w:bookmarkEnd w:id="15"/>
    <w:p>
      <w:pPr>
        <w:jc w:val="center"/>
        <w:ind w:left="340" w:right="2100"/>
        <w:spacing w:after="0" w:line="278" w:lineRule="auto"/>
        <w:rPr>
          <w:sz w:val="20"/>
          <w:szCs w:val="20"/>
          <w:color w:val="auto"/>
        </w:rPr>
      </w:pPr>
      <w:r>
        <w:rPr>
          <w:rFonts w:ascii="Times New Roman" w:cs="Times New Roman" w:eastAsia="Times New Roman" w:hAnsi="Times New Roman"/>
          <w:sz w:val="18"/>
          <w:szCs w:val="18"/>
          <w:b w:val="1"/>
          <w:bCs w:val="1"/>
          <w:color w:val="auto"/>
        </w:rPr>
        <w:t>UPBOUND GROUP, INC. AND SUBSIDIARIES NOTES TO CONDENSED CONSOLIDATED FINANCIAL STATEMENTS - (Continued) (Unaudited)</w:t>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details of Brigit customer cash advances aging are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68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300" w:type="dxa"/>
            <w:vAlign w:val="bottom"/>
            <w:tcBorders>
              <w:bottom w:val="single" w:sz="8" w:color="auto"/>
            </w:tcBorders>
          </w:tcPr>
          <w:p>
            <w:pPr>
              <w:spacing w:after="0"/>
              <w:rPr>
                <w:sz w:val="15"/>
                <w:szCs w:val="15"/>
                <w:color w:val="auto"/>
              </w:rPr>
            </w:pPr>
          </w:p>
        </w:tc>
        <w:tc>
          <w:tcPr>
            <w:tcW w:w="2020" w:type="dxa"/>
            <w:vAlign w:val="bottom"/>
            <w:tcBorders>
              <w:bottom w:val="single" w:sz="8" w:color="auto"/>
            </w:tcBorders>
            <w:gridSpan w:val="3"/>
          </w:tcPr>
          <w:p>
            <w:pPr>
              <w:ind w:left="78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12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768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2020" w:type="dxa"/>
            <w:vAlign w:val="bottom"/>
            <w:gridSpan w:val="3"/>
          </w:tcPr>
          <w:p>
            <w:pPr>
              <w:ind w:left="22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240" w:type="dxa"/>
            <w:vAlign w:val="bottom"/>
          </w:tcPr>
          <w:p>
            <w:pPr>
              <w:jc w:val="right"/>
              <w:ind w:right="653"/>
              <w:spacing w:after="0" w:line="142" w:lineRule="exact"/>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210"/>
        </w:trPr>
        <w:tc>
          <w:tcPr>
            <w:tcW w:w="76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0-15 days</w:t>
            </w:r>
          </w:p>
        </w:tc>
        <w:tc>
          <w:tcPr>
            <w:tcW w:w="300" w:type="dxa"/>
            <w:vAlign w:val="bottom"/>
            <w:tcBorders>
              <w:top w:val="single" w:sz="8" w:color="auto"/>
            </w:tcBorders>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top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58,110</w:t>
            </w:r>
          </w:p>
        </w:tc>
        <w:tc>
          <w:tcPr>
            <w:tcW w:w="120" w:type="dxa"/>
            <w:vAlign w:val="bottom"/>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12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16"/>
        </w:trPr>
        <w:tc>
          <w:tcPr>
            <w:tcW w:w="7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16-30 days</w:t>
            </w:r>
          </w:p>
        </w:tc>
        <w:tc>
          <w:tcPr>
            <w:tcW w:w="300" w:type="dxa"/>
            <w:vAlign w:val="bottom"/>
          </w:tcPr>
          <w:p>
            <w:pPr>
              <w:spacing w:after="0"/>
              <w:rPr>
                <w:sz w:val="18"/>
                <w:szCs w:val="18"/>
                <w:color w:val="auto"/>
              </w:rPr>
            </w:pPr>
          </w:p>
        </w:tc>
        <w:tc>
          <w:tcPr>
            <w:tcW w:w="13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14,397</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16"/>
        </w:trPr>
        <w:tc>
          <w:tcPr>
            <w:tcW w:w="76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31-45 days</w:t>
            </w:r>
          </w:p>
        </w:tc>
        <w:tc>
          <w:tcPr>
            <w:tcW w:w="300" w:type="dxa"/>
            <w:vAlign w:val="bottom"/>
            <w:shd w:val="clear" w:color="auto" w:fill="CFF0FC"/>
          </w:tcPr>
          <w:p>
            <w:pPr>
              <w:spacing w:after="0"/>
              <w:rPr>
                <w:sz w:val="18"/>
                <w:szCs w:val="18"/>
                <w:color w:val="auto"/>
              </w:rPr>
            </w:pPr>
          </w:p>
        </w:tc>
        <w:tc>
          <w:tcPr>
            <w:tcW w:w="136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5,136</w:t>
            </w:r>
          </w:p>
        </w:tc>
        <w:tc>
          <w:tcPr>
            <w:tcW w:w="1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7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45+ days</w:t>
            </w:r>
          </w:p>
        </w:tc>
        <w:tc>
          <w:tcPr>
            <w:tcW w:w="3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3,514</w:t>
            </w:r>
          </w:p>
        </w:tc>
        <w:tc>
          <w:tcPr>
            <w:tcW w:w="12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50"/>
        </w:trPr>
        <w:tc>
          <w:tcPr>
            <w:tcW w:w="76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Customer cash advances before allowance for doubtful accounts</w:t>
            </w:r>
          </w:p>
        </w:tc>
        <w:tc>
          <w:tcPr>
            <w:tcW w:w="300" w:type="dxa"/>
            <w:vAlign w:val="bottom"/>
            <w:tcBorders>
              <w:bottom w:val="single" w:sz="8" w:color="auto"/>
            </w:tcBorders>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81,157</w:t>
            </w:r>
          </w:p>
        </w:tc>
        <w:tc>
          <w:tcPr>
            <w:tcW w:w="120" w:type="dxa"/>
            <w:vAlign w:val="bottom"/>
            <w:tcBorders>
              <w:bottom w:val="single" w:sz="8" w:color="CFF0FC"/>
            </w:tcBorders>
            <w:shd w:val="clear" w:color="auto" w:fill="CFF0FC"/>
          </w:tcPr>
          <w:p>
            <w:pPr>
              <w:spacing w:after="0"/>
              <w:rPr>
                <w:sz w:val="21"/>
                <w:szCs w:val="21"/>
                <w:color w:val="auto"/>
              </w:rPr>
            </w:pPr>
          </w:p>
        </w:tc>
        <w:tc>
          <w:tcPr>
            <w:tcW w:w="540" w:type="dxa"/>
            <w:vAlign w:val="bottom"/>
            <w:tcBorders>
              <w:bottom w:val="single" w:sz="8" w:color="auto"/>
            </w:tcBorders>
            <w:shd w:val="clear" w:color="auto" w:fill="CFF0FC"/>
          </w:tcPr>
          <w:p>
            <w:pPr>
              <w:spacing w:after="0"/>
              <w:rPr>
                <w:sz w:val="21"/>
                <w:szCs w:val="21"/>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50"/>
        </w:trPr>
        <w:tc>
          <w:tcPr>
            <w:tcW w:w="768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300" w:type="dxa"/>
            <w:vAlign w:val="bottom"/>
            <w:tcBorders>
              <w:bottom w:val="single" w:sz="8" w:color="auto"/>
            </w:tcBorders>
          </w:tcPr>
          <w:p>
            <w:pPr>
              <w:spacing w:after="0"/>
              <w:rPr>
                <w:sz w:val="21"/>
                <w:szCs w:val="21"/>
                <w:color w:val="auto"/>
              </w:rPr>
            </w:pPr>
          </w:p>
        </w:tc>
        <w:tc>
          <w:tcPr>
            <w:tcW w:w="2020" w:type="dxa"/>
            <w:vAlign w:val="bottom"/>
            <w:tcBorders>
              <w:bottom w:val="single" w:sz="8" w:color="auto"/>
            </w:tcBorders>
            <w:gridSpan w:val="3"/>
          </w:tcPr>
          <w:p>
            <w:pPr>
              <w:ind w:left="80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2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42"/>
        </w:trPr>
        <w:tc>
          <w:tcPr>
            <w:tcW w:w="768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2020" w:type="dxa"/>
            <w:vAlign w:val="bottom"/>
            <w:gridSpan w:val="3"/>
          </w:tcPr>
          <w:p>
            <w:pPr>
              <w:ind w:left="22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240" w:type="dxa"/>
            <w:vAlign w:val="bottom"/>
          </w:tcPr>
          <w:p>
            <w:pPr>
              <w:jc w:val="right"/>
              <w:ind w:right="653"/>
              <w:spacing w:after="0" w:line="142" w:lineRule="exact"/>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209"/>
        </w:trPr>
        <w:tc>
          <w:tcPr>
            <w:tcW w:w="76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0-15 days</w:t>
            </w:r>
          </w:p>
        </w:tc>
        <w:tc>
          <w:tcPr>
            <w:tcW w:w="300" w:type="dxa"/>
            <w:vAlign w:val="bottom"/>
            <w:tcBorders>
              <w:top w:val="single" w:sz="8" w:color="auto"/>
            </w:tcBorders>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top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44,077</w:t>
            </w:r>
          </w:p>
        </w:tc>
        <w:tc>
          <w:tcPr>
            <w:tcW w:w="120" w:type="dxa"/>
            <w:vAlign w:val="bottom"/>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12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16"/>
        </w:trPr>
        <w:tc>
          <w:tcPr>
            <w:tcW w:w="7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16-30 days</w:t>
            </w:r>
          </w:p>
        </w:tc>
        <w:tc>
          <w:tcPr>
            <w:tcW w:w="300" w:type="dxa"/>
            <w:vAlign w:val="bottom"/>
          </w:tcPr>
          <w:p>
            <w:pPr>
              <w:spacing w:after="0"/>
              <w:rPr>
                <w:sz w:val="18"/>
                <w:szCs w:val="18"/>
                <w:color w:val="auto"/>
              </w:rPr>
            </w:pPr>
          </w:p>
        </w:tc>
        <w:tc>
          <w:tcPr>
            <w:tcW w:w="13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9,844</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6"/>
        </w:trPr>
        <w:tc>
          <w:tcPr>
            <w:tcW w:w="76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31-45 days</w:t>
            </w:r>
          </w:p>
        </w:tc>
        <w:tc>
          <w:tcPr>
            <w:tcW w:w="300" w:type="dxa"/>
            <w:vAlign w:val="bottom"/>
            <w:shd w:val="clear" w:color="auto" w:fill="CFF0FC"/>
          </w:tcPr>
          <w:p>
            <w:pPr>
              <w:spacing w:after="0"/>
              <w:rPr>
                <w:sz w:val="18"/>
                <w:szCs w:val="18"/>
                <w:color w:val="auto"/>
              </w:rPr>
            </w:pPr>
          </w:p>
        </w:tc>
        <w:tc>
          <w:tcPr>
            <w:tcW w:w="136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3,731</w:t>
            </w:r>
          </w:p>
        </w:tc>
        <w:tc>
          <w:tcPr>
            <w:tcW w:w="1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7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45+ days</w:t>
            </w:r>
          </w:p>
        </w:tc>
        <w:tc>
          <w:tcPr>
            <w:tcW w:w="3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1,324</w:t>
            </w:r>
          </w:p>
        </w:tc>
        <w:tc>
          <w:tcPr>
            <w:tcW w:w="12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49"/>
        </w:trPr>
        <w:tc>
          <w:tcPr>
            <w:tcW w:w="76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Customer cash advances before allowance for doubtful accounts</w:t>
            </w:r>
          </w:p>
        </w:tc>
        <w:tc>
          <w:tcPr>
            <w:tcW w:w="300" w:type="dxa"/>
            <w:vAlign w:val="bottom"/>
            <w:tcBorders>
              <w:bottom w:val="single" w:sz="8" w:color="auto"/>
            </w:tcBorders>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58,976</w:t>
            </w:r>
          </w:p>
        </w:tc>
        <w:tc>
          <w:tcPr>
            <w:tcW w:w="120" w:type="dxa"/>
            <w:vAlign w:val="bottom"/>
            <w:tcBorders>
              <w:bottom w:val="single" w:sz="8" w:color="CFF0FC"/>
            </w:tcBorders>
            <w:shd w:val="clear" w:color="auto" w:fill="CFF0FC"/>
          </w:tcPr>
          <w:p>
            <w:pPr>
              <w:spacing w:after="0"/>
              <w:rPr>
                <w:sz w:val="21"/>
                <w:szCs w:val="21"/>
                <w:color w:val="auto"/>
              </w:rPr>
            </w:pPr>
          </w:p>
        </w:tc>
        <w:tc>
          <w:tcPr>
            <w:tcW w:w="540" w:type="dxa"/>
            <w:vAlign w:val="bottom"/>
            <w:tcBorders>
              <w:bottom w:val="single" w:sz="8" w:color="auto"/>
            </w:tcBorders>
            <w:shd w:val="clear" w:color="auto" w:fill="CFF0FC"/>
          </w:tcPr>
          <w:p>
            <w:pPr>
              <w:spacing w:after="0"/>
              <w:rPr>
                <w:sz w:val="21"/>
                <w:szCs w:val="21"/>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5928360</wp:posOffset>
            </wp:positionH>
            <wp:positionV relativeFrom="paragraph">
              <wp:posOffset>-1028065</wp:posOffset>
            </wp:positionV>
            <wp:extent cx="7683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-1010920</wp:posOffset>
            </wp:positionV>
            <wp:extent cx="7683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-24765</wp:posOffset>
            </wp:positionV>
            <wp:extent cx="7683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-7620</wp:posOffset>
            </wp:positionV>
            <wp:extent cx="7683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6835"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Income Taxes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effective tax rate was 26.7% and 28.0% for the three and nine months ended September 30, 2026, compared to 33.5% and 31.6% for the three and nine months ended September 30, 2025, respectively. The decrease in the effective tax rate for the three and nine months ended September 30, 2026 was primarily attributable to a lower impact of non-deductible expenses related to the Brigit acquisition.</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Senior Debt</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February 17, 2021, we entered into a credit agreement with JPMorgan Chase Bank, N.A., as administrative agent, and lenders party thereto, providing for a seven-year $875 million senior secured term loan facility (the “Term Loan Facility”), as amended on September 21, 2021, June 15, 2023, May 28, 2024 and August 19, 2025, and an Asset Based Loan Credit Facility (the “ABL Credit Facility”), as amended on August 10, 2022, June 7, 2024 and August 29, 2025, providing for a five-year asset-based revolving credit facility with commitments of $550 million and a letter of credit sublimit of $150 million. Commitments under the ABL Credit Facility may be increased, at our option and under certain conditions, by up to an additional $125 million in the aggregate.</w:t>
      </w:r>
    </w:p>
    <w:p>
      <w:pPr>
        <w:spacing w:after="0" w:line="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August 19, 2025, we entered into a Fourth Amendment to the Term Loan Facility, effective as of August 19, 2025. The amendment, in addition to certain other changes, (i) extended the maturity date for the loans outstanding under the Term Loan Facility to August 19, 2032 (subject to certain springing maturity provisions) and (ii) provided approximately $77 million of incremental commitments under the Term Loan Facility, all of which were drawn on August 19, 2025, resulting in total aggregate borrowings under the Term Loan Facility on such date of $875 million. Proceeds from the Term Loan Facility were net of original issue discount of $4.4 million upon issuance from the lenders.</w:t>
      </w:r>
    </w:p>
    <w:p>
      <w:pPr>
        <w:spacing w:after="0" w:line="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August 29, 2025, we entered into a Third Amendment to the ABL Credit Facility, effective as of August 29, 2025. The amendment provided for certain changes to the covenants applicable to the ABL Credit Facility.</w:t>
      </w:r>
    </w:p>
    <w:p>
      <w:pPr>
        <w:spacing w:after="0" w:line="5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connection with the execution of the Fourth Amendment to the Term Loan Facility and Third Amendment to the ABL Credit Facility, we incurred approximately $4.2 million in debt issuance costs, including third-party arrangement and other professional fees, of which approximately $4.0 million were expensed as debt refinance charges in our Condensed Consolidated Statements of Operations, and approximately $0.2 million were capitalized and recorded as a reduction to our outstanding senior debt in our Condensed Consolidated Balance Sheets. In addition, in accordance with ASC Topic 470, “Debt”, we recorded approximately $0.9 million in write-offs of unamortized debt issuance costs and original issue discount previously capitalized upon the Third Amendment to the Term Loan Facility on May 28, 2024. The write-offs were recorded as debt refinance charges in our Condensed Consolidated Statements of Operations.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6" w:name="page17"/>
    <w:bookmarkEnd w:id="16"/>
    <w:p>
      <w:pPr>
        <w:jc w:val="center"/>
        <w:ind w:left="340" w:right="2100"/>
        <w:spacing w:after="0" w:line="278" w:lineRule="auto"/>
        <w:rPr>
          <w:sz w:val="20"/>
          <w:szCs w:val="20"/>
          <w:color w:val="auto"/>
        </w:rPr>
      </w:pPr>
      <w:r>
        <w:rPr>
          <w:rFonts w:ascii="Times New Roman" w:cs="Times New Roman" w:eastAsia="Times New Roman" w:hAnsi="Times New Roman"/>
          <w:sz w:val="18"/>
          <w:szCs w:val="18"/>
          <w:b w:val="1"/>
          <w:bCs w:val="1"/>
          <w:color w:val="auto"/>
        </w:rPr>
        <w:t>UPBOUND GROUP, INC. AND SUBSIDIARIES NOTES TO CONDENSED CONSOLIDATED FINANCIAL STATEMENTS - (Continued) (Unaudited)</w:t>
      </w:r>
    </w:p>
    <w:p>
      <w:pPr>
        <w:spacing w:after="0" w:line="200" w:lineRule="exact"/>
        <w:rPr>
          <w:sz w:val="20"/>
          <w:szCs w:val="20"/>
          <w:color w:val="auto"/>
        </w:rPr>
      </w:pPr>
    </w:p>
    <w:p>
      <w:pPr>
        <w:spacing w:after="0" w:line="29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September 30, 2026, the total remaining balances of unamortized debt issuance costs and original issue discount related to our senior debt reported in the Condensed Consolidated Balance Sheets were approximately $5.2 million and $4.1 million, respectively. Remaining unamortized debt issuance costs and original issue discount will be amortized to interest expense over the remaining terms of the ABL Credit Facility and Term Loan Facility.</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had outstanding borrowings of $45.0 million under our ABL Credit Facility at September 30, 2026 and borrowing capacity of $451.2 million, net of issued letters of credit of approximately $53.8 million. The amount outstanding under the Term Loan Facility was $866.3 million at September 30, 2026.</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ABL Credit Facility</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ABL Credit Facility will mature on June 7, 2029 (subject to certain springing maturity provisions). We may borrow only up to the lesser of the level of the then-current borrowing base and the aggregate amount of commitments under the ABL Credit Facility. The borrowing base is tied to the amount of eligible installment sales accounts, inventory and eligible lease contracts, reduced by certain reserves.</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ABL Credit Facility bears interest at a fluctuating rate determined by reference to an adjusted Term SOFR rate plus an applicable margin of 1.50% to 2.00%. The total interest rate on the ABL Credit Facility at September 30, 2026 was 5.84%, including an applicable margin of 2.00%. A commitment fee equal to 0.250% to 0.375% of the unused portion of the ABL Credit Facility fluctuates dependent upon average utilization for the prior month as defined by a pricing grid included in the governing documents of the ABL Credit Facility. The commitment fee at September 30, 2026 was 0.375%.</w:t>
      </w:r>
    </w:p>
    <w:p>
      <w:pPr>
        <w:spacing w:after="0" w:line="7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Loans under the ABL Credit Facility may be borrowed, repaid and re-borrowed until June 7, 2029 (subject to certain springing maturity provisions), at which time all amounts borrowed must be repaid. The obligations under the ABL Credit Facility are guaranteed by us and certain of our material wholly owned domestic restricted subsidiaries, subject to certain exceptions. The obligations under the ABL Credit Facility and such guarantees are secured on a first-priority basis by all of our and our subsidiary guarantors’ accounts, inventory, deposit accounts, securities accounts, cash and cash equivalents, rental agreements, general intangibles (other than equity interests in our subsidiaries), chattel paper, instruments, documents, letter of credit rights, commercial tort claims related to the foregoing and other related assets and all proceeds thereof related to the foregoing, subject to permitted liens and certain exceptions (such assets, collectively, the “ABL Priority Collateral”) and a second-priority basis in substantially all other present and future tangible and intangible personal property of ours and the subsidiary guarantors, subject to certain exceptions.</w:t>
      </w:r>
    </w:p>
    <w:p>
      <w:pPr>
        <w:spacing w:after="0" w:line="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ABL Credit Facility contains covenants that are usual and customary for similar facilities and transactions and that, among other things, restrict our ability and our restricted subsidiaries’ ability to create certain liens and enter into certain sale and lease-back transactions; create, assume, incur or guarantee certain indebtedness; consolidate or merge with, or convey, transfer or lease all or substantially all of our and our restricted subsidiaries’ assets, to another person; pay dividends or make other distributions on, or repurchase or redeem, our capital stock or certain other debt; and make other restricted payments.</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governing documents of the ABL Credit Facility provide for customary events of default, including, but not limited to, failure to pay principal and interest, failure to comply with covenants, agreements or conditions, and certain events of bankruptcy or insolvency involving us and our significant subsidiaries. As of September 30, 2026, we were in compliance with all requirements and conditions set forth in our ABL Credit Facility governing documents.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Term Loan Facility</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Term Loan Facility, which matures on August 19, 2032 (subject to certain springing maturity provisions), amortizes in equal quarterly installments at a rate of 1.00% per annum of the original principal amount thereof, with the remaining balance due at final maturity. Subject in each case to certain restrictions and conditions, we may add up to $625 million (plus additional amounts subject to satisfaction of certain financial ratios) of incremental term loan facilities to the Term Loan Facility or utilize incremental capacity under the Term Loan Facility at any time by issuing or incurring incremental equivalent term debt.</w:t>
      </w:r>
    </w:p>
    <w:p>
      <w:pPr>
        <w:spacing w:after="0" w:line="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Interest on borrowings under the Term Loan Facility is payable at a fluctuating rate of interest determined by reference to the Term SOFR rate plus an applicable margin of 2.75%, subject to a 0.50% Term SOFR floor. The total interest rate on the Term Loan Facility was 6.48% at September 30, 2026.</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7" w:name="page18"/>
    <w:bookmarkEnd w:id="17"/>
    <w:p>
      <w:pPr>
        <w:jc w:val="center"/>
        <w:ind w:left="340" w:right="2100"/>
        <w:spacing w:after="0" w:line="278" w:lineRule="auto"/>
        <w:rPr>
          <w:sz w:val="20"/>
          <w:szCs w:val="20"/>
          <w:color w:val="auto"/>
        </w:rPr>
      </w:pPr>
      <w:r>
        <w:rPr>
          <w:rFonts w:ascii="Times New Roman" w:cs="Times New Roman" w:eastAsia="Times New Roman" w:hAnsi="Times New Roman"/>
          <w:sz w:val="18"/>
          <w:szCs w:val="18"/>
          <w:b w:val="1"/>
          <w:bCs w:val="1"/>
          <w:color w:val="auto"/>
        </w:rPr>
        <w:t>UPBOUND GROUP, INC. AND SUBSIDIARIES NOTES TO CONDENSED CONSOLIDATED FINANCIAL STATEMENTS - (Continued) (Unaudited)</w:t>
      </w:r>
    </w:p>
    <w:p>
      <w:pPr>
        <w:spacing w:after="0" w:line="200" w:lineRule="exact"/>
        <w:rPr>
          <w:sz w:val="20"/>
          <w:szCs w:val="20"/>
          <w:color w:val="auto"/>
        </w:rPr>
      </w:pPr>
    </w:p>
    <w:p>
      <w:pPr>
        <w:spacing w:after="0" w:line="29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Term Loan Facility is secured by a first-priority security interest in substantially all of our present and future tangible and intangible personal property, including our subsidiary guarantors, other than the ABL Priority Collateral, and by a second-priority security interest in the ABL Priority Collateral, subject to certain exceptions. The obligations under the Term Loan Facility are guaranteed by us and our material wholly owned domestic restricted subsidiaries that also guarantee the ABL Credit Facility.</w:t>
      </w:r>
    </w:p>
    <w:p>
      <w:pPr>
        <w:spacing w:after="0" w:line="7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Term Loan Facility contains covenants that are usual and customary for similar facilities and transactions and that, among other things, restrict our ability and our restricted subsidiaries’ ability to create certain liens and enter into certain sale and lease-back transactions; create, assume, incur or guarantee certain indebtedness; consolidate or merge with, or convey, transfer or lease all or substantially all of our and our restricted subsidiaries’ assets, to another person; pay dividends or make other distributions on, or repurchase or redeem, our capital stock or certain other debt; and make other restricted payments. The Term Loan Facility also includes mandatory prepayment requirements related to asset sales (subject to reinvestment), debt incurrence (other than permitted debt) and excess cash flow, in each case, subject to certain limitations described therein. These covenants are subject to a number of limitations and exceptions set forth in the governing documents of the Term Loan Facility.</w:t>
      </w:r>
    </w:p>
    <w:p>
      <w:pPr>
        <w:spacing w:after="0" w:line="8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Term Loan Facility provides for customary events of default, including, but not limited to, failure to pay principal and interest, failure to comply with covenants, agreements or conditions, and certain events of bankruptcy or insolvency involving us and our significant subsidiaries.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shows the scheduled maturity dates of our outstanding senior debt at September 30, 2026 for each of the years ending December 31:</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00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640" w:type="dxa"/>
            <w:vAlign w:val="bottom"/>
          </w:tcPr>
          <w:p>
            <w:pPr>
              <w:spacing w:after="0"/>
              <w:rPr>
                <w:sz w:val="15"/>
                <w:szCs w:val="15"/>
                <w:color w:val="auto"/>
              </w:rPr>
            </w:pPr>
          </w:p>
        </w:tc>
        <w:tc>
          <w:tcPr>
            <w:tcW w:w="1460" w:type="dxa"/>
            <w:vAlign w:val="bottom"/>
            <w:tcBorders>
              <w:bottom w:val="single" w:sz="8" w:color="auto"/>
            </w:tcBorders>
            <w:gridSpan w:val="2"/>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ABL Credit Facility</w:t>
            </w:r>
          </w:p>
        </w:tc>
        <w:tc>
          <w:tcPr>
            <w:tcW w:w="160" w:type="dxa"/>
            <w:vAlign w:val="bottom"/>
          </w:tcPr>
          <w:p>
            <w:pPr>
              <w:spacing w:after="0"/>
              <w:rPr>
                <w:sz w:val="15"/>
                <w:szCs w:val="15"/>
                <w:color w:val="auto"/>
              </w:rPr>
            </w:pPr>
          </w:p>
        </w:tc>
        <w:tc>
          <w:tcPr>
            <w:tcW w:w="1420" w:type="dxa"/>
            <w:vAlign w:val="bottom"/>
            <w:tcBorders>
              <w:bottom w:val="single" w:sz="8" w:color="auto"/>
            </w:tcBorders>
            <w:gridSpan w:val="2"/>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Term Loan Facility</w:t>
            </w:r>
          </w:p>
        </w:tc>
        <w:tc>
          <w:tcPr>
            <w:tcW w:w="1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09"/>
        </w:trPr>
        <w:tc>
          <w:tcPr>
            <w:tcW w:w="4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2026</w:t>
            </w:r>
          </w:p>
        </w:tc>
        <w:tc>
          <w:tcPr>
            <w:tcW w:w="3100" w:type="dxa"/>
            <w:vAlign w:val="bottom"/>
            <w:gridSpan w:val="2"/>
            <w:shd w:val="clear" w:color="auto" w:fill="CFF0FC"/>
          </w:tcPr>
          <w:p>
            <w:pPr>
              <w:jc w:val="right"/>
              <w:ind w:right="308"/>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FF0FC"/>
          </w:tcPr>
          <w:p>
            <w:pPr>
              <w:jc w:val="right"/>
              <w:ind w:right="248"/>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2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2028</w:t>
            </w:r>
          </w:p>
        </w:tc>
        <w:tc>
          <w:tcPr>
            <w:tcW w:w="264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2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45,000</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45,000</w:t>
            </w:r>
          </w:p>
        </w:tc>
      </w:tr>
      <w:tr>
        <w:trPr>
          <w:trHeight w:val="216"/>
        </w:trPr>
        <w:tc>
          <w:tcPr>
            <w:tcW w:w="4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2030</w:t>
            </w:r>
          </w:p>
        </w:tc>
        <w:tc>
          <w:tcPr>
            <w:tcW w:w="264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264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866,250</w:t>
            </w:r>
          </w:p>
        </w:tc>
        <w:tc>
          <w:tcPr>
            <w:tcW w:w="1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866,250</w:t>
            </w:r>
          </w:p>
        </w:tc>
      </w:tr>
      <w:tr>
        <w:trPr>
          <w:trHeight w:val="229"/>
        </w:trPr>
        <w:tc>
          <w:tcPr>
            <w:tcW w:w="40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 senior debt</w:t>
            </w:r>
          </w:p>
        </w:tc>
        <w:tc>
          <w:tcPr>
            <w:tcW w:w="3100" w:type="dxa"/>
            <w:vAlign w:val="bottom"/>
            <w:gridSpan w:val="2"/>
            <w:shd w:val="clear" w:color="auto" w:fill="CFF0FC"/>
          </w:tcPr>
          <w:p>
            <w:pPr>
              <w:jc w:val="right"/>
              <w:ind w:right="308"/>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45,000</w:t>
            </w:r>
          </w:p>
        </w:tc>
        <w:tc>
          <w:tcPr>
            <w:tcW w:w="560" w:type="dxa"/>
            <w:vAlign w:val="bottom"/>
            <w:gridSpan w:val="2"/>
            <w:shd w:val="clear" w:color="auto" w:fill="CFF0FC"/>
          </w:tcPr>
          <w:p>
            <w:pPr>
              <w:jc w:val="right"/>
              <w:ind w:right="248"/>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866,250</w:t>
            </w:r>
          </w:p>
        </w:tc>
        <w:tc>
          <w:tcPr>
            <w:tcW w:w="4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911,250</w:t>
            </w:r>
          </w:p>
        </w:tc>
      </w:tr>
      <w:tr>
        <w:trPr>
          <w:trHeight w:val="20"/>
        </w:trPr>
        <w:tc>
          <w:tcPr>
            <w:tcW w:w="4000" w:type="dxa"/>
            <w:vAlign w:val="bottom"/>
            <w:tcBorders>
              <w:top w:val="single" w:sz="8" w:color="CFF0FC"/>
            </w:tcBorders>
            <w:shd w:val="clear" w:color="auto" w:fill="CFF0FC"/>
          </w:tcPr>
          <w:p>
            <w:pPr>
              <w:spacing w:after="0" w:line="20" w:lineRule="exact"/>
              <w:rPr>
                <w:sz w:val="1"/>
                <w:szCs w:val="1"/>
                <w:color w:val="auto"/>
              </w:rPr>
            </w:pPr>
          </w:p>
        </w:tc>
        <w:tc>
          <w:tcPr>
            <w:tcW w:w="2640" w:type="dxa"/>
            <w:vAlign w:val="bottom"/>
            <w:tcBorders>
              <w:top w:val="single" w:sz="8" w:color="CFF0FC"/>
            </w:tcBorders>
            <w:shd w:val="clear" w:color="auto" w:fill="CFF0FC"/>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5139690</wp:posOffset>
            </wp:positionH>
            <wp:positionV relativeFrom="paragraph">
              <wp:posOffset>-25400</wp:posOffset>
            </wp:positionV>
            <wp:extent cx="10287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-7620</wp:posOffset>
            </wp:positionV>
            <wp:extent cx="10287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-25400</wp:posOffset>
            </wp:positionV>
            <wp:extent cx="9398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-7620</wp:posOffset>
            </wp:positionV>
            <wp:extent cx="939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Senior Notes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February 17, 2021, we issued $450 million in senior unsecured notes all of which are due February 15, 2029, at par value, bearing interest at 6.375% (the “Notes”), the proceeds of which were used to fund a portion of the consideration upon closing of the Acima Holdings acquisition. Interest on the Notes is payable in arrears on February 15 and August 15 of each year. In connection with the issuance of the Notes, we incurred approximately $15.7 million in debt issuance costs, including bank financing fees and third-party legal and other professional fees, which were capitalized in accordance with ASC Topic 470, “Debt” and recorded as a reduction of our outstanding Notes in our Condensed Consolidated Balance Sheets. Debt issuance costs are amortized as interest expense over the term of the Notes. As of September 30, 2026, the total remaining balance of unamortized debt issuance costs related to our Notes reported in the Condensed Consolidated Balance Sheets was approximately $4.7 million.</w:t>
      </w:r>
    </w:p>
    <w:p>
      <w:pPr>
        <w:spacing w:after="0" w:line="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may redeem some or all of the Notes at any time for cash at the redemption prices set forth in the indenture governing the Notes, plus accrued and unpaid interest to, but not including, the redemption date. If we experience specific kinds of change in control, we will be required to offer to purchase the Notes at a price equal to 101% of the principal amount thereof plus accrued and unpaid interest.</w:t>
      </w:r>
    </w:p>
    <w:p>
      <w:pPr>
        <w:spacing w:after="0" w:line="6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Notes are our general unsecured senior obligations, and are effectively subordinated to all of our existing and future secured indebtedness to the extent of the value of the collateral securing such indebtedness, structurally subordinated to all existing and future indebtedness and other liabilities of our non-guarantor subsidiaries, equal in right of payment to all of our and our guarantor subsidiaries’ existing and future senior unsecured indebtedness and senior in right of payment to all of our future subordinated indebtedness, if any. The Notes are jointly and severally guaranteed on a senior unsecured basis by certain of our domestic subsidiaries that have outstanding indebtedness or guarantee other specified indebtedness, including the ABL Credit Facility and the Term Loan Facility.</w:t>
      </w:r>
    </w:p>
    <w:p>
      <w:pPr>
        <w:spacing w:after="0" w:line="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indenture governing the Notes contains covenants that limit, among other things, our ability and the ability of some of our restricted subsidiaries to create liens, transfer or sell assets, incur indebtedness or issue certain preferred stock, pay dividends, redeem stock or make other distributions, make other restricted payments or investments, create restrictions on payment of dividends or other amounts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8" w:name="page19"/>
    <w:bookmarkEnd w:id="18"/>
    <w:p>
      <w:pPr>
        <w:jc w:val="center"/>
        <w:ind w:left="340" w:right="2100"/>
        <w:spacing w:after="0" w:line="278" w:lineRule="auto"/>
        <w:rPr>
          <w:sz w:val="20"/>
          <w:szCs w:val="20"/>
          <w:color w:val="auto"/>
        </w:rPr>
      </w:pPr>
      <w:r>
        <w:rPr>
          <w:rFonts w:ascii="Times New Roman" w:cs="Times New Roman" w:eastAsia="Times New Roman" w:hAnsi="Times New Roman"/>
          <w:sz w:val="18"/>
          <w:szCs w:val="18"/>
          <w:b w:val="1"/>
          <w:bCs w:val="1"/>
          <w:color w:val="auto"/>
        </w:rPr>
        <w:t>UPBOUND GROUP, INC. AND SUBSIDIARIES NOTES TO CONDENSED CONSOLIDATED FINANCIAL STATEMENTS - (Continued) (Unaudited)</w:t>
      </w:r>
    </w:p>
    <w:p>
      <w:pPr>
        <w:spacing w:after="0" w:line="200" w:lineRule="exact"/>
        <w:rPr>
          <w:sz w:val="20"/>
          <w:szCs w:val="20"/>
          <w:color w:val="auto"/>
        </w:rPr>
      </w:pPr>
    </w:p>
    <w:p>
      <w:pPr>
        <w:spacing w:after="0" w:line="29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to us by our restricted subsidiaries, merge or consolidate with other entities, engage in certain transactions with affiliates and designate our subsidiaries as unrestricted subsidiaries. These covenants are subject to a number of exceptions and qualifications. The covenants limiting restricted payments, restrictions on payment of dividends or other amounts to us by our restricted subsidiaries, the ability to incur indebtedness, asset dispositions and transactions with affiliates will be suspended if and while the Notes have investment grade ratings from any two of Standard &amp; Poor’s Ratings Services, Moody’s Investors Service, Inc. and Fitch, Inc.</w:t>
      </w:r>
    </w:p>
    <w:p>
      <w:pPr>
        <w:spacing w:after="0" w:line="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indenture governing the Notes also provides for events of default, which, if any of them occurs, would permit or require the principal, premium, if any, and interest on all the then outstanding Notes to be due and payable.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Fair Value</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follow a three-tier fair value hierarchy, which classifies the inputs used in measuring fair values, in determining the fair value of our non-financial assets and non-financial liabilities, which consist primarily of goodwill. These tiers include: Level 1, defined as observable inputs such as quoted prices for identical instruments in active markets; Level 2, defined as inputs other than quoted prices in active markets that are either directly or indirectly observable; and Level 3, defined as unobservable inputs in which little or no market data exists, therefore requiring an entity to develop its own assumptions.</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financial instruments include cash and cash equivalents, receivables, payables, borrowings against our ABL Credit Facility and Term Loan Facility, and outstanding Notes. The carrying amount of cash and cash equivalents, receivables and payables approximates fair value at September 30, 2026 and December 31, 2025, because of the short maturities of these instruments. In addition, the interest rates on our Term Loan Facility and ABL Credit Facility are variable and, therefore, we believe the carrying value of outstanding borrowings approximates their fair value.</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fair value of our Notes is based on Level 1 inputs and was as follows at September 30, 2026:</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76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8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1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760" w:type="dxa"/>
            <w:vAlign w:val="bottom"/>
            <w:vMerge w:val="continue"/>
          </w:tcPr>
          <w:p>
            <w:pPr>
              <w:spacing w:after="0"/>
              <w:rPr>
                <w:sz w:val="12"/>
                <w:szCs w:val="12"/>
                <w:color w:val="auto"/>
              </w:rPr>
            </w:pPr>
          </w:p>
        </w:tc>
        <w:tc>
          <w:tcPr>
            <w:tcW w:w="28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jc w:val="right"/>
              <w:ind w:right="239"/>
              <w:spacing w:after="0" w:line="142" w:lineRule="exact"/>
              <w:rPr>
                <w:sz w:val="20"/>
                <w:szCs w:val="20"/>
                <w:color w:val="auto"/>
              </w:rPr>
            </w:pPr>
            <w:r>
              <w:rPr>
                <w:rFonts w:ascii="Times New Roman" w:cs="Times New Roman" w:eastAsia="Times New Roman" w:hAnsi="Times New Roman"/>
                <w:sz w:val="14"/>
                <w:szCs w:val="14"/>
                <w:b w:val="1"/>
                <w:bCs w:val="1"/>
                <w:color w:val="auto"/>
              </w:rPr>
              <w:t>Carrying Value</w:t>
            </w:r>
          </w:p>
        </w:tc>
        <w:tc>
          <w:tcPr>
            <w:tcW w:w="16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ind w:right="359"/>
              <w:spacing w:after="0" w:line="142"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14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359"/>
              <w:spacing w:after="0" w:line="142" w:lineRule="exact"/>
              <w:rPr>
                <w:sz w:val="20"/>
                <w:szCs w:val="20"/>
                <w:color w:val="auto"/>
              </w:rPr>
            </w:pPr>
            <w:r>
              <w:rPr>
                <w:rFonts w:ascii="Times New Roman" w:cs="Times New Roman" w:eastAsia="Times New Roman" w:hAnsi="Times New Roman"/>
                <w:sz w:val="14"/>
                <w:szCs w:val="14"/>
                <w:b w:val="1"/>
                <w:bCs w:val="1"/>
                <w:color w:val="auto"/>
              </w:rPr>
              <w:t>Difference</w:t>
            </w:r>
          </w:p>
        </w:tc>
        <w:tc>
          <w:tcPr>
            <w:tcW w:w="0" w:type="dxa"/>
            <w:vAlign w:val="bottom"/>
          </w:tcPr>
          <w:p>
            <w:pPr>
              <w:spacing w:after="0"/>
              <w:rPr>
                <w:sz w:val="1"/>
                <w:szCs w:val="1"/>
                <w:color w:val="auto"/>
              </w:rPr>
            </w:pPr>
          </w:p>
        </w:tc>
      </w:tr>
      <w:tr>
        <w:trPr>
          <w:trHeight w:val="209"/>
        </w:trPr>
        <w:tc>
          <w:tcPr>
            <w:tcW w:w="3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Senior notes</w:t>
            </w:r>
          </w:p>
        </w:tc>
        <w:tc>
          <w:tcPr>
            <w:tcW w:w="30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8"/>
                <w:szCs w:val="18"/>
                <w:color w:val="auto"/>
              </w:rPr>
              <w:t>450,000</w:t>
            </w:r>
          </w:p>
        </w:tc>
        <w:tc>
          <w:tcPr>
            <w:tcW w:w="36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435,735</w:t>
            </w:r>
          </w:p>
        </w:tc>
        <w:tc>
          <w:tcPr>
            <w:tcW w:w="3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(14,265)</w:t>
            </w:r>
          </w:p>
        </w:tc>
        <w:tc>
          <w:tcPr>
            <w:tcW w:w="0" w:type="dxa"/>
            <w:vAlign w:val="bottom"/>
          </w:tcPr>
          <w:p>
            <w:pPr>
              <w:spacing w:after="0"/>
              <w:rPr>
                <w:sz w:val="1"/>
                <w:szCs w:val="1"/>
                <w:color w:val="auto"/>
              </w:rPr>
            </w:pPr>
          </w:p>
        </w:tc>
      </w:tr>
    </w:tbl>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Other Gains and Charges</w:t>
      </w:r>
    </w:p>
    <w:p>
      <w:pPr>
        <w:spacing w:after="0" w:line="11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Acima Holdings Acquisition. </w:t>
      </w:r>
      <w:r>
        <w:rPr>
          <w:rFonts w:ascii="Times New Roman" w:cs="Times New Roman" w:eastAsia="Times New Roman" w:hAnsi="Times New Roman"/>
          <w:sz w:val="18"/>
          <w:szCs w:val="18"/>
          <w:color w:val="auto"/>
        </w:rPr>
        <w:t>On February 17, 2021, we completed the acquisition of Acima Holdings, a leading provider of virtual lease-to-own solutions.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fair value of assets acquired as part of the transaction included $520 million in intangible assets and $170 million in developed technology. During the nine months ended September 30, 2026 and 2025, we recognized approximately $32.9 million and $32.8 million, respectively, in amortization expense related to acquired intangible assets. We also recognized approximately $11.9 million in incremental depreciation expense related to acquired technology assets during both the nine months ended September 30, 2026 and 2025. Depreciation expense for technology assets is reported under our Corporate segment.</w:t>
      </w:r>
    </w:p>
    <w:p>
      <w:pPr>
        <w:spacing w:after="0" w:line="7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Brigit Acquisition. </w:t>
      </w:r>
      <w:r>
        <w:rPr>
          <w:rFonts w:ascii="Times New Roman" w:cs="Times New Roman" w:eastAsia="Times New Roman" w:hAnsi="Times New Roman"/>
          <w:sz w:val="18"/>
          <w:szCs w:val="18"/>
          <w:color w:val="auto"/>
        </w:rPr>
        <w:t>As described in Note 2, on January 31, 2025, we completed the acquisition of Brigit, a leading holistic financial health technology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Included in the aggregate consideration issued to the former owners of Brigit were 1,313,331 shares, valued at $39.1 million, issued under restricted stock agreements and subject to vesting conditions, which will be recognized as stock compensation expense over the vesting term, in accordance with ASC Topic 718, “Stock-based Compensation”. During the nine months ended September 30, 2026 and 2025, we recognized approximately $16.9 million and $15.6 million, respectively, in stock compensation expense related to these restricted stock agreements, in addition to $14.2 million and $10.6 million, respectively, related to Brigit's Replacement Awards and other agreement compensation. Stock-based and other acquisition-related compensation expense associated with the Brigit acquisition is reported under our Corporate segment. See Note 2 and Note 11 for additional information.</w:t>
      </w:r>
    </w:p>
    <w:p>
      <w:pPr>
        <w:spacing w:after="0" w:line="7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fair value of assets acquired as part of the transaction included $152.3 million in intangible assets and $65.1 million in developed technology. During the nine months ended September 30, 2026 and 2025, we recognized approximately $11.7 million and $10.4 million, respectively, in amortization expense related to acquired intangible assets. We also recognized approximately $7.0 million and $6.2 million in incremental depreciation expense related to acquired technology assets during the nine months ended September 30, 2026 and 2025, respectively. Depreciation expense for technology assets is reported under our Corporate segment.</w:t>
      </w:r>
    </w:p>
    <w:p>
      <w:pPr>
        <w:spacing w:after="0" w:line="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nine months ended September 30, 2025, we recognized approximately $6.7 million in transaction costs associated with the closing of the transaction, reported under our Corporate segment.</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9" w:name="page20"/>
    <w:bookmarkEnd w:id="19"/>
    <w:p>
      <w:pPr>
        <w:jc w:val="center"/>
        <w:ind w:left="340" w:right="2100"/>
        <w:spacing w:after="0" w:line="278" w:lineRule="auto"/>
        <w:rPr>
          <w:sz w:val="20"/>
          <w:szCs w:val="20"/>
          <w:color w:val="auto"/>
        </w:rPr>
      </w:pPr>
      <w:r>
        <w:rPr>
          <w:rFonts w:ascii="Times New Roman" w:cs="Times New Roman" w:eastAsia="Times New Roman" w:hAnsi="Times New Roman"/>
          <w:sz w:val="18"/>
          <w:szCs w:val="18"/>
          <w:b w:val="1"/>
          <w:bCs w:val="1"/>
          <w:color w:val="auto"/>
        </w:rPr>
        <w:t>UPBOUND GROUP, INC. AND SUBSIDIARIES NOTES TO CONDENSED CONSOLIDATED FINANCIAL STATEMENTS - (Continued) (Unaudited)</w:t>
      </w:r>
    </w:p>
    <w:p>
      <w:pPr>
        <w:spacing w:after="0" w:line="200" w:lineRule="exact"/>
        <w:rPr>
          <w:sz w:val="20"/>
          <w:szCs w:val="20"/>
          <w:color w:val="auto"/>
        </w:rPr>
      </w:pPr>
    </w:p>
    <w:p>
      <w:pPr>
        <w:spacing w:after="0" w:line="29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Legal Matters. </w:t>
      </w:r>
      <w:r>
        <w:rPr>
          <w:rFonts w:ascii="Times New Roman" w:cs="Times New Roman" w:eastAsia="Times New Roman" w:hAnsi="Times New Roman"/>
          <w:sz w:val="18"/>
          <w:szCs w:val="18"/>
          <w:color w:val="auto"/>
        </w:rPr>
        <w:t>As disclosed further in Note 12 in this Quarterly Report on Form 10-Q and as previously disclosed, we are currently party to a filed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regulatory lawsuit with the New York Attorney General, as well as a multistate regulatory investigation by attorneys’ general offices, none of which we believe are representative of historical regulatory matters that arise in the ordinary course of our business. The District of Columbia Attorney General entered into a final settlement agreement with Acima during the first quarter of 2026. These matters relate to lease-to-own transactions for our Acima subsidiary, which was acquired in 2021. We were also party to a recently settled certified class action brought on behalf of certain individuals who entered into rental purchase agreements and paid certain fees with the Company’s former Acceptance Now business in the state of California, and we were party to a patent infringement lawsuit that has been settled. During the nine months ended September 30, 2026 and 2025, we recorded estimated legal accruals of $1.9 million and $50.6 million, respectively, based on the then-current status of our legal matters, including the foregoing matters, and incurred related litigation and defense expenses of $1.1 million and $5.2 million for the nine months ended September 30, 2026 and 2025, respectively. Legal accruals for litigation matters and related defense expenses are reported under our Corporate segment. We will continue to evaluate and modify our estimated legal accruals as appropriate in future periods based on future developments.</w:t>
      </w:r>
    </w:p>
    <w:p>
      <w:pPr>
        <w:spacing w:after="0" w:line="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Acima Fraudulent Lease-to-Own Contract Losses. </w:t>
      </w:r>
      <w:r>
        <w:rPr>
          <w:rFonts w:ascii="Times New Roman" w:cs="Times New Roman" w:eastAsia="Times New Roman" w:hAnsi="Times New Roman"/>
          <w:sz w:val="18"/>
          <w:szCs w:val="18"/>
          <w:color w:val="auto"/>
        </w:rPr>
        <w:t>As previously disclosed in our Form 8-K filed on July 22, 2026, the Company experienced cybersecurity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incidents in which certain customer information and other documents were obtained without authorization. In connection with certain such incidents, we believe the information was subsequently used to facilitate fraudulent lease-to-own agreements, contributing to incremental estimated fraudulent contract losses of $13.3 million in our Acima segment during the nine months ended September 30, 2026.</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Store Consolidations</w:t>
      </w:r>
      <w:r>
        <w:rPr>
          <w:rFonts w:ascii="Times New Roman" w:cs="Times New Roman" w:eastAsia="Times New Roman" w:hAnsi="Times New Roman"/>
          <w:sz w:val="18"/>
          <w:szCs w:val="18"/>
          <w:color w:val="auto"/>
        </w:rPr>
        <w:t>. In the second quarter of 2026 we initiated a strategic plan focused on optimizing our Rent-A-Center store footprint and operating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model to better serve our markets. In connection with the initiation of this plan, we closed 69 Rent-A-Center stores in certain geographical markets, resulting in $6.4 million in lease impairment charges, $1.7 million in disposal of fixed assets and $1.8 million in other miscellaneous shutdown and holding costs for the nine months ended September 30, 2026.</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Refranchised Store Closures. </w:t>
      </w:r>
      <w:r>
        <w:rPr>
          <w:rFonts w:ascii="Times New Roman" w:cs="Times New Roman" w:eastAsia="Times New Roman" w:hAnsi="Times New Roman"/>
          <w:sz w:val="18"/>
          <w:szCs w:val="18"/>
          <w:color w:val="auto"/>
        </w:rPr>
        <w:t>During the three months ended September 30, 2025, certain refranchised stores for which we remained liable under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existing store and vehicle lease agreements were closed resulting in pre-tax lease impairment charges to write off the remaining right-of-use asset of $11.6 million and $1.3 million in other miscellaneous shutdown and holding costs. Impairment charges and other expenses for these refranchised store closures are reported under our Rent-A-Center segment.</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Stock Award Letter Agreement. </w:t>
      </w:r>
      <w:r>
        <w:rPr>
          <w:rFonts w:ascii="Times New Roman" w:cs="Times New Roman" w:eastAsia="Times New Roman" w:hAnsi="Times New Roman"/>
          <w:sz w:val="18"/>
          <w:szCs w:val="18"/>
          <w:color w:val="auto"/>
        </w:rPr>
        <w:t>On April 3, 2024, we entered into a letter agreement with the Company’s former Chief Executive Officer as disclosed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Current Report on Form 8-K dated as of April 5, 2024. The terms of the letter agreement included special provisions for his outstanding restricted stock awards vesting at various times through February 2027, which resulted in the acceleration of stock compensation expense for those awards in accordance with ASC Topic 718, “Stock-based Compensation”. Accelerated stock compensation expense recognized for the nine months ended September 30, 2025 due to this letter agreement was approximately $1.6 million. Stock-based compensation expense is reported under our Corporate segment.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Activity with respect to other gains and charges is summarized in the below table:</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68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1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500" w:type="dxa"/>
            <w:vAlign w:val="bottom"/>
            <w:tcBorders>
              <w:bottom w:val="single" w:sz="8" w:color="auto"/>
            </w:tcBorders>
            <w:gridSpan w:val="4"/>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520" w:type="dxa"/>
            <w:vAlign w:val="bottom"/>
            <w:tcBorders>
              <w:bottom w:val="single" w:sz="8" w:color="auto"/>
            </w:tcBorders>
            <w:gridSpan w:val="4"/>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56"/>
        </w:trPr>
        <w:tc>
          <w:tcPr>
            <w:tcW w:w="4680" w:type="dxa"/>
            <w:vAlign w:val="bottom"/>
            <w:vMerge w:val="continue"/>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432"/>
              <w:spacing w:after="0" w:line="155" w:lineRule="exact"/>
              <w:rPr>
                <w:sz w:val="20"/>
                <w:szCs w:val="20"/>
                <w:color w:val="auto"/>
              </w:rPr>
            </w:pPr>
            <w:r>
              <w:rPr>
                <w:rFonts w:ascii="Times New Roman" w:cs="Times New Roman" w:eastAsia="Times New Roman" w:hAnsi="Times New Roman"/>
                <w:sz w:val="14"/>
                <w:szCs w:val="14"/>
                <w:b w:val="1"/>
                <w:bCs w:val="1"/>
                <w:color w:val="auto"/>
              </w:rPr>
              <w:t>2026</w:t>
            </w:r>
          </w:p>
        </w:tc>
        <w:tc>
          <w:tcPr>
            <w:tcW w:w="14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451"/>
              <w:spacing w:after="0" w:line="155"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452"/>
              <w:spacing w:after="0" w:line="155" w:lineRule="exact"/>
              <w:rPr>
                <w:sz w:val="20"/>
                <w:szCs w:val="20"/>
                <w:color w:val="auto"/>
              </w:rPr>
            </w:pPr>
            <w:r>
              <w:rPr>
                <w:rFonts w:ascii="Times New Roman" w:cs="Times New Roman" w:eastAsia="Times New Roman" w:hAnsi="Times New Roman"/>
                <w:sz w:val="14"/>
                <w:szCs w:val="14"/>
                <w:b w:val="1"/>
                <w:bCs w:val="1"/>
                <w:color w:val="auto"/>
              </w:rPr>
              <w:t>2026</w:t>
            </w:r>
          </w:p>
        </w:tc>
        <w:tc>
          <w:tcPr>
            <w:tcW w:w="14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71"/>
              <w:spacing w:after="0" w:line="155" w:lineRule="exact"/>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09"/>
        </w:trPr>
        <w:tc>
          <w:tcPr>
            <w:tcW w:w="4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Acima acquired assets depreciation and amortization</w:t>
            </w:r>
          </w:p>
        </w:tc>
        <w:tc>
          <w:tcPr>
            <w:tcW w:w="12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14,944</w:t>
            </w:r>
          </w:p>
        </w:tc>
        <w:tc>
          <w:tcPr>
            <w:tcW w:w="4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14,900</w:t>
            </w:r>
          </w:p>
        </w:tc>
        <w:tc>
          <w:tcPr>
            <w:tcW w:w="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44,832</w:t>
            </w:r>
          </w:p>
        </w:tc>
        <w:tc>
          <w:tcPr>
            <w:tcW w:w="3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44,700</w:t>
            </w:r>
          </w:p>
        </w:tc>
        <w:tc>
          <w:tcPr>
            <w:tcW w:w="0" w:type="dxa"/>
            <w:vAlign w:val="bottom"/>
          </w:tcPr>
          <w:p>
            <w:pPr>
              <w:spacing w:after="0"/>
              <w:rPr>
                <w:sz w:val="1"/>
                <w:szCs w:val="1"/>
                <w:color w:val="auto"/>
              </w:rPr>
            </w:pPr>
          </w:p>
        </w:tc>
      </w:tr>
      <w:tr>
        <w:trPr>
          <w:trHeight w:val="216"/>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Brigit acquired assets depreciation and amortization</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6,216</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6,216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18,648</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16,576</w:t>
            </w:r>
          </w:p>
        </w:tc>
        <w:tc>
          <w:tcPr>
            <w:tcW w:w="0" w:type="dxa"/>
            <w:vAlign w:val="bottom"/>
          </w:tcPr>
          <w:p>
            <w:pPr>
              <w:spacing w:after="0"/>
              <w:rPr>
                <w:sz w:val="1"/>
                <w:szCs w:val="1"/>
                <w:color w:val="auto"/>
              </w:rPr>
            </w:pPr>
          </w:p>
        </w:tc>
      </w:tr>
      <w:tr>
        <w:trPr>
          <w:trHeight w:val="216"/>
        </w:trPr>
        <w:tc>
          <w:tcPr>
            <w:tcW w:w="4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Brigit equity consideration vesting</w:t>
            </w:r>
          </w:p>
        </w:tc>
        <w:tc>
          <w:tcPr>
            <w:tcW w:w="1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5,101</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16,913</w:t>
            </w: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15,565</w:t>
            </w:r>
          </w:p>
        </w:tc>
        <w:tc>
          <w:tcPr>
            <w:tcW w:w="0" w:type="dxa"/>
            <w:vAlign w:val="bottom"/>
          </w:tcPr>
          <w:p>
            <w:pPr>
              <w:spacing w:after="0"/>
              <w:rPr>
                <w:sz w:val="1"/>
                <w:szCs w:val="1"/>
                <w:color w:val="auto"/>
              </w:rPr>
            </w:pPr>
          </w:p>
        </w:tc>
      </w:tr>
      <w:tr>
        <w:trPr>
          <w:trHeight w:val="216"/>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Brigit replacement awards and other compensation</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4,245</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4,495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14,176</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10,567</w:t>
            </w:r>
          </w:p>
        </w:tc>
        <w:tc>
          <w:tcPr>
            <w:tcW w:w="0" w:type="dxa"/>
            <w:vAlign w:val="bottom"/>
          </w:tcPr>
          <w:p>
            <w:pPr>
              <w:spacing w:after="0"/>
              <w:rPr>
                <w:sz w:val="1"/>
                <w:szCs w:val="1"/>
                <w:color w:val="auto"/>
              </w:rPr>
            </w:pPr>
          </w:p>
        </w:tc>
      </w:tr>
      <w:tr>
        <w:trPr>
          <w:trHeight w:val="216"/>
        </w:trPr>
        <w:tc>
          <w:tcPr>
            <w:tcW w:w="4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Acima fraudulent lease-to-own contract losses</w:t>
            </w:r>
          </w:p>
        </w:tc>
        <w:tc>
          <w:tcPr>
            <w:tcW w:w="1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13,255</w:t>
            </w: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Store consolidations</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5,955</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9,920</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Legal matters</w:t>
            </w:r>
          </w:p>
        </w:tc>
        <w:tc>
          <w:tcPr>
            <w:tcW w:w="1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12,612</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2,941</w:t>
            </w: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55,773</w:t>
            </w:r>
          </w:p>
        </w:tc>
        <w:tc>
          <w:tcPr>
            <w:tcW w:w="0" w:type="dxa"/>
            <w:vAlign w:val="bottom"/>
          </w:tcPr>
          <w:p>
            <w:pPr>
              <w:spacing w:after="0"/>
              <w:rPr>
                <w:sz w:val="1"/>
                <w:szCs w:val="1"/>
                <w:color w:val="auto"/>
              </w:rPr>
            </w:pPr>
          </w:p>
        </w:tc>
      </w:tr>
      <w:tr>
        <w:trPr>
          <w:trHeight w:val="216"/>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Labor reduction cost</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236</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2,419</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Asset impairments and disposal</w:t>
            </w:r>
          </w:p>
        </w:tc>
        <w:tc>
          <w:tcPr>
            <w:tcW w:w="1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11,583</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1,505</w:t>
            </w: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11,789</w:t>
            </w:r>
          </w:p>
        </w:tc>
        <w:tc>
          <w:tcPr>
            <w:tcW w:w="0" w:type="dxa"/>
            <w:vAlign w:val="bottom"/>
          </w:tcPr>
          <w:p>
            <w:pPr>
              <w:spacing w:after="0"/>
              <w:rPr>
                <w:sz w:val="1"/>
                <w:szCs w:val="1"/>
                <w:color w:val="auto"/>
              </w:rPr>
            </w:pPr>
          </w:p>
        </w:tc>
      </w:tr>
      <w:tr>
        <w:trPr>
          <w:trHeight w:val="216"/>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Brigit transaction costs</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551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6,660</w:t>
            </w:r>
          </w:p>
        </w:tc>
        <w:tc>
          <w:tcPr>
            <w:tcW w:w="0" w:type="dxa"/>
            <w:vAlign w:val="bottom"/>
          </w:tcPr>
          <w:p>
            <w:pPr>
              <w:spacing w:after="0"/>
              <w:rPr>
                <w:sz w:val="1"/>
                <w:szCs w:val="1"/>
                <w:color w:val="auto"/>
              </w:rPr>
            </w:pPr>
          </w:p>
        </w:tc>
      </w:tr>
      <w:tr>
        <w:trPr>
          <w:trHeight w:val="216"/>
        </w:trPr>
        <w:tc>
          <w:tcPr>
            <w:tcW w:w="4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Accelerated stock compensation</w:t>
            </w:r>
          </w:p>
        </w:tc>
        <w:tc>
          <w:tcPr>
            <w:tcW w:w="1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1,599</w:t>
            </w:r>
          </w:p>
        </w:tc>
        <w:tc>
          <w:tcPr>
            <w:tcW w:w="0" w:type="dxa"/>
            <w:vAlign w:val="bottom"/>
          </w:tcPr>
          <w:p>
            <w:pPr>
              <w:spacing w:after="0"/>
              <w:rPr>
                <w:sz w:val="1"/>
                <w:szCs w:val="1"/>
                <w:color w:val="auto"/>
              </w:rPr>
            </w:pPr>
          </w:p>
        </w:tc>
      </w:tr>
      <w:tr>
        <w:trPr>
          <w:trHeight w:val="216"/>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1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937</w:t>
            </w:r>
          </w:p>
        </w:tc>
        <w:tc>
          <w:tcPr>
            <w:tcW w:w="1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(2,087)</w:t>
            </w:r>
          </w:p>
        </w:tc>
        <w:tc>
          <w:tcPr>
            <w:tcW w:w="1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723</w:t>
            </w:r>
          </w:p>
        </w:tc>
        <w:tc>
          <w:tcPr>
            <w:tcW w:w="1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(1,099)</w:t>
            </w:r>
          </w:p>
        </w:tc>
        <w:tc>
          <w:tcPr>
            <w:tcW w:w="0" w:type="dxa"/>
            <w:vAlign w:val="bottom"/>
          </w:tcPr>
          <w:p>
            <w:pPr>
              <w:spacing w:after="0"/>
              <w:rPr>
                <w:sz w:val="1"/>
                <w:szCs w:val="1"/>
                <w:color w:val="auto"/>
              </w:rPr>
            </w:pPr>
          </w:p>
        </w:tc>
      </w:tr>
      <w:tr>
        <w:trPr>
          <w:trHeight w:val="250"/>
        </w:trPr>
        <w:tc>
          <w:tcPr>
            <w:tcW w:w="4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other gains and charges</w:t>
            </w:r>
          </w:p>
        </w:tc>
        <w:tc>
          <w:tcPr>
            <w:tcW w:w="12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32,482</w:t>
            </w:r>
          </w:p>
        </w:tc>
        <w:tc>
          <w:tcPr>
            <w:tcW w:w="4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53,371</w:t>
            </w:r>
          </w:p>
        </w:tc>
        <w:tc>
          <w:tcPr>
            <w:tcW w:w="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125,332</w:t>
            </w:r>
          </w:p>
        </w:tc>
        <w:tc>
          <w:tcPr>
            <w:tcW w:w="3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162,130</w:t>
            </w:r>
          </w:p>
        </w:tc>
        <w:tc>
          <w:tcPr>
            <w:tcW w:w="0" w:type="dxa"/>
            <w:vAlign w:val="bottom"/>
          </w:tcPr>
          <w:p>
            <w:pPr>
              <w:spacing w:after="0"/>
              <w:rPr>
                <w:sz w:val="1"/>
                <w:szCs w:val="1"/>
                <w:color w:val="auto"/>
              </w:rPr>
            </w:pPr>
          </w:p>
        </w:tc>
      </w:tr>
      <w:tr>
        <w:trPr>
          <w:trHeight w:val="628"/>
        </w:trPr>
        <w:tc>
          <w:tcPr>
            <w:tcW w:w="4680" w:type="dxa"/>
            <w:vAlign w:val="bottom"/>
            <w:tcBorders>
              <w:top w:val="single" w:sz="8" w:color="CFF0FC"/>
            </w:tcBorders>
          </w:tcPr>
          <w:p>
            <w:pPr>
              <w:spacing w:after="0"/>
              <w:rPr>
                <w:sz w:val="24"/>
                <w:szCs w:val="24"/>
                <w:color w:val="auto"/>
              </w:rPr>
            </w:pPr>
          </w:p>
        </w:tc>
        <w:tc>
          <w:tcPr>
            <w:tcW w:w="1140" w:type="dxa"/>
            <w:vAlign w:val="bottom"/>
            <w:tcBorders>
              <w:top w:val="single" w:sz="8" w:color="CFF0FC"/>
            </w:tcBorders>
          </w:tcPr>
          <w:p>
            <w:pPr>
              <w:jc w:val="right"/>
              <w:ind w:right="10"/>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468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-676275</wp:posOffset>
            </wp:positionV>
            <wp:extent cx="8572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-659130</wp:posOffset>
            </wp:positionV>
            <wp:extent cx="8572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-676275</wp:posOffset>
            </wp:positionV>
            <wp:extent cx="8572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-659130</wp:posOffset>
            </wp:positionV>
            <wp:extent cx="8572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-676275</wp:posOffset>
            </wp:positionV>
            <wp:extent cx="8572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-659130</wp:posOffset>
            </wp:positionV>
            <wp:extent cx="8572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0" w:name="page21"/>
    <w:bookmarkEnd w:id="20"/>
    <w:p>
      <w:pPr>
        <w:jc w:val="center"/>
        <w:ind w:left="340" w:right="2100"/>
        <w:spacing w:after="0" w:line="278" w:lineRule="auto"/>
        <w:rPr>
          <w:sz w:val="20"/>
          <w:szCs w:val="20"/>
          <w:color w:val="auto"/>
        </w:rPr>
      </w:pPr>
      <w:r>
        <w:rPr>
          <w:rFonts w:ascii="Times New Roman" w:cs="Times New Roman" w:eastAsia="Times New Roman" w:hAnsi="Times New Roman"/>
          <w:sz w:val="18"/>
          <w:szCs w:val="18"/>
          <w:b w:val="1"/>
          <w:bCs w:val="1"/>
          <w:color w:val="auto"/>
        </w:rPr>
        <w:t>UPBOUND GROUP, INC. AND SUBSIDIARIES NOTES TO CONDENSED CONSOLIDATED FINANCIAL STATEMENTS - (Continued) (Unaudited)</w:t>
      </w: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Segment Information</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operating segments reported below are the segments for which separate financial information is available and for which segment results are evaluated by our Chief Operating Decision Makers (“CODMs”). Our CODMs include Upbound’s Chief Executive Officer and Chief Financial Officer. Our CODMs regularly review the revenues and operating profit for each operating segment in comparison to Company projections and previously reported periods, in addition to other factors, including the Company’s strategic initiatives, as well as industry, macroeconomic, and market trends, in determining the appropriate allocation of resources to support our business operations. Our operating segments are organized based on factors including, but not limited to, type of business transaction, geographic location and store ownership. We report financial operating performance under four operating segments: Acima, Rent-A-Center, Brigit and Mexico.</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Segment information is as follows: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52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1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3820" w:type="dxa"/>
            <w:vAlign w:val="bottom"/>
            <w:tcBorders>
              <w:bottom w:val="single" w:sz="8" w:color="auto"/>
            </w:tcBorders>
            <w:gridSpan w:val="7"/>
          </w:tcPr>
          <w:p>
            <w:pPr>
              <w:jc w:val="right"/>
              <w:ind w:right="712"/>
              <w:spacing w:after="0"/>
              <w:rPr>
                <w:sz w:val="20"/>
                <w:szCs w:val="20"/>
                <w:color w:val="auto"/>
              </w:rPr>
            </w:pPr>
            <w:r>
              <w:rPr>
                <w:rFonts w:ascii="Times New Roman" w:cs="Times New Roman" w:eastAsia="Times New Roman" w:hAnsi="Times New Roman"/>
                <w:sz w:val="14"/>
                <w:szCs w:val="14"/>
                <w:b w:val="1"/>
                <w:bCs w:val="1"/>
                <w:color w:val="auto"/>
              </w:rPr>
              <w:t>Three Months Ended September 30, 2026</w:t>
            </w:r>
          </w:p>
        </w:tc>
        <w:tc>
          <w:tcPr>
            <w:tcW w:w="1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520" w:type="dxa"/>
            <w:vAlign w:val="bottom"/>
            <w:vMerge w:val="continue"/>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372"/>
              <w:spacing w:after="0" w:line="142" w:lineRule="exact"/>
              <w:rPr>
                <w:sz w:val="20"/>
                <w:szCs w:val="20"/>
                <w:color w:val="auto"/>
              </w:rPr>
            </w:pPr>
            <w:r>
              <w:rPr>
                <w:rFonts w:ascii="Times New Roman" w:cs="Times New Roman" w:eastAsia="Times New Roman" w:hAnsi="Times New Roman"/>
                <w:sz w:val="14"/>
                <w:szCs w:val="14"/>
                <w:b w:val="1"/>
                <w:bCs w:val="1"/>
                <w:color w:val="auto"/>
              </w:rPr>
              <w:t>Acima</w:t>
            </w:r>
          </w:p>
        </w:tc>
        <w:tc>
          <w:tcPr>
            <w:tcW w:w="1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right"/>
              <w:ind w:right="214"/>
              <w:spacing w:after="0" w:line="142" w:lineRule="exact"/>
              <w:rPr>
                <w:sz w:val="20"/>
                <w:szCs w:val="20"/>
                <w:color w:val="auto"/>
              </w:rPr>
            </w:pPr>
            <w:r>
              <w:rPr>
                <w:rFonts w:ascii="Times New Roman" w:cs="Times New Roman" w:eastAsia="Times New Roman" w:hAnsi="Times New Roman"/>
                <w:sz w:val="14"/>
                <w:szCs w:val="14"/>
                <w:b w:val="1"/>
                <w:bCs w:val="1"/>
                <w:color w:val="auto"/>
              </w:rPr>
              <w:t>Rent-A-Center</w:t>
            </w:r>
          </w:p>
        </w:tc>
        <w:tc>
          <w:tcPr>
            <w:tcW w:w="1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372"/>
              <w:spacing w:after="0" w:line="142" w:lineRule="exact"/>
              <w:rPr>
                <w:sz w:val="20"/>
                <w:szCs w:val="20"/>
                <w:color w:val="auto"/>
              </w:rPr>
            </w:pPr>
            <w:r>
              <w:rPr>
                <w:rFonts w:ascii="Times New Roman" w:cs="Times New Roman" w:eastAsia="Times New Roman" w:hAnsi="Times New Roman"/>
                <w:sz w:val="14"/>
                <w:szCs w:val="14"/>
                <w:b w:val="1"/>
                <w:bCs w:val="1"/>
                <w:color w:val="auto"/>
              </w:rPr>
              <w:t>Brigit</w:t>
            </w:r>
          </w:p>
        </w:tc>
        <w:tc>
          <w:tcPr>
            <w:tcW w:w="1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332"/>
              <w:spacing w:after="0" w:line="142" w:lineRule="exact"/>
              <w:rPr>
                <w:sz w:val="20"/>
                <w:szCs w:val="20"/>
                <w:color w:val="auto"/>
              </w:rPr>
            </w:pPr>
            <w:r>
              <w:rPr>
                <w:rFonts w:ascii="Times New Roman" w:cs="Times New Roman" w:eastAsia="Times New Roman" w:hAnsi="Times New Roman"/>
                <w:sz w:val="14"/>
                <w:szCs w:val="14"/>
                <w:b w:val="1"/>
                <w:bCs w:val="1"/>
                <w:color w:val="auto"/>
              </w:rPr>
              <w:t>Mexico</w:t>
            </w:r>
          </w:p>
        </w:tc>
        <w:tc>
          <w:tcPr>
            <w:tcW w:w="1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391"/>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10"/>
        </w:trPr>
        <w:tc>
          <w:tcPr>
            <w:tcW w:w="3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Revenues</w:t>
            </w:r>
          </w:p>
        </w:tc>
        <w:tc>
          <w:tcPr>
            <w:tcW w:w="13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584,725</w:t>
            </w:r>
          </w:p>
        </w:tc>
        <w:tc>
          <w:tcPr>
            <w:tcW w:w="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459,045</w:t>
            </w:r>
          </w:p>
        </w:tc>
        <w:tc>
          <w:tcPr>
            <w:tcW w:w="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78,775</w:t>
            </w:r>
          </w:p>
        </w:tc>
        <w:tc>
          <w:tcPr>
            <w:tcW w:w="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23,616</w:t>
            </w:r>
          </w:p>
        </w:tc>
        <w:tc>
          <w:tcPr>
            <w:tcW w:w="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1,146,161</w:t>
            </w:r>
          </w:p>
        </w:tc>
        <w:tc>
          <w:tcPr>
            <w:tcW w:w="0" w:type="dxa"/>
            <w:vAlign w:val="bottom"/>
          </w:tcPr>
          <w:p>
            <w:pPr>
              <w:spacing w:after="0"/>
              <w:rPr>
                <w:sz w:val="1"/>
                <w:szCs w:val="1"/>
                <w:color w:val="auto"/>
              </w:rPr>
            </w:pPr>
          </w:p>
        </w:tc>
      </w:tr>
      <w:tr>
        <w:trPr>
          <w:trHeight w:val="216"/>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11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401,358</w:t>
            </w:r>
          </w:p>
        </w:tc>
        <w:tc>
          <w:tcPr>
            <w:tcW w:w="1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149,873</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7,901</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6,810</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565,942</w:t>
            </w:r>
          </w:p>
        </w:tc>
        <w:tc>
          <w:tcPr>
            <w:tcW w:w="0" w:type="dxa"/>
            <w:vAlign w:val="bottom"/>
          </w:tcPr>
          <w:p>
            <w:pPr>
              <w:spacing w:after="0"/>
              <w:rPr>
                <w:sz w:val="1"/>
                <w:szCs w:val="1"/>
                <w:color w:val="auto"/>
              </w:rPr>
            </w:pPr>
          </w:p>
        </w:tc>
      </w:tr>
      <w:tr>
        <w:trPr>
          <w:trHeight w:val="209"/>
        </w:trPr>
        <w:tc>
          <w:tcPr>
            <w:tcW w:w="35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Gross profit</w:t>
            </w:r>
          </w:p>
        </w:tc>
        <w:tc>
          <w:tcPr>
            <w:tcW w:w="1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183,367</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309,172</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70,874</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16,806</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580,219</w:t>
            </w:r>
          </w:p>
        </w:tc>
        <w:tc>
          <w:tcPr>
            <w:tcW w:w="0" w:type="dxa"/>
            <w:vAlign w:val="bottom"/>
          </w:tcPr>
          <w:p>
            <w:pPr>
              <w:spacing w:after="0"/>
              <w:rPr>
                <w:sz w:val="1"/>
                <w:szCs w:val="1"/>
                <w:color w:val="auto"/>
              </w:rPr>
            </w:pPr>
          </w:p>
        </w:tc>
      </w:tr>
      <w:tr>
        <w:trPr>
          <w:trHeight w:val="216"/>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Operating labor</w:t>
            </w:r>
          </w:p>
        </w:tc>
        <w:tc>
          <w:tcPr>
            <w:tcW w:w="1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23,575</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117,151</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1,453</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5,229</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147,408</w:t>
            </w:r>
          </w:p>
        </w:tc>
        <w:tc>
          <w:tcPr>
            <w:tcW w:w="0" w:type="dxa"/>
            <w:vAlign w:val="bottom"/>
          </w:tcPr>
          <w:p>
            <w:pPr>
              <w:spacing w:after="0"/>
              <w:rPr>
                <w:sz w:val="1"/>
                <w:szCs w:val="1"/>
                <w:color w:val="auto"/>
              </w:rPr>
            </w:pPr>
          </w:p>
        </w:tc>
      </w:tr>
      <w:tr>
        <w:trPr>
          <w:trHeight w:val="216"/>
        </w:trPr>
        <w:tc>
          <w:tcPr>
            <w:tcW w:w="3520" w:type="dxa"/>
            <w:vAlign w:val="bottom"/>
          </w:tcPr>
          <w:p>
            <w:pPr>
              <w:ind w:left="100"/>
              <w:spacing w:after="0" w:line="216" w:lineRule="exact"/>
              <w:rPr>
                <w:sz w:val="20"/>
                <w:szCs w:val="20"/>
                <w:color w:val="auto"/>
              </w:rPr>
            </w:pPr>
            <w:r>
              <w:rPr>
                <w:rFonts w:ascii="Times New Roman" w:cs="Times New Roman" w:eastAsia="Times New Roman" w:hAnsi="Times New Roman"/>
                <w:sz w:val="18"/>
                <w:szCs w:val="18"/>
                <w:color w:val="auto"/>
              </w:rPr>
              <w:t>Non-labor operating expenses</w:t>
            </w:r>
            <w:r>
              <w:rPr>
                <w:rFonts w:ascii="Times New Roman" w:cs="Times New Roman" w:eastAsia="Times New Roman" w:hAnsi="Times New Roman"/>
                <w:sz w:val="24"/>
                <w:szCs w:val="24"/>
                <w:color w:val="auto"/>
                <w:vertAlign w:val="superscript"/>
              </w:rPr>
              <w:t>(1)</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73,002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120,999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52,852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7,181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254,034</w:t>
            </w:r>
          </w:p>
        </w:tc>
        <w:tc>
          <w:tcPr>
            <w:tcW w:w="0" w:type="dxa"/>
            <w:vAlign w:val="bottom"/>
          </w:tcPr>
          <w:p>
            <w:pPr>
              <w:spacing w:after="0"/>
              <w:rPr>
                <w:sz w:val="1"/>
                <w:szCs w:val="1"/>
                <w:color w:val="auto"/>
              </w:rPr>
            </w:pPr>
          </w:p>
        </w:tc>
      </w:tr>
      <w:tr>
        <w:trPr>
          <w:trHeight w:val="216"/>
        </w:trPr>
        <w:tc>
          <w:tcPr>
            <w:tcW w:w="35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370</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4,293</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696</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5,388</w:t>
            </w:r>
          </w:p>
        </w:tc>
        <w:tc>
          <w:tcPr>
            <w:tcW w:w="0" w:type="dxa"/>
            <w:vAlign w:val="bottom"/>
          </w:tcPr>
          <w:p>
            <w:pPr>
              <w:spacing w:after="0"/>
              <w:rPr>
                <w:sz w:val="1"/>
                <w:szCs w:val="1"/>
                <w:color w:val="auto"/>
              </w:rPr>
            </w:pPr>
          </w:p>
        </w:tc>
      </w:tr>
      <w:tr>
        <w:trPr>
          <w:trHeight w:val="216"/>
        </w:trPr>
        <w:tc>
          <w:tcPr>
            <w:tcW w:w="3520" w:type="dxa"/>
            <w:vAlign w:val="bottom"/>
          </w:tcPr>
          <w:p>
            <w:pPr>
              <w:ind w:left="100"/>
              <w:spacing w:after="0" w:line="216" w:lineRule="exact"/>
              <w:rPr>
                <w:sz w:val="20"/>
                <w:szCs w:val="20"/>
                <w:color w:val="auto"/>
              </w:rPr>
            </w:pPr>
            <w:r>
              <w:rPr>
                <w:rFonts w:ascii="Times New Roman" w:cs="Times New Roman" w:eastAsia="Times New Roman" w:hAnsi="Times New Roman"/>
                <w:sz w:val="18"/>
                <w:szCs w:val="18"/>
                <w:color w:val="auto"/>
              </w:rPr>
              <w:t>Other segment expenses</w:t>
            </w:r>
            <w:r>
              <w:rPr>
                <w:rFonts w:ascii="Times New Roman" w:cs="Times New Roman" w:eastAsia="Times New Roman" w:hAnsi="Times New Roman"/>
                <w:sz w:val="24"/>
                <w:szCs w:val="24"/>
                <w:color w:val="auto"/>
                <w:vertAlign w:val="superscript"/>
              </w:rPr>
              <w:t>(2)</w:t>
            </w:r>
          </w:p>
        </w:tc>
        <w:tc>
          <w:tcPr>
            <w:tcW w:w="11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11,727</w:t>
            </w:r>
          </w:p>
        </w:tc>
        <w:tc>
          <w:tcPr>
            <w:tcW w:w="1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11,116</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7,683</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2,310</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32,836</w:t>
            </w:r>
          </w:p>
        </w:tc>
        <w:tc>
          <w:tcPr>
            <w:tcW w:w="0" w:type="dxa"/>
            <w:vAlign w:val="bottom"/>
          </w:tcPr>
          <w:p>
            <w:pPr>
              <w:spacing w:after="0"/>
              <w:rPr>
                <w:sz w:val="1"/>
                <w:szCs w:val="1"/>
                <w:color w:val="auto"/>
              </w:rPr>
            </w:pPr>
          </w:p>
        </w:tc>
      </w:tr>
      <w:tr>
        <w:trPr>
          <w:trHeight w:val="209"/>
        </w:trPr>
        <w:tc>
          <w:tcPr>
            <w:tcW w:w="35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Segment operating profit</w:t>
            </w:r>
          </w:p>
        </w:tc>
        <w:tc>
          <w:tcPr>
            <w:tcW w:w="1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74,693</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55,613</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8,857</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1,390</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140,553</w:t>
            </w:r>
          </w:p>
        </w:tc>
        <w:tc>
          <w:tcPr>
            <w:tcW w:w="0" w:type="dxa"/>
            <w:vAlign w:val="bottom"/>
          </w:tcPr>
          <w:p>
            <w:pPr>
              <w:spacing w:after="0"/>
              <w:rPr>
                <w:sz w:val="1"/>
                <w:szCs w:val="1"/>
                <w:color w:val="auto"/>
              </w:rPr>
            </w:pPr>
          </w:p>
        </w:tc>
      </w:tr>
      <w:tr>
        <w:trPr>
          <w:trHeight w:val="216"/>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Corporate</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(69,372)</w:t>
            </w:r>
          </w:p>
        </w:tc>
        <w:tc>
          <w:tcPr>
            <w:tcW w:w="0" w:type="dxa"/>
            <w:vAlign w:val="bottom"/>
          </w:tcPr>
          <w:p>
            <w:pPr>
              <w:spacing w:after="0"/>
              <w:rPr>
                <w:sz w:val="1"/>
                <w:szCs w:val="1"/>
                <w:color w:val="auto"/>
              </w:rPr>
            </w:pPr>
          </w:p>
        </w:tc>
      </w:tr>
      <w:tr>
        <w:trPr>
          <w:trHeight w:val="209"/>
        </w:trPr>
        <w:tc>
          <w:tcPr>
            <w:tcW w:w="35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Operating profit</w:t>
            </w:r>
          </w:p>
        </w:tc>
        <w:tc>
          <w:tcPr>
            <w:tcW w:w="1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71,181</w:t>
            </w:r>
          </w:p>
        </w:tc>
        <w:tc>
          <w:tcPr>
            <w:tcW w:w="0" w:type="dxa"/>
            <w:vAlign w:val="bottom"/>
          </w:tcPr>
          <w:p>
            <w:pPr>
              <w:spacing w:after="0"/>
              <w:rPr>
                <w:sz w:val="1"/>
                <w:szCs w:val="1"/>
                <w:color w:val="auto"/>
              </w:rPr>
            </w:pPr>
          </w:p>
        </w:tc>
      </w:tr>
      <w:tr>
        <w:trPr>
          <w:trHeight w:val="216"/>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25,067</w:t>
            </w:r>
          </w:p>
        </w:tc>
        <w:tc>
          <w:tcPr>
            <w:tcW w:w="0" w:type="dxa"/>
            <w:vAlign w:val="bottom"/>
          </w:tcPr>
          <w:p>
            <w:pPr>
              <w:spacing w:after="0"/>
              <w:rPr>
                <w:sz w:val="1"/>
                <w:szCs w:val="1"/>
                <w:color w:val="auto"/>
              </w:rPr>
            </w:pPr>
          </w:p>
        </w:tc>
      </w:tr>
      <w:tr>
        <w:trPr>
          <w:trHeight w:val="216"/>
        </w:trPr>
        <w:tc>
          <w:tcPr>
            <w:tcW w:w="35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1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9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12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9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(613)</w:t>
            </w:r>
          </w:p>
        </w:tc>
        <w:tc>
          <w:tcPr>
            <w:tcW w:w="0" w:type="dxa"/>
            <w:vAlign w:val="bottom"/>
          </w:tcPr>
          <w:p>
            <w:pPr>
              <w:spacing w:after="0"/>
              <w:rPr>
                <w:sz w:val="1"/>
                <w:szCs w:val="1"/>
                <w:color w:val="auto"/>
              </w:rPr>
            </w:pPr>
          </w:p>
        </w:tc>
      </w:tr>
      <w:tr>
        <w:trPr>
          <w:trHeight w:val="209"/>
        </w:trPr>
        <w:tc>
          <w:tcPr>
            <w:tcW w:w="3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Earnings before income taxes</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46,727</w:t>
            </w: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ind w:left="180" w:hanging="172"/>
        <w:spacing w:after="0" w:line="208" w:lineRule="auto"/>
        <w:tabs>
          <w:tab w:leader="none" w:pos="144" w:val="left"/>
        </w:tabs>
        <w:numPr>
          <w:ilvl w:val="0"/>
          <w:numId w:val="11"/>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Includes Lease Charge-Offs of $50.8 million and $23.0 million in the Acima and Rent-A-Center segments, respectively, and net advance losses of $22.0 million in the Brigit segment for the three months ended September 30, 2026.</w:t>
      </w:r>
    </w:p>
    <w:p>
      <w:pPr>
        <w:ind w:left="120" w:hanging="112"/>
        <w:spacing w:after="0" w:line="215" w:lineRule="auto"/>
        <w:tabs>
          <w:tab w:leader="none" w:pos="120" w:val="left"/>
        </w:tabs>
        <w:numPr>
          <w:ilvl w:val="0"/>
          <w:numId w:val="11"/>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0"/>
          <w:szCs w:val="10"/>
          <w:color w:val="auto"/>
        </w:rPr>
        <w:t>Includes certain general and administrative expenses and other gains and charges. See Note 9 for additional information regarding other gains and charges.</w:t>
      </w:r>
    </w:p>
    <w:tbl>
      <w:tblPr>
        <w:tblLayout w:type="fixed"/>
        <w:tblInd w:w="0" w:type="dxa"/>
        <w:tblCellMar>
          <w:top w:w="0" w:type="dxa"/>
          <w:left w:w="0" w:type="dxa"/>
          <w:bottom w:w="0" w:type="dxa"/>
          <w:right w:w="0" w:type="dxa"/>
        </w:tblCellMar>
      </w:tblPr>
      <w:tr>
        <w:trPr>
          <w:trHeight w:val="155"/>
        </w:trPr>
        <w:tc>
          <w:tcPr>
            <w:tcW w:w="462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3720" w:type="dxa"/>
            <w:vAlign w:val="bottom"/>
            <w:tcBorders>
              <w:bottom w:val="single" w:sz="8" w:color="auto"/>
            </w:tcBorders>
            <w:gridSpan w:val="7"/>
          </w:tcPr>
          <w:p>
            <w:pPr>
              <w:jc w:val="right"/>
              <w:ind w:right="632"/>
              <w:spacing w:after="0" w:line="155" w:lineRule="exact"/>
              <w:rPr>
                <w:sz w:val="20"/>
                <w:szCs w:val="20"/>
                <w:color w:val="auto"/>
              </w:rPr>
            </w:pPr>
            <w:r>
              <w:rPr>
                <w:rFonts w:ascii="Times New Roman" w:cs="Times New Roman" w:eastAsia="Times New Roman" w:hAnsi="Times New Roman"/>
                <w:sz w:val="14"/>
                <w:szCs w:val="14"/>
                <w:b w:val="1"/>
                <w:bCs w:val="1"/>
                <w:color w:val="auto"/>
              </w:rPr>
              <w:t>Nine Months Ended September 30, 2026</w:t>
            </w:r>
          </w:p>
        </w:tc>
        <w:tc>
          <w:tcPr>
            <w:tcW w:w="2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4620" w:type="dxa"/>
            <w:vAlign w:val="bottom"/>
            <w:vMerge w:val="continue"/>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72"/>
              <w:spacing w:after="0" w:line="142" w:lineRule="exact"/>
              <w:rPr>
                <w:sz w:val="20"/>
                <w:szCs w:val="20"/>
                <w:color w:val="auto"/>
              </w:rPr>
            </w:pPr>
            <w:r>
              <w:rPr>
                <w:rFonts w:ascii="Times New Roman" w:cs="Times New Roman" w:eastAsia="Times New Roman" w:hAnsi="Times New Roman"/>
                <w:sz w:val="14"/>
                <w:szCs w:val="14"/>
                <w:b w:val="1"/>
                <w:bCs w:val="1"/>
                <w:color w:val="auto"/>
              </w:rPr>
              <w:t>Acima</w:t>
            </w:r>
          </w:p>
        </w:tc>
        <w:tc>
          <w:tcPr>
            <w:tcW w:w="2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114"/>
              <w:spacing w:after="0" w:line="142" w:lineRule="exact"/>
              <w:rPr>
                <w:sz w:val="20"/>
                <w:szCs w:val="20"/>
                <w:color w:val="auto"/>
              </w:rPr>
            </w:pPr>
            <w:r>
              <w:rPr>
                <w:rFonts w:ascii="Times New Roman" w:cs="Times New Roman" w:eastAsia="Times New Roman" w:hAnsi="Times New Roman"/>
                <w:sz w:val="14"/>
                <w:szCs w:val="14"/>
                <w:b w:val="1"/>
                <w:bCs w:val="1"/>
                <w:color w:val="auto"/>
              </w:rPr>
              <w:t>Rent-A-Center</w:t>
            </w:r>
          </w:p>
        </w:tc>
        <w:tc>
          <w:tcPr>
            <w:tcW w:w="2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272"/>
              <w:spacing w:after="0" w:line="142" w:lineRule="exact"/>
              <w:rPr>
                <w:sz w:val="20"/>
                <w:szCs w:val="20"/>
                <w:color w:val="auto"/>
              </w:rPr>
            </w:pPr>
            <w:r>
              <w:rPr>
                <w:rFonts w:ascii="Times New Roman" w:cs="Times New Roman" w:eastAsia="Times New Roman" w:hAnsi="Times New Roman"/>
                <w:sz w:val="14"/>
                <w:szCs w:val="14"/>
                <w:b w:val="1"/>
                <w:bCs w:val="1"/>
                <w:color w:val="auto"/>
              </w:rPr>
              <w:t>Brigit</w:t>
            </w:r>
          </w:p>
        </w:tc>
        <w:tc>
          <w:tcPr>
            <w:tcW w:w="2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232"/>
              <w:spacing w:after="0" w:line="142" w:lineRule="exact"/>
              <w:rPr>
                <w:sz w:val="20"/>
                <w:szCs w:val="20"/>
                <w:color w:val="auto"/>
              </w:rPr>
            </w:pPr>
            <w:r>
              <w:rPr>
                <w:rFonts w:ascii="Times New Roman" w:cs="Times New Roman" w:eastAsia="Times New Roman" w:hAnsi="Times New Roman"/>
                <w:sz w:val="14"/>
                <w:szCs w:val="14"/>
                <w:b w:val="1"/>
                <w:bCs w:val="1"/>
                <w:color w:val="auto"/>
              </w:rPr>
              <w:t>Mexico</w:t>
            </w:r>
          </w:p>
        </w:tc>
        <w:tc>
          <w:tcPr>
            <w:tcW w:w="2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11"/>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Revenues</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1,836,943</w:t>
            </w:r>
          </w:p>
        </w:tc>
        <w:tc>
          <w:tcPr>
            <w:tcW w:w="3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1,407,031</w:t>
            </w:r>
          </w:p>
        </w:tc>
        <w:tc>
          <w:tcPr>
            <w:tcW w:w="4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217,589</w:t>
            </w:r>
          </w:p>
        </w:tc>
        <w:tc>
          <w:tcPr>
            <w:tcW w:w="4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67,753</w:t>
            </w:r>
          </w:p>
        </w:tc>
        <w:tc>
          <w:tcPr>
            <w:tcW w:w="4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3,529,316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1,261,329</w:t>
            </w:r>
          </w:p>
        </w:tc>
        <w:tc>
          <w:tcPr>
            <w:tcW w:w="2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463,712</w:t>
            </w: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22,736</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20,020</w:t>
            </w: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1,767,797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Gross profit</w:t>
            </w: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575,614</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943,319</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194,853</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47,733</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1,761,519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Operating labor</w:t>
            </w: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70,920</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357,493</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4,216</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16,187</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448,816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ind w:left="100"/>
              <w:spacing w:after="0" w:line="216" w:lineRule="exact"/>
              <w:rPr>
                <w:sz w:val="20"/>
                <w:szCs w:val="20"/>
                <w:color w:val="auto"/>
              </w:rPr>
            </w:pPr>
            <w:r>
              <w:rPr>
                <w:rFonts w:ascii="Times New Roman" w:cs="Times New Roman" w:eastAsia="Times New Roman" w:hAnsi="Times New Roman"/>
                <w:sz w:val="18"/>
                <w:szCs w:val="18"/>
                <w:color w:val="auto"/>
              </w:rPr>
              <w:t>Non-labor operating expenses</w:t>
            </w:r>
            <w:r>
              <w:rPr>
                <w:rFonts w:ascii="Times New Roman" w:cs="Times New Roman" w:eastAsia="Times New Roman" w:hAnsi="Times New Roman"/>
                <w:sz w:val="24"/>
                <w:szCs w:val="24"/>
                <w:color w:val="auto"/>
                <w:vertAlign w:val="superscript"/>
              </w:rPr>
              <w:t>(1)</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230,063</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377,290</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135,665</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21,534</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764,552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1,146</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13,893</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2,003</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17,125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ind w:left="100"/>
              <w:spacing w:after="0" w:line="216" w:lineRule="exact"/>
              <w:rPr>
                <w:sz w:val="20"/>
                <w:szCs w:val="20"/>
                <w:color w:val="auto"/>
              </w:rPr>
            </w:pPr>
            <w:r>
              <w:rPr>
                <w:rFonts w:ascii="Times New Roman" w:cs="Times New Roman" w:eastAsia="Times New Roman" w:hAnsi="Times New Roman"/>
                <w:sz w:val="18"/>
                <w:szCs w:val="18"/>
                <w:color w:val="auto"/>
              </w:rPr>
              <w:t>Other segment expenses</w:t>
            </w:r>
            <w:r>
              <w:rPr>
                <w:rFonts w:ascii="Times New Roman" w:cs="Times New Roman" w:eastAsia="Times New Roman" w:hAnsi="Times New Roman"/>
                <w:sz w:val="24"/>
                <w:szCs w:val="24"/>
                <w:color w:val="auto"/>
                <w:vertAlign w:val="superscript"/>
              </w:rPr>
              <w:t>(2)</w:t>
            </w: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48,082</w:t>
            </w:r>
          </w:p>
        </w:tc>
        <w:tc>
          <w:tcPr>
            <w:tcW w:w="2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22,094</w:t>
            </w: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19,958</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6,984</w:t>
            </w: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97,118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Segment operating profit</w:t>
            </w: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225,403</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172,549</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34,931</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1,025</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433,908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Corporate</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(231,030)</w:t>
            </w:r>
          </w:p>
        </w:tc>
        <w:tc>
          <w:tcPr>
            <w:tcW w:w="0" w:type="dxa"/>
            <w:vAlign w:val="bottom"/>
          </w:tcPr>
          <w:p>
            <w:pPr>
              <w:spacing w:after="0"/>
              <w:rPr>
                <w:sz w:val="1"/>
                <w:szCs w:val="1"/>
                <w:color w:val="auto"/>
              </w:rPr>
            </w:pPr>
          </w:p>
        </w:tc>
      </w:tr>
      <w:tr>
        <w:trPr>
          <w:trHeight w:val="210"/>
        </w:trPr>
        <w:tc>
          <w:tcPr>
            <w:tcW w:w="46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Operating profit</w:t>
            </w: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202,878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77,470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(1,848)</w:t>
            </w:r>
          </w:p>
        </w:tc>
        <w:tc>
          <w:tcPr>
            <w:tcW w:w="0" w:type="dxa"/>
            <w:vAlign w:val="bottom"/>
          </w:tcPr>
          <w:p>
            <w:pPr>
              <w:spacing w:after="0"/>
              <w:rPr>
                <w:sz w:val="1"/>
                <w:szCs w:val="1"/>
                <w:color w:val="auto"/>
              </w:rPr>
            </w:pPr>
          </w:p>
        </w:tc>
      </w:tr>
      <w:tr>
        <w:trPr>
          <w:trHeight w:val="20"/>
        </w:trPr>
        <w:tc>
          <w:tcPr>
            <w:tcW w:w="462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80" w:type="dxa"/>
            <w:vAlign w:val="bottom"/>
            <w:shd w:val="clear" w:color="auto" w:fill="CFF0FC"/>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16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4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6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Earnings before income taxes</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127,256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24" w:lineRule="exact"/>
        <w:rPr>
          <w:sz w:val="20"/>
          <w:szCs w:val="20"/>
          <w:color w:val="auto"/>
        </w:rPr>
      </w:pPr>
    </w:p>
    <w:p>
      <w:pPr>
        <w:ind w:left="180" w:hanging="172"/>
        <w:spacing w:after="0" w:line="223" w:lineRule="auto"/>
        <w:tabs>
          <w:tab w:leader="none" w:pos="133" w:val="left"/>
        </w:tabs>
        <w:numPr>
          <w:ilvl w:val="0"/>
          <w:numId w:val="12"/>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Includes Lease Charge-Offs of $161.2 million and $65.4 million in the Acima and Rent-A-Center segments, respectively, and net advance losses of $53.9 million in the Brigit segment for the nine months ended September 30, 2026.</w:t>
      </w:r>
    </w:p>
    <w:p>
      <w:pPr>
        <w:ind w:left="120" w:hanging="112"/>
        <w:spacing w:after="0"/>
        <w:tabs>
          <w:tab w:leader="none" w:pos="120" w:val="left"/>
        </w:tabs>
        <w:numPr>
          <w:ilvl w:val="0"/>
          <w:numId w:val="12"/>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0"/>
          <w:szCs w:val="10"/>
          <w:color w:val="auto"/>
        </w:rPr>
        <w:t>Includes certain general and administrative expenses and other gains and charges. See Note 9 for additional information regarding other gains and charges.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1" w:name="page22"/>
    <w:bookmarkEnd w:id="21"/>
    <w:p>
      <w:pPr>
        <w:jc w:val="center"/>
        <w:ind w:left="340" w:right="2100"/>
        <w:spacing w:after="0" w:line="278" w:lineRule="auto"/>
        <w:rPr>
          <w:sz w:val="20"/>
          <w:szCs w:val="20"/>
          <w:color w:val="auto"/>
        </w:rPr>
      </w:pPr>
      <w:r>
        <w:rPr>
          <w:rFonts w:ascii="Times New Roman" w:cs="Times New Roman" w:eastAsia="Times New Roman" w:hAnsi="Times New Roman"/>
          <w:sz w:val="18"/>
          <w:szCs w:val="18"/>
          <w:b w:val="1"/>
          <w:bCs w:val="1"/>
          <w:color w:val="auto"/>
        </w:rPr>
        <w:t>UPBOUND GROUP, INC. AND SUBSIDIARIES NOTES TO CONDENSED CONSOLIDATED FINANCIAL STATEMENTS - (Continued) (Unaudited)</w:t>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52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1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3820" w:type="dxa"/>
            <w:vAlign w:val="bottom"/>
            <w:tcBorders>
              <w:bottom w:val="single" w:sz="8" w:color="auto"/>
            </w:tcBorders>
            <w:gridSpan w:val="7"/>
          </w:tcPr>
          <w:p>
            <w:pPr>
              <w:jc w:val="right"/>
              <w:ind w:right="712"/>
              <w:spacing w:after="0"/>
              <w:rPr>
                <w:sz w:val="20"/>
                <w:szCs w:val="20"/>
                <w:color w:val="auto"/>
              </w:rPr>
            </w:pPr>
            <w:r>
              <w:rPr>
                <w:rFonts w:ascii="Times New Roman" w:cs="Times New Roman" w:eastAsia="Times New Roman" w:hAnsi="Times New Roman"/>
                <w:sz w:val="14"/>
                <w:szCs w:val="14"/>
                <w:b w:val="1"/>
                <w:bCs w:val="1"/>
                <w:color w:val="auto"/>
              </w:rPr>
              <w:t>Three Months Ended September 30, 2025</w:t>
            </w:r>
          </w:p>
        </w:tc>
        <w:tc>
          <w:tcPr>
            <w:tcW w:w="1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520" w:type="dxa"/>
            <w:vAlign w:val="bottom"/>
            <w:vMerge w:val="continue"/>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372"/>
              <w:spacing w:after="0" w:line="142" w:lineRule="exact"/>
              <w:rPr>
                <w:sz w:val="20"/>
                <w:szCs w:val="20"/>
                <w:color w:val="auto"/>
              </w:rPr>
            </w:pPr>
            <w:r>
              <w:rPr>
                <w:rFonts w:ascii="Times New Roman" w:cs="Times New Roman" w:eastAsia="Times New Roman" w:hAnsi="Times New Roman"/>
                <w:sz w:val="14"/>
                <w:szCs w:val="14"/>
                <w:b w:val="1"/>
                <w:bCs w:val="1"/>
                <w:color w:val="auto"/>
              </w:rPr>
              <w:t>Acima</w:t>
            </w:r>
          </w:p>
        </w:tc>
        <w:tc>
          <w:tcPr>
            <w:tcW w:w="1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right"/>
              <w:ind w:right="214"/>
              <w:spacing w:after="0" w:line="142" w:lineRule="exact"/>
              <w:rPr>
                <w:sz w:val="20"/>
                <w:szCs w:val="20"/>
                <w:color w:val="auto"/>
              </w:rPr>
            </w:pPr>
            <w:r>
              <w:rPr>
                <w:rFonts w:ascii="Times New Roman" w:cs="Times New Roman" w:eastAsia="Times New Roman" w:hAnsi="Times New Roman"/>
                <w:sz w:val="14"/>
                <w:szCs w:val="14"/>
                <w:b w:val="1"/>
                <w:bCs w:val="1"/>
                <w:color w:val="auto"/>
              </w:rPr>
              <w:t>Rent-A-Center</w:t>
            </w:r>
          </w:p>
        </w:tc>
        <w:tc>
          <w:tcPr>
            <w:tcW w:w="1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372"/>
              <w:spacing w:after="0" w:line="142" w:lineRule="exact"/>
              <w:rPr>
                <w:sz w:val="20"/>
                <w:szCs w:val="20"/>
                <w:color w:val="auto"/>
              </w:rPr>
            </w:pPr>
            <w:r>
              <w:rPr>
                <w:rFonts w:ascii="Times New Roman" w:cs="Times New Roman" w:eastAsia="Times New Roman" w:hAnsi="Times New Roman"/>
                <w:sz w:val="14"/>
                <w:szCs w:val="14"/>
                <w:b w:val="1"/>
                <w:bCs w:val="1"/>
                <w:color w:val="auto"/>
              </w:rPr>
              <w:t>Brigit</w:t>
            </w:r>
          </w:p>
        </w:tc>
        <w:tc>
          <w:tcPr>
            <w:tcW w:w="1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332"/>
              <w:spacing w:after="0" w:line="142" w:lineRule="exact"/>
              <w:rPr>
                <w:sz w:val="20"/>
                <w:szCs w:val="20"/>
                <w:color w:val="auto"/>
              </w:rPr>
            </w:pPr>
            <w:r>
              <w:rPr>
                <w:rFonts w:ascii="Times New Roman" w:cs="Times New Roman" w:eastAsia="Times New Roman" w:hAnsi="Times New Roman"/>
                <w:sz w:val="14"/>
                <w:szCs w:val="14"/>
                <w:b w:val="1"/>
                <w:bCs w:val="1"/>
                <w:color w:val="auto"/>
              </w:rPr>
              <w:t>Mexico</w:t>
            </w:r>
          </w:p>
        </w:tc>
        <w:tc>
          <w:tcPr>
            <w:tcW w:w="1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391"/>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9"/>
        </w:trPr>
        <w:tc>
          <w:tcPr>
            <w:tcW w:w="3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Revenues</w:t>
            </w:r>
          </w:p>
        </w:tc>
        <w:tc>
          <w:tcPr>
            <w:tcW w:w="13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625,272</w:t>
            </w:r>
          </w:p>
        </w:tc>
        <w:tc>
          <w:tcPr>
            <w:tcW w:w="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461,090</w:t>
            </w:r>
          </w:p>
        </w:tc>
        <w:tc>
          <w:tcPr>
            <w:tcW w:w="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57,663</w:t>
            </w:r>
          </w:p>
        </w:tc>
        <w:tc>
          <w:tcPr>
            <w:tcW w:w="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20,692</w:t>
            </w:r>
          </w:p>
        </w:tc>
        <w:tc>
          <w:tcPr>
            <w:tcW w:w="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1,164,717</w:t>
            </w:r>
          </w:p>
        </w:tc>
        <w:tc>
          <w:tcPr>
            <w:tcW w:w="0" w:type="dxa"/>
            <w:vAlign w:val="bottom"/>
          </w:tcPr>
          <w:p>
            <w:pPr>
              <w:spacing w:after="0"/>
              <w:rPr>
                <w:sz w:val="1"/>
                <w:szCs w:val="1"/>
                <w:color w:val="auto"/>
              </w:rPr>
            </w:pPr>
          </w:p>
        </w:tc>
      </w:tr>
      <w:tr>
        <w:trPr>
          <w:trHeight w:val="216"/>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11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441,995</w:t>
            </w:r>
          </w:p>
        </w:tc>
        <w:tc>
          <w:tcPr>
            <w:tcW w:w="1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147,065</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6,631</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5,950</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601,641</w:t>
            </w:r>
          </w:p>
        </w:tc>
        <w:tc>
          <w:tcPr>
            <w:tcW w:w="0" w:type="dxa"/>
            <w:vAlign w:val="bottom"/>
          </w:tcPr>
          <w:p>
            <w:pPr>
              <w:spacing w:after="0"/>
              <w:rPr>
                <w:sz w:val="1"/>
                <w:szCs w:val="1"/>
                <w:color w:val="auto"/>
              </w:rPr>
            </w:pPr>
          </w:p>
        </w:tc>
      </w:tr>
      <w:tr>
        <w:trPr>
          <w:trHeight w:val="210"/>
        </w:trPr>
        <w:tc>
          <w:tcPr>
            <w:tcW w:w="35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Gross profit</w:t>
            </w:r>
          </w:p>
        </w:tc>
        <w:tc>
          <w:tcPr>
            <w:tcW w:w="1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183,277</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314,025</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51,032</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14,742</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563,076</w:t>
            </w:r>
          </w:p>
        </w:tc>
        <w:tc>
          <w:tcPr>
            <w:tcW w:w="0" w:type="dxa"/>
            <w:vAlign w:val="bottom"/>
          </w:tcPr>
          <w:p>
            <w:pPr>
              <w:spacing w:after="0"/>
              <w:rPr>
                <w:sz w:val="1"/>
                <w:szCs w:val="1"/>
                <w:color w:val="auto"/>
              </w:rPr>
            </w:pPr>
          </w:p>
        </w:tc>
      </w:tr>
      <w:tr>
        <w:trPr>
          <w:trHeight w:val="216"/>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Operating labor</w:t>
            </w:r>
          </w:p>
        </w:tc>
        <w:tc>
          <w:tcPr>
            <w:tcW w:w="1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25,166</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120,585</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1,184</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4,791</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151,726</w:t>
            </w:r>
          </w:p>
        </w:tc>
        <w:tc>
          <w:tcPr>
            <w:tcW w:w="0" w:type="dxa"/>
            <w:vAlign w:val="bottom"/>
          </w:tcPr>
          <w:p>
            <w:pPr>
              <w:spacing w:after="0"/>
              <w:rPr>
                <w:sz w:val="1"/>
                <w:szCs w:val="1"/>
                <w:color w:val="auto"/>
              </w:rPr>
            </w:pPr>
          </w:p>
        </w:tc>
      </w:tr>
      <w:tr>
        <w:trPr>
          <w:trHeight w:val="216"/>
        </w:trPr>
        <w:tc>
          <w:tcPr>
            <w:tcW w:w="3520" w:type="dxa"/>
            <w:vAlign w:val="bottom"/>
          </w:tcPr>
          <w:p>
            <w:pPr>
              <w:ind w:left="100"/>
              <w:spacing w:after="0" w:line="216" w:lineRule="exact"/>
              <w:rPr>
                <w:sz w:val="20"/>
                <w:szCs w:val="20"/>
                <w:color w:val="auto"/>
              </w:rPr>
            </w:pPr>
            <w:r>
              <w:rPr>
                <w:rFonts w:ascii="Times New Roman" w:cs="Times New Roman" w:eastAsia="Times New Roman" w:hAnsi="Times New Roman"/>
                <w:sz w:val="18"/>
                <w:szCs w:val="18"/>
                <w:color w:val="auto"/>
              </w:rPr>
              <w:t>Non-labor operating expenses</w:t>
            </w:r>
            <w:r>
              <w:rPr>
                <w:rFonts w:ascii="Times New Roman" w:cs="Times New Roman" w:eastAsia="Times New Roman" w:hAnsi="Times New Roman"/>
                <w:sz w:val="24"/>
                <w:szCs w:val="24"/>
                <w:color w:val="auto"/>
                <w:vertAlign w:val="superscript"/>
              </w:rPr>
              <w:t>(1)</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82,626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114,506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38,767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6,179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242,078</w:t>
            </w:r>
          </w:p>
        </w:tc>
        <w:tc>
          <w:tcPr>
            <w:tcW w:w="0" w:type="dxa"/>
            <w:vAlign w:val="bottom"/>
          </w:tcPr>
          <w:p>
            <w:pPr>
              <w:spacing w:after="0"/>
              <w:rPr>
                <w:sz w:val="1"/>
                <w:szCs w:val="1"/>
                <w:color w:val="auto"/>
              </w:rPr>
            </w:pPr>
          </w:p>
        </w:tc>
      </w:tr>
      <w:tr>
        <w:trPr>
          <w:trHeight w:val="216"/>
        </w:trPr>
        <w:tc>
          <w:tcPr>
            <w:tcW w:w="35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386</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5,222</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549</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6,178</w:t>
            </w:r>
          </w:p>
        </w:tc>
        <w:tc>
          <w:tcPr>
            <w:tcW w:w="0" w:type="dxa"/>
            <w:vAlign w:val="bottom"/>
          </w:tcPr>
          <w:p>
            <w:pPr>
              <w:spacing w:after="0"/>
              <w:rPr>
                <w:sz w:val="1"/>
                <w:szCs w:val="1"/>
                <w:color w:val="auto"/>
              </w:rPr>
            </w:pPr>
          </w:p>
        </w:tc>
      </w:tr>
      <w:tr>
        <w:trPr>
          <w:trHeight w:val="216"/>
        </w:trPr>
        <w:tc>
          <w:tcPr>
            <w:tcW w:w="3520" w:type="dxa"/>
            <w:vAlign w:val="bottom"/>
          </w:tcPr>
          <w:p>
            <w:pPr>
              <w:ind w:left="100"/>
              <w:spacing w:after="0" w:line="216" w:lineRule="exact"/>
              <w:rPr>
                <w:sz w:val="20"/>
                <w:szCs w:val="20"/>
                <w:color w:val="auto"/>
              </w:rPr>
            </w:pPr>
            <w:r>
              <w:rPr>
                <w:rFonts w:ascii="Times New Roman" w:cs="Times New Roman" w:eastAsia="Times New Roman" w:hAnsi="Times New Roman"/>
                <w:sz w:val="18"/>
                <w:szCs w:val="18"/>
                <w:color w:val="auto"/>
              </w:rPr>
              <w:t>Other segment expenses</w:t>
            </w:r>
            <w:r>
              <w:rPr>
                <w:rFonts w:ascii="Times New Roman" w:cs="Times New Roman" w:eastAsia="Times New Roman" w:hAnsi="Times New Roman"/>
                <w:sz w:val="24"/>
                <w:szCs w:val="24"/>
                <w:color w:val="auto"/>
                <w:vertAlign w:val="superscript"/>
              </w:rPr>
              <w:t>(2)</w:t>
            </w:r>
          </w:p>
        </w:tc>
        <w:tc>
          <w:tcPr>
            <w:tcW w:w="11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11,412</w:t>
            </w:r>
          </w:p>
        </w:tc>
        <w:tc>
          <w:tcPr>
            <w:tcW w:w="1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17,292</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6,491</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1,909</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37,104</w:t>
            </w:r>
          </w:p>
        </w:tc>
        <w:tc>
          <w:tcPr>
            <w:tcW w:w="0" w:type="dxa"/>
            <w:vAlign w:val="bottom"/>
          </w:tcPr>
          <w:p>
            <w:pPr>
              <w:spacing w:after="0"/>
              <w:rPr>
                <w:sz w:val="1"/>
                <w:szCs w:val="1"/>
                <w:color w:val="auto"/>
              </w:rPr>
            </w:pPr>
          </w:p>
        </w:tc>
      </w:tr>
      <w:tr>
        <w:trPr>
          <w:trHeight w:val="210"/>
        </w:trPr>
        <w:tc>
          <w:tcPr>
            <w:tcW w:w="35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Segment operating profit</w:t>
            </w:r>
          </w:p>
        </w:tc>
        <w:tc>
          <w:tcPr>
            <w:tcW w:w="1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63,687</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56,420</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4,569</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1,314</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125,990</w:t>
            </w:r>
          </w:p>
        </w:tc>
        <w:tc>
          <w:tcPr>
            <w:tcW w:w="0" w:type="dxa"/>
            <w:vAlign w:val="bottom"/>
          </w:tcPr>
          <w:p>
            <w:pPr>
              <w:spacing w:after="0"/>
              <w:rPr>
                <w:sz w:val="1"/>
                <w:szCs w:val="1"/>
                <w:color w:val="auto"/>
              </w:rPr>
            </w:pPr>
          </w:p>
        </w:tc>
      </w:tr>
      <w:tr>
        <w:trPr>
          <w:trHeight w:val="216"/>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Corporate</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(73,237)</w:t>
            </w:r>
          </w:p>
        </w:tc>
        <w:tc>
          <w:tcPr>
            <w:tcW w:w="0" w:type="dxa"/>
            <w:vAlign w:val="bottom"/>
          </w:tcPr>
          <w:p>
            <w:pPr>
              <w:spacing w:after="0"/>
              <w:rPr>
                <w:sz w:val="1"/>
                <w:szCs w:val="1"/>
                <w:color w:val="auto"/>
              </w:rPr>
            </w:pPr>
          </w:p>
        </w:tc>
      </w:tr>
      <w:tr>
        <w:trPr>
          <w:trHeight w:val="209"/>
        </w:trPr>
        <w:tc>
          <w:tcPr>
            <w:tcW w:w="35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Operating profit</w:t>
            </w:r>
          </w:p>
        </w:tc>
        <w:tc>
          <w:tcPr>
            <w:tcW w:w="1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52,753</w:t>
            </w:r>
          </w:p>
        </w:tc>
        <w:tc>
          <w:tcPr>
            <w:tcW w:w="0" w:type="dxa"/>
            <w:vAlign w:val="bottom"/>
          </w:tcPr>
          <w:p>
            <w:pPr>
              <w:spacing w:after="0"/>
              <w:rPr>
                <w:sz w:val="1"/>
                <w:szCs w:val="1"/>
                <w:color w:val="auto"/>
              </w:rPr>
            </w:pPr>
          </w:p>
        </w:tc>
      </w:tr>
      <w:tr>
        <w:trPr>
          <w:trHeight w:val="216"/>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Debt refinancing charges</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4,894</w:t>
            </w:r>
          </w:p>
        </w:tc>
        <w:tc>
          <w:tcPr>
            <w:tcW w:w="0" w:type="dxa"/>
            <w:vAlign w:val="bottom"/>
          </w:tcPr>
          <w:p>
            <w:pPr>
              <w:spacing w:after="0"/>
              <w:rPr>
                <w:sz w:val="1"/>
                <w:szCs w:val="1"/>
                <w:color w:val="auto"/>
              </w:rPr>
            </w:pPr>
          </w:p>
        </w:tc>
      </w:tr>
      <w:tr>
        <w:trPr>
          <w:trHeight w:val="216"/>
        </w:trPr>
        <w:tc>
          <w:tcPr>
            <w:tcW w:w="3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28,662</w:t>
            </w:r>
          </w:p>
        </w:tc>
        <w:tc>
          <w:tcPr>
            <w:tcW w:w="0" w:type="dxa"/>
            <w:vAlign w:val="bottom"/>
          </w:tcPr>
          <w:p>
            <w:pPr>
              <w:spacing w:after="0"/>
              <w:rPr>
                <w:sz w:val="1"/>
                <w:szCs w:val="1"/>
                <w:color w:val="auto"/>
              </w:rPr>
            </w:pPr>
          </w:p>
        </w:tc>
      </w:tr>
      <w:tr>
        <w:trPr>
          <w:trHeight w:val="216"/>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(673)</w:t>
            </w:r>
          </w:p>
        </w:tc>
        <w:tc>
          <w:tcPr>
            <w:tcW w:w="0" w:type="dxa"/>
            <w:vAlign w:val="bottom"/>
          </w:tcPr>
          <w:p>
            <w:pPr>
              <w:spacing w:after="0"/>
              <w:rPr>
                <w:sz w:val="1"/>
                <w:szCs w:val="1"/>
                <w:color w:val="auto"/>
              </w:rPr>
            </w:pPr>
          </w:p>
        </w:tc>
      </w:tr>
      <w:tr>
        <w:trPr>
          <w:trHeight w:val="229"/>
        </w:trPr>
        <w:tc>
          <w:tcPr>
            <w:tcW w:w="35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Earnings before income taxes</w:t>
            </w:r>
          </w:p>
        </w:tc>
        <w:tc>
          <w:tcPr>
            <w:tcW w:w="1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19,870</w:t>
            </w:r>
          </w:p>
        </w:tc>
        <w:tc>
          <w:tcPr>
            <w:tcW w:w="0" w:type="dxa"/>
            <w:vAlign w:val="bottom"/>
          </w:tcPr>
          <w:p>
            <w:pPr>
              <w:spacing w:after="0"/>
              <w:rPr>
                <w:sz w:val="1"/>
                <w:szCs w:val="1"/>
                <w:color w:val="auto"/>
              </w:rPr>
            </w:pPr>
          </w:p>
        </w:tc>
      </w:tr>
      <w:tr>
        <w:trPr>
          <w:trHeight w:val="20"/>
        </w:trPr>
        <w:tc>
          <w:tcPr>
            <w:tcW w:w="3520" w:type="dxa"/>
            <w:vAlign w:val="bottom"/>
            <w:tcBorders>
              <w:top w:val="single" w:sz="8" w:color="CFF0FC"/>
            </w:tcBorders>
            <w:shd w:val="clear" w:color="auto" w:fill="CFF0FC"/>
          </w:tcPr>
          <w:p>
            <w:pPr>
              <w:spacing w:after="0" w:line="20" w:lineRule="exact"/>
              <w:rPr>
                <w:sz w:val="1"/>
                <w:szCs w:val="1"/>
                <w:color w:val="auto"/>
              </w:rPr>
            </w:pPr>
          </w:p>
        </w:tc>
        <w:tc>
          <w:tcPr>
            <w:tcW w:w="114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9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2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9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9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ind w:left="180" w:hanging="172"/>
        <w:spacing w:after="0"/>
        <w:tabs>
          <w:tab w:leader="none" w:pos="133" w:val="left"/>
        </w:tabs>
        <w:numPr>
          <w:ilvl w:val="0"/>
          <w:numId w:val="13"/>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Includes Lease Charge-Offs of $61.0 million and $19.6 million in the Acima and Rent-A-Center segments, respectively, and net advance losses of $14.3 million in the Brigit segment for the three months ended September 30, 2025.</w:t>
      </w:r>
    </w:p>
    <w:p>
      <w:pPr>
        <w:spacing w:after="0" w:line="115" w:lineRule="exact"/>
        <w:rPr>
          <w:rFonts w:ascii="Times New Roman" w:cs="Times New Roman" w:eastAsia="Times New Roman" w:hAnsi="Times New Roman"/>
          <w:sz w:val="16"/>
          <w:szCs w:val="16"/>
          <w:color w:val="auto"/>
          <w:vertAlign w:val="superscript"/>
        </w:rPr>
      </w:pPr>
    </w:p>
    <w:p>
      <w:pPr>
        <w:ind w:left="140" w:hanging="132"/>
        <w:spacing w:after="0" w:line="188" w:lineRule="auto"/>
        <w:tabs>
          <w:tab w:leader="none" w:pos="140" w:val="left"/>
        </w:tabs>
        <w:numPr>
          <w:ilvl w:val="0"/>
          <w:numId w:val="13"/>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Includes certain general and administrative expenses and other gains and charges. See Note 9 for additional information regarding other gains and charges.</w:t>
      </w:r>
    </w:p>
    <w:tbl>
      <w:tblPr>
        <w:tblLayout w:type="fixed"/>
        <w:tblInd w:w="0" w:type="dxa"/>
        <w:tblCellMar>
          <w:top w:w="0" w:type="dxa"/>
          <w:left w:w="0" w:type="dxa"/>
          <w:bottom w:w="0" w:type="dxa"/>
          <w:right w:w="0" w:type="dxa"/>
        </w:tblCellMar>
      </w:tblPr>
      <w:tr>
        <w:trPr>
          <w:trHeight w:val="155"/>
        </w:trPr>
        <w:tc>
          <w:tcPr>
            <w:tcW w:w="462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3720" w:type="dxa"/>
            <w:vAlign w:val="bottom"/>
            <w:tcBorders>
              <w:bottom w:val="single" w:sz="8" w:color="auto"/>
            </w:tcBorders>
            <w:gridSpan w:val="7"/>
          </w:tcPr>
          <w:p>
            <w:pPr>
              <w:jc w:val="right"/>
              <w:ind w:right="632"/>
              <w:spacing w:after="0" w:line="155" w:lineRule="exact"/>
              <w:rPr>
                <w:sz w:val="20"/>
                <w:szCs w:val="20"/>
                <w:color w:val="auto"/>
              </w:rPr>
            </w:pPr>
            <w:r>
              <w:rPr>
                <w:rFonts w:ascii="Times New Roman" w:cs="Times New Roman" w:eastAsia="Times New Roman" w:hAnsi="Times New Roman"/>
                <w:sz w:val="14"/>
                <w:szCs w:val="14"/>
                <w:b w:val="1"/>
                <w:bCs w:val="1"/>
                <w:color w:val="auto"/>
              </w:rPr>
              <w:t>Nine Months Ended September 30, 2025</w:t>
            </w:r>
          </w:p>
        </w:tc>
        <w:tc>
          <w:tcPr>
            <w:tcW w:w="2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4620" w:type="dxa"/>
            <w:vAlign w:val="bottom"/>
            <w:vMerge w:val="continue"/>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72"/>
              <w:spacing w:after="0" w:line="142" w:lineRule="exact"/>
              <w:rPr>
                <w:sz w:val="20"/>
                <w:szCs w:val="20"/>
                <w:color w:val="auto"/>
              </w:rPr>
            </w:pPr>
            <w:r>
              <w:rPr>
                <w:rFonts w:ascii="Times New Roman" w:cs="Times New Roman" w:eastAsia="Times New Roman" w:hAnsi="Times New Roman"/>
                <w:sz w:val="14"/>
                <w:szCs w:val="14"/>
                <w:b w:val="1"/>
                <w:bCs w:val="1"/>
                <w:color w:val="auto"/>
              </w:rPr>
              <w:t>Acima</w:t>
            </w:r>
          </w:p>
        </w:tc>
        <w:tc>
          <w:tcPr>
            <w:tcW w:w="2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114"/>
              <w:spacing w:after="0" w:line="142" w:lineRule="exact"/>
              <w:rPr>
                <w:sz w:val="20"/>
                <w:szCs w:val="20"/>
                <w:color w:val="auto"/>
              </w:rPr>
            </w:pPr>
            <w:r>
              <w:rPr>
                <w:rFonts w:ascii="Times New Roman" w:cs="Times New Roman" w:eastAsia="Times New Roman" w:hAnsi="Times New Roman"/>
                <w:sz w:val="14"/>
                <w:szCs w:val="14"/>
                <w:b w:val="1"/>
                <w:bCs w:val="1"/>
                <w:color w:val="auto"/>
              </w:rPr>
              <w:t>Rent-A-Center</w:t>
            </w:r>
          </w:p>
        </w:tc>
        <w:tc>
          <w:tcPr>
            <w:tcW w:w="2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272"/>
              <w:spacing w:after="0" w:line="142" w:lineRule="exact"/>
              <w:rPr>
                <w:sz w:val="20"/>
                <w:szCs w:val="20"/>
                <w:color w:val="auto"/>
              </w:rPr>
            </w:pPr>
            <w:r>
              <w:rPr>
                <w:rFonts w:ascii="Times New Roman" w:cs="Times New Roman" w:eastAsia="Times New Roman" w:hAnsi="Times New Roman"/>
                <w:sz w:val="14"/>
                <w:szCs w:val="14"/>
                <w:b w:val="1"/>
                <w:bCs w:val="1"/>
                <w:color w:val="auto"/>
              </w:rPr>
              <w:t>Brigit</w:t>
            </w:r>
          </w:p>
        </w:tc>
        <w:tc>
          <w:tcPr>
            <w:tcW w:w="2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232"/>
              <w:spacing w:after="0" w:line="142" w:lineRule="exact"/>
              <w:rPr>
                <w:sz w:val="20"/>
                <w:szCs w:val="20"/>
                <w:color w:val="auto"/>
              </w:rPr>
            </w:pPr>
            <w:r>
              <w:rPr>
                <w:rFonts w:ascii="Times New Roman" w:cs="Times New Roman" w:eastAsia="Times New Roman" w:hAnsi="Times New Roman"/>
                <w:sz w:val="14"/>
                <w:szCs w:val="14"/>
                <w:b w:val="1"/>
                <w:bCs w:val="1"/>
                <w:color w:val="auto"/>
              </w:rPr>
              <w:t>Mexico</w:t>
            </w:r>
          </w:p>
        </w:tc>
        <w:tc>
          <w:tcPr>
            <w:tcW w:w="2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11"/>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Revenues</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1,881,526</w:t>
            </w:r>
          </w:p>
        </w:tc>
        <w:tc>
          <w:tcPr>
            <w:tcW w:w="3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1,417,233</w:t>
            </w:r>
          </w:p>
        </w:tc>
        <w:tc>
          <w:tcPr>
            <w:tcW w:w="4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141,414</w:t>
            </w:r>
          </w:p>
        </w:tc>
        <w:tc>
          <w:tcPr>
            <w:tcW w:w="4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58,443</w:t>
            </w:r>
          </w:p>
        </w:tc>
        <w:tc>
          <w:tcPr>
            <w:tcW w:w="4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3,498,616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1,316,809</w:t>
            </w:r>
          </w:p>
        </w:tc>
        <w:tc>
          <w:tcPr>
            <w:tcW w:w="2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463,424</w:t>
            </w: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16,623</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16,730</w:t>
            </w: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1,813,586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6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Gross profit</w:t>
            </w: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564,717</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953,809</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124,791</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41,713</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1,685,030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Operating labor</w:t>
            </w: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73,559</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359,910</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2,964</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13,552</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449,985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ind w:left="100"/>
              <w:spacing w:after="0" w:line="216" w:lineRule="exact"/>
              <w:rPr>
                <w:sz w:val="20"/>
                <w:szCs w:val="20"/>
                <w:color w:val="auto"/>
              </w:rPr>
            </w:pPr>
            <w:r>
              <w:rPr>
                <w:rFonts w:ascii="Times New Roman" w:cs="Times New Roman" w:eastAsia="Times New Roman" w:hAnsi="Times New Roman"/>
                <w:sz w:val="18"/>
                <w:szCs w:val="18"/>
                <w:color w:val="auto"/>
              </w:rPr>
              <w:t>Non-labor operating expenses</w:t>
            </w:r>
            <w:r>
              <w:rPr>
                <w:rFonts w:ascii="Times New Roman" w:cs="Times New Roman" w:eastAsia="Times New Roman" w:hAnsi="Times New Roman"/>
                <w:sz w:val="24"/>
                <w:szCs w:val="24"/>
                <w:color w:val="auto"/>
                <w:vertAlign w:val="superscript"/>
              </w:rPr>
              <w:t>(1)</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236,269</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356,418</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81,513</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17,033</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691,233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1,093</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15,888</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1,470</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18,500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ind w:left="100"/>
              <w:spacing w:after="0" w:line="216" w:lineRule="exact"/>
              <w:rPr>
                <w:sz w:val="20"/>
                <w:szCs w:val="20"/>
                <w:color w:val="auto"/>
              </w:rPr>
            </w:pPr>
            <w:r>
              <w:rPr>
                <w:rFonts w:ascii="Times New Roman" w:cs="Times New Roman" w:eastAsia="Times New Roman" w:hAnsi="Times New Roman"/>
                <w:sz w:val="18"/>
                <w:szCs w:val="18"/>
                <w:color w:val="auto"/>
              </w:rPr>
              <w:t>Other segment expenses</w:t>
            </w:r>
            <w:r>
              <w:rPr>
                <w:rFonts w:ascii="Times New Roman" w:cs="Times New Roman" w:eastAsia="Times New Roman" w:hAnsi="Times New Roman"/>
                <w:sz w:val="24"/>
                <w:szCs w:val="24"/>
                <w:color w:val="auto"/>
                <w:vertAlign w:val="superscript"/>
              </w:rPr>
              <w:t>(2)</w:t>
            </w: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34,398</w:t>
            </w:r>
          </w:p>
        </w:tc>
        <w:tc>
          <w:tcPr>
            <w:tcW w:w="2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35,757</w:t>
            </w: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16,395</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5,185</w:t>
            </w: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91,735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Segment operating profit</w:t>
            </w: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219,398</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185,836</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23,870</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4,473</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433,577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Corporate</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(267,475)</w:t>
            </w:r>
          </w:p>
        </w:tc>
        <w:tc>
          <w:tcPr>
            <w:tcW w:w="0" w:type="dxa"/>
            <w:vAlign w:val="bottom"/>
          </w:tcPr>
          <w:p>
            <w:pPr>
              <w:spacing w:after="0"/>
              <w:rPr>
                <w:sz w:val="1"/>
                <w:szCs w:val="1"/>
                <w:color w:val="auto"/>
              </w:rPr>
            </w:pPr>
          </w:p>
        </w:tc>
      </w:tr>
      <w:tr>
        <w:trPr>
          <w:trHeight w:val="210"/>
        </w:trPr>
        <w:tc>
          <w:tcPr>
            <w:tcW w:w="46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Operating profit</w:t>
            </w: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166,102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Debt refinancing charges</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84,983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(2,005)</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6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Earnings before income taxes</w:t>
            </w: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4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78,230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88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16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84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86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24" w:lineRule="exact"/>
        <w:rPr>
          <w:sz w:val="20"/>
          <w:szCs w:val="20"/>
          <w:color w:val="auto"/>
        </w:rPr>
      </w:pPr>
    </w:p>
    <w:p>
      <w:pPr>
        <w:ind w:left="180" w:hanging="172"/>
        <w:spacing w:after="0" w:line="223" w:lineRule="auto"/>
        <w:tabs>
          <w:tab w:leader="none" w:pos="133" w:val="left"/>
        </w:tabs>
        <w:numPr>
          <w:ilvl w:val="0"/>
          <w:numId w:val="14"/>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Includes Lease Charge-Offs of $175.3 million and $60.0 million in the Acima and Rent-A-Center segments, respectively, and net advance losses of $29.7 million in the Brigit segment for the nine months ended September 30, 2025.</w:t>
      </w:r>
    </w:p>
    <w:p>
      <w:pPr>
        <w:ind w:left="120" w:hanging="112"/>
        <w:spacing w:after="0" w:line="215" w:lineRule="auto"/>
        <w:tabs>
          <w:tab w:leader="none" w:pos="120" w:val="left"/>
        </w:tabs>
        <w:numPr>
          <w:ilvl w:val="0"/>
          <w:numId w:val="14"/>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0"/>
          <w:szCs w:val="10"/>
          <w:color w:val="auto"/>
        </w:rPr>
        <w:t>Includes certain general and administrative expenses and other gains and charges. See Note 9 for additional information regarding other gains and charges.</w:t>
      </w:r>
    </w:p>
    <w:tbl>
      <w:tblPr>
        <w:tblLayout w:type="fixed"/>
        <w:tblInd w:w="0" w:type="dxa"/>
        <w:tblCellMar>
          <w:top w:w="0" w:type="dxa"/>
          <w:left w:w="0" w:type="dxa"/>
          <w:bottom w:w="0" w:type="dxa"/>
          <w:right w:w="0" w:type="dxa"/>
        </w:tblCellMar>
      </w:tblPr>
      <w:tr>
        <w:trPr>
          <w:trHeight w:val="155"/>
        </w:trPr>
        <w:tc>
          <w:tcPr>
            <w:tcW w:w="382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0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500" w:type="dxa"/>
            <w:vAlign w:val="bottom"/>
            <w:tcBorders>
              <w:bottom w:val="single" w:sz="8" w:color="auto"/>
            </w:tcBorders>
            <w:gridSpan w:val="4"/>
          </w:tcPr>
          <w:p>
            <w:pPr>
              <w:jc w:val="right"/>
              <w:ind w:right="172"/>
              <w:spacing w:after="0" w:line="155" w:lineRule="exact"/>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520" w:type="dxa"/>
            <w:vAlign w:val="bottom"/>
            <w:tcBorders>
              <w:bottom w:val="single" w:sz="8" w:color="auto"/>
            </w:tcBorders>
            <w:gridSpan w:val="4"/>
          </w:tcPr>
          <w:p>
            <w:pPr>
              <w:jc w:val="right"/>
              <w:ind w:right="232"/>
              <w:spacing w:after="0" w:line="155" w:lineRule="exact"/>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42"/>
        </w:trPr>
        <w:tc>
          <w:tcPr>
            <w:tcW w:w="3820" w:type="dxa"/>
            <w:vAlign w:val="bottom"/>
            <w:vMerge w:val="continue"/>
          </w:tcPr>
          <w:p>
            <w:pPr>
              <w:spacing w:after="0"/>
              <w:rPr>
                <w:sz w:val="12"/>
                <w:szCs w:val="12"/>
                <w:color w:val="auto"/>
              </w:rPr>
            </w:pPr>
          </w:p>
        </w:tc>
        <w:tc>
          <w:tcPr>
            <w:tcW w:w="20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434"/>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4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45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454"/>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4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7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09"/>
        </w:trPr>
        <w:tc>
          <w:tcPr>
            <w:tcW w:w="3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2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Acima</w:t>
            </w:r>
          </w:p>
        </w:tc>
        <w:tc>
          <w:tcPr>
            <w:tcW w:w="2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126</w:t>
            </w: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600</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430</w:t>
            </w:r>
          </w:p>
        </w:tc>
        <w:tc>
          <w:tcPr>
            <w:tcW w:w="0" w:type="dxa"/>
            <w:vAlign w:val="bottom"/>
          </w:tcPr>
          <w:p>
            <w:pPr>
              <w:spacing w:after="0"/>
              <w:rPr>
                <w:sz w:val="1"/>
                <w:szCs w:val="1"/>
                <w:color w:val="auto"/>
              </w:rPr>
            </w:pPr>
          </w:p>
        </w:tc>
      </w:tr>
      <w:tr>
        <w:trPr>
          <w:trHeight w:val="216"/>
        </w:trPr>
        <w:tc>
          <w:tcPr>
            <w:tcW w:w="38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Rent-A-Center</w:t>
            </w:r>
          </w:p>
        </w:tc>
        <w:tc>
          <w:tcPr>
            <w:tcW w:w="2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4,530</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6,804</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11,613</w:t>
            </w: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14,921</w:t>
            </w:r>
          </w:p>
        </w:tc>
        <w:tc>
          <w:tcPr>
            <w:tcW w:w="0" w:type="dxa"/>
            <w:vAlign w:val="bottom"/>
          </w:tcPr>
          <w:p>
            <w:pPr>
              <w:spacing w:after="0"/>
              <w:rPr>
                <w:sz w:val="1"/>
                <w:szCs w:val="1"/>
                <w:color w:val="auto"/>
              </w:rPr>
            </w:pPr>
          </w:p>
        </w:tc>
      </w:tr>
      <w:tr>
        <w:trPr>
          <w:trHeight w:val="216"/>
        </w:trPr>
        <w:tc>
          <w:tcPr>
            <w:tcW w:w="3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Brigit</w:t>
            </w:r>
          </w:p>
        </w:tc>
        <w:tc>
          <w:tcPr>
            <w:tcW w:w="2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55</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142</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341</w:t>
            </w:r>
          </w:p>
        </w:tc>
        <w:tc>
          <w:tcPr>
            <w:tcW w:w="0" w:type="dxa"/>
            <w:vAlign w:val="bottom"/>
          </w:tcPr>
          <w:p>
            <w:pPr>
              <w:spacing w:after="0"/>
              <w:rPr>
                <w:sz w:val="1"/>
                <w:szCs w:val="1"/>
                <w:color w:val="auto"/>
              </w:rPr>
            </w:pPr>
          </w:p>
        </w:tc>
      </w:tr>
      <w:tr>
        <w:trPr>
          <w:trHeight w:val="216"/>
        </w:trPr>
        <w:tc>
          <w:tcPr>
            <w:tcW w:w="382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Mexico</w:t>
            </w:r>
          </w:p>
        </w:tc>
        <w:tc>
          <w:tcPr>
            <w:tcW w:w="20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572</w:t>
            </w:r>
          </w:p>
        </w:tc>
        <w:tc>
          <w:tcPr>
            <w:tcW w:w="1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951</w:t>
            </w:r>
          </w:p>
        </w:tc>
        <w:tc>
          <w:tcPr>
            <w:tcW w:w="1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2,620</w:t>
            </w:r>
          </w:p>
        </w:tc>
        <w:tc>
          <w:tcPr>
            <w:tcW w:w="1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2,730</w:t>
            </w:r>
          </w:p>
        </w:tc>
        <w:tc>
          <w:tcPr>
            <w:tcW w:w="0" w:type="dxa"/>
            <w:vAlign w:val="bottom"/>
          </w:tcPr>
          <w:p>
            <w:pPr>
              <w:spacing w:after="0"/>
              <w:rPr>
                <w:sz w:val="1"/>
                <w:szCs w:val="1"/>
                <w:color w:val="auto"/>
              </w:rPr>
            </w:pPr>
          </w:p>
        </w:tc>
      </w:tr>
      <w:tr>
        <w:trPr>
          <w:trHeight w:val="210"/>
        </w:trPr>
        <w:tc>
          <w:tcPr>
            <w:tcW w:w="3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operating segments</w:t>
            </w:r>
          </w:p>
        </w:tc>
        <w:tc>
          <w:tcPr>
            <w:tcW w:w="2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5,283</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7,791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14,975</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18,422</w:t>
            </w:r>
          </w:p>
        </w:tc>
        <w:tc>
          <w:tcPr>
            <w:tcW w:w="0" w:type="dxa"/>
            <w:vAlign w:val="bottom"/>
          </w:tcPr>
          <w:p>
            <w:pPr>
              <w:spacing w:after="0"/>
              <w:rPr>
                <w:sz w:val="1"/>
                <w:szCs w:val="1"/>
                <w:color w:val="auto"/>
              </w:rPr>
            </w:pPr>
          </w:p>
        </w:tc>
      </w:tr>
      <w:tr>
        <w:trPr>
          <w:trHeight w:val="216"/>
        </w:trPr>
        <w:tc>
          <w:tcPr>
            <w:tcW w:w="382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Corporate</w:t>
            </w:r>
          </w:p>
        </w:tc>
        <w:tc>
          <w:tcPr>
            <w:tcW w:w="20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10,847</w:t>
            </w:r>
          </w:p>
        </w:tc>
        <w:tc>
          <w:tcPr>
            <w:tcW w:w="1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12,713</w:t>
            </w:r>
          </w:p>
        </w:tc>
        <w:tc>
          <w:tcPr>
            <w:tcW w:w="1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32,617</w:t>
            </w:r>
          </w:p>
        </w:tc>
        <w:tc>
          <w:tcPr>
            <w:tcW w:w="1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30,905</w:t>
            </w:r>
          </w:p>
        </w:tc>
        <w:tc>
          <w:tcPr>
            <w:tcW w:w="0" w:type="dxa"/>
            <w:vAlign w:val="bottom"/>
          </w:tcPr>
          <w:p>
            <w:pPr>
              <w:spacing w:after="0"/>
              <w:rPr>
                <w:sz w:val="1"/>
                <w:szCs w:val="1"/>
                <w:color w:val="auto"/>
              </w:rPr>
            </w:pPr>
          </w:p>
        </w:tc>
      </w:tr>
      <w:tr>
        <w:trPr>
          <w:trHeight w:val="209"/>
        </w:trPr>
        <w:tc>
          <w:tcPr>
            <w:tcW w:w="3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capital expenditures</w:t>
            </w:r>
          </w:p>
        </w:tc>
        <w:tc>
          <w:tcPr>
            <w:tcW w:w="2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16,130</w:t>
            </w: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20,504</w:t>
            </w: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47,592</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49,327</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20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3820" w:type="dxa"/>
            <w:vAlign w:val="bottom"/>
          </w:tcPr>
          <w:p>
            <w:pPr>
              <w:spacing w:after="0"/>
              <w:rPr>
                <w:sz w:val="24"/>
                <w:szCs w:val="24"/>
                <w:color w:val="auto"/>
              </w:rPr>
            </w:pPr>
          </w:p>
        </w:tc>
        <w:tc>
          <w:tcPr>
            <w:tcW w:w="20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3820" w:type="dxa"/>
            <w:vAlign w:val="bottom"/>
            <w:tcBorders>
              <w:bottom w:val="single" w:sz="8" w:color="9A9A9A"/>
            </w:tcBorders>
          </w:tcPr>
          <w:p>
            <w:pPr>
              <w:spacing w:after="0"/>
              <w:rPr>
                <w:sz w:val="24"/>
                <w:szCs w:val="24"/>
                <w:color w:val="auto"/>
              </w:rPr>
            </w:pPr>
          </w:p>
        </w:tc>
        <w:tc>
          <w:tcPr>
            <w:tcW w:w="20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-1104900</wp:posOffset>
            </wp:positionV>
            <wp:extent cx="8572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-1104900</wp:posOffset>
            </wp:positionV>
            <wp:extent cx="8572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-1104900</wp:posOffset>
            </wp:positionV>
            <wp:extent cx="8572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-822325</wp:posOffset>
            </wp:positionV>
            <wp:extent cx="8572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-822325</wp:posOffset>
            </wp:positionV>
            <wp:extent cx="8572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-822325</wp:posOffset>
            </wp:positionV>
            <wp:extent cx="8572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2" w:name="page23"/>
    <w:bookmarkEnd w:id="22"/>
    <w:p>
      <w:pPr>
        <w:jc w:val="center"/>
        <w:ind w:left="340" w:right="2100"/>
        <w:spacing w:after="0" w:line="278" w:lineRule="auto"/>
        <w:rPr>
          <w:sz w:val="20"/>
          <w:szCs w:val="20"/>
          <w:color w:val="auto"/>
        </w:rPr>
      </w:pPr>
      <w:r>
        <w:rPr>
          <w:rFonts w:ascii="Times New Roman" w:cs="Times New Roman" w:eastAsia="Times New Roman" w:hAnsi="Times New Roman"/>
          <w:sz w:val="18"/>
          <w:szCs w:val="18"/>
          <w:b w:val="1"/>
          <w:bCs w:val="1"/>
          <w:color w:val="auto"/>
        </w:rPr>
        <w:t>UPBOUND GROUP, INC. AND SUBSIDIARIES NOTES TO CONDENSED CONSOLIDATED FINANCIAL STATEMENTS - (Continued) (Unaudited)</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4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40" w:type="dxa"/>
            <w:vAlign w:val="bottom"/>
          </w:tcPr>
          <w:p>
            <w:pPr>
              <w:spacing w:after="0"/>
              <w:rPr>
                <w:sz w:val="15"/>
                <w:szCs w:val="15"/>
                <w:color w:val="auto"/>
              </w:rPr>
            </w:pPr>
          </w:p>
        </w:tc>
        <w:tc>
          <w:tcPr>
            <w:tcW w:w="1420" w:type="dxa"/>
            <w:vAlign w:val="bottom"/>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209"/>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On rent rental merchandise, net</w:t>
            </w:r>
          </w:p>
        </w:tc>
        <w:tc>
          <w:tcPr>
            <w:tcW w:w="140" w:type="dxa"/>
            <w:vAlign w:val="bottom"/>
            <w:tcBorders>
              <w:top w:val="single" w:sz="8" w:color="auto"/>
            </w:tcBorders>
            <w:shd w:val="clear" w:color="auto" w:fill="CFF0FC"/>
          </w:tcPr>
          <w:p>
            <w:pPr>
              <w:spacing w:after="0"/>
              <w:rPr>
                <w:sz w:val="18"/>
                <w:szCs w:val="18"/>
                <w:color w:val="auto"/>
              </w:rPr>
            </w:pPr>
          </w:p>
        </w:tc>
        <w:tc>
          <w:tcPr>
            <w:tcW w:w="14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4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Acima</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598,046</w:t>
            </w:r>
          </w:p>
        </w:tc>
        <w:tc>
          <w:tcPr>
            <w:tcW w:w="4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710,844</w:t>
            </w:r>
          </w:p>
        </w:tc>
        <w:tc>
          <w:tcPr>
            <w:tcW w:w="100" w:type="dxa"/>
            <w:vAlign w:val="bottom"/>
          </w:tcPr>
          <w:p>
            <w:pPr>
              <w:spacing w:after="0"/>
              <w:rPr>
                <w:sz w:val="18"/>
                <w:szCs w:val="18"/>
                <w:color w:val="auto"/>
              </w:rPr>
            </w:pPr>
          </w:p>
        </w:tc>
      </w:tr>
      <w:tr>
        <w:trPr>
          <w:trHeight w:val="216"/>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Rent-A-Center</w:t>
            </w: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418,212</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465,076</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Mexico</w:t>
            </w: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27,571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26,362</w:t>
            </w:r>
          </w:p>
        </w:tc>
        <w:tc>
          <w:tcPr>
            <w:tcW w:w="100" w:type="dxa"/>
            <w:vAlign w:val="bottom"/>
          </w:tcPr>
          <w:p>
            <w:pPr>
              <w:spacing w:after="0"/>
              <w:rPr>
                <w:sz w:val="18"/>
                <w:szCs w:val="18"/>
                <w:color w:val="auto"/>
              </w:rPr>
            </w:pPr>
          </w:p>
        </w:tc>
      </w:tr>
      <w:tr>
        <w:trPr>
          <w:trHeight w:val="249"/>
        </w:trPr>
        <w:tc>
          <w:tcPr>
            <w:tcW w:w="77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Total on rent rental merchandise, net</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1,043,829</w:t>
            </w:r>
          </w:p>
        </w:tc>
        <w:tc>
          <w:tcPr>
            <w:tcW w:w="42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1,202,282</w:t>
            </w:r>
          </w:p>
        </w:tc>
        <w:tc>
          <w:tcPr>
            <w:tcW w:w="100" w:type="dxa"/>
            <w:vAlign w:val="bottom"/>
            <w:shd w:val="clear" w:color="auto" w:fill="CFF0FC"/>
          </w:tcPr>
          <w:p>
            <w:pPr>
              <w:spacing w:after="0"/>
              <w:rPr>
                <w:sz w:val="21"/>
                <w:szCs w:val="21"/>
                <w:color w:val="auto"/>
              </w:rPr>
            </w:pPr>
          </w:p>
        </w:tc>
      </w:tr>
      <w:tr>
        <w:trPr>
          <w:trHeight w:val="251"/>
        </w:trPr>
        <w:tc>
          <w:tcPr>
            <w:tcW w:w="77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40" w:type="dxa"/>
            <w:vAlign w:val="bottom"/>
            <w:tcBorders>
              <w:top w:val="single" w:sz="8" w:color="auto"/>
              <w:bottom w:val="single" w:sz="8" w:color="auto"/>
            </w:tcBorders>
          </w:tcPr>
          <w:p>
            <w:pPr>
              <w:spacing w:after="0"/>
              <w:rPr>
                <w:sz w:val="21"/>
                <w:szCs w:val="21"/>
                <w:color w:val="auto"/>
              </w:rPr>
            </w:pPr>
          </w:p>
        </w:tc>
        <w:tc>
          <w:tcPr>
            <w:tcW w:w="1420" w:type="dxa"/>
            <w:vAlign w:val="bottom"/>
            <w:tcBorders>
              <w:top w:val="single" w:sz="8" w:color="auto"/>
              <w:bottom w:val="single" w:sz="8" w:color="auto"/>
            </w:tcBorders>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100" w:type="dxa"/>
            <w:vAlign w:val="bottom"/>
            <w:tcBorders>
              <w:top w:val="single" w:sz="8" w:color="CFF0FC"/>
              <w:bottom w:val="single" w:sz="8" w:color="auto"/>
            </w:tcBorders>
          </w:tcPr>
          <w:p>
            <w:pPr>
              <w:spacing w:after="0"/>
              <w:rPr>
                <w:sz w:val="21"/>
                <w:szCs w:val="21"/>
                <w:color w:val="auto"/>
              </w:rPr>
            </w:pPr>
          </w:p>
        </w:tc>
        <w:tc>
          <w:tcPr>
            <w:tcW w:w="180" w:type="dxa"/>
            <w:vAlign w:val="bottom"/>
            <w:tcBorders>
              <w:top w:val="single" w:sz="8" w:color="CFF0FC"/>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42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00" w:type="dxa"/>
            <w:vAlign w:val="bottom"/>
            <w:tcBorders>
              <w:top w:val="single" w:sz="8" w:color="CFF0FC"/>
              <w:bottom w:val="single" w:sz="8" w:color="auto"/>
            </w:tcBorders>
          </w:tcPr>
          <w:p>
            <w:pPr>
              <w:spacing w:after="0"/>
              <w:rPr>
                <w:sz w:val="21"/>
                <w:szCs w:val="21"/>
                <w:color w:val="auto"/>
              </w:rPr>
            </w:pPr>
          </w:p>
        </w:tc>
      </w:tr>
      <w:tr>
        <w:trPr>
          <w:trHeight w:val="209"/>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Held for rent rental merchandise, net</w:t>
            </w: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Acima</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4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00" w:type="dxa"/>
            <w:vAlign w:val="bottom"/>
          </w:tcPr>
          <w:p>
            <w:pPr>
              <w:spacing w:after="0"/>
              <w:rPr>
                <w:sz w:val="18"/>
                <w:szCs w:val="18"/>
                <w:color w:val="auto"/>
              </w:rPr>
            </w:pPr>
          </w:p>
        </w:tc>
      </w:tr>
      <w:tr>
        <w:trPr>
          <w:trHeight w:val="216"/>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Rent-A-Center</w:t>
            </w: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131,595</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100,893</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Mexico</w:t>
            </w: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11,646</w:t>
            </w:r>
          </w:p>
        </w:tc>
        <w:tc>
          <w:tcPr>
            <w:tcW w:w="10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13,468</w:t>
            </w:r>
          </w:p>
        </w:tc>
        <w:tc>
          <w:tcPr>
            <w:tcW w:w="100" w:type="dxa"/>
            <w:vAlign w:val="bottom"/>
            <w:tcBorders>
              <w:bottom w:val="single" w:sz="8" w:color="auto"/>
            </w:tcBorders>
          </w:tcPr>
          <w:p>
            <w:pPr>
              <w:spacing w:after="0"/>
              <w:rPr>
                <w:sz w:val="18"/>
                <w:szCs w:val="18"/>
                <w:color w:val="auto"/>
              </w:rPr>
            </w:pPr>
          </w:p>
        </w:tc>
      </w:tr>
      <w:tr>
        <w:trPr>
          <w:trHeight w:val="249"/>
        </w:trPr>
        <w:tc>
          <w:tcPr>
            <w:tcW w:w="77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Total held for rent rental merchandise, net</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143,408</w:t>
            </w:r>
          </w:p>
        </w:tc>
        <w:tc>
          <w:tcPr>
            <w:tcW w:w="42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114,525</w:t>
            </w:r>
          </w:p>
        </w:tc>
        <w:tc>
          <w:tcPr>
            <w:tcW w:w="100" w:type="dxa"/>
            <w:vAlign w:val="bottom"/>
            <w:shd w:val="clear" w:color="auto" w:fill="CFF0FC"/>
          </w:tcPr>
          <w:p>
            <w:pPr>
              <w:spacing w:after="0"/>
              <w:rPr>
                <w:sz w:val="21"/>
                <w:szCs w:val="21"/>
                <w:color w:val="auto"/>
              </w:rPr>
            </w:pPr>
          </w:p>
        </w:tc>
      </w:tr>
      <w:tr>
        <w:trPr>
          <w:trHeight w:val="251"/>
        </w:trPr>
        <w:tc>
          <w:tcPr>
            <w:tcW w:w="77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40" w:type="dxa"/>
            <w:vAlign w:val="bottom"/>
            <w:tcBorders>
              <w:top w:val="single" w:sz="8" w:color="auto"/>
              <w:bottom w:val="single" w:sz="8" w:color="auto"/>
            </w:tcBorders>
          </w:tcPr>
          <w:p>
            <w:pPr>
              <w:spacing w:after="0"/>
              <w:rPr>
                <w:sz w:val="21"/>
                <w:szCs w:val="21"/>
                <w:color w:val="auto"/>
              </w:rPr>
            </w:pPr>
          </w:p>
        </w:tc>
        <w:tc>
          <w:tcPr>
            <w:tcW w:w="1420" w:type="dxa"/>
            <w:vAlign w:val="bottom"/>
            <w:tcBorders>
              <w:top w:val="single" w:sz="8" w:color="auto"/>
              <w:bottom w:val="single" w:sz="8" w:color="auto"/>
            </w:tcBorders>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100" w:type="dxa"/>
            <w:vAlign w:val="bottom"/>
            <w:tcBorders>
              <w:top w:val="single" w:sz="8" w:color="auto"/>
              <w:bottom w:val="single" w:sz="8" w:color="auto"/>
            </w:tcBorders>
          </w:tcPr>
          <w:p>
            <w:pPr>
              <w:spacing w:after="0"/>
              <w:rPr>
                <w:sz w:val="21"/>
                <w:szCs w:val="21"/>
                <w:color w:val="auto"/>
              </w:rPr>
            </w:pPr>
          </w:p>
        </w:tc>
        <w:tc>
          <w:tcPr>
            <w:tcW w:w="180" w:type="dxa"/>
            <w:vAlign w:val="bottom"/>
            <w:tcBorders>
              <w:top w:val="single" w:sz="8" w:color="CFF0FC"/>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520" w:type="dxa"/>
            <w:vAlign w:val="bottom"/>
            <w:tcBorders>
              <w:top w:val="single" w:sz="8" w:color="auto"/>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223"/>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Assets by segment</w:t>
            </w: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Acima</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1,124,369</w:t>
            </w:r>
          </w:p>
        </w:tc>
        <w:tc>
          <w:tcPr>
            <w:tcW w:w="4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1,280,771</w:t>
            </w:r>
          </w:p>
        </w:tc>
        <w:tc>
          <w:tcPr>
            <w:tcW w:w="100" w:type="dxa"/>
            <w:vAlign w:val="bottom"/>
          </w:tcPr>
          <w:p>
            <w:pPr>
              <w:spacing w:after="0"/>
              <w:rPr>
                <w:sz w:val="19"/>
                <w:szCs w:val="19"/>
                <w:color w:val="auto"/>
              </w:rPr>
            </w:pPr>
          </w:p>
        </w:tc>
      </w:tr>
      <w:tr>
        <w:trPr>
          <w:trHeight w:val="229"/>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Rent-A-Center</w:t>
            </w: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953,565</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1,016,293</w:t>
            </w:r>
          </w:p>
        </w:tc>
        <w:tc>
          <w:tcPr>
            <w:tcW w:w="100" w:type="dxa"/>
            <w:vAlign w:val="bottom"/>
            <w:shd w:val="clear" w:color="auto" w:fill="CFF0FC"/>
          </w:tcPr>
          <w:p>
            <w:pPr>
              <w:spacing w:after="0"/>
              <w:rPr>
                <w:sz w:val="19"/>
                <w:szCs w:val="19"/>
                <w:color w:val="auto"/>
              </w:rPr>
            </w:pPr>
          </w:p>
        </w:tc>
      </w:tr>
      <w:tr>
        <w:trPr>
          <w:trHeight w:val="229"/>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Brigit</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456,345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430,232</w:t>
            </w:r>
          </w:p>
        </w:tc>
        <w:tc>
          <w:tcPr>
            <w:tcW w:w="100" w:type="dxa"/>
            <w:vAlign w:val="bottom"/>
          </w:tcPr>
          <w:p>
            <w:pPr>
              <w:spacing w:after="0"/>
              <w:rPr>
                <w:sz w:val="19"/>
                <w:szCs w:val="19"/>
                <w:color w:val="auto"/>
              </w:rPr>
            </w:pPr>
          </w:p>
        </w:tc>
      </w:tr>
      <w:tr>
        <w:trPr>
          <w:trHeight w:val="230"/>
        </w:trPr>
        <w:tc>
          <w:tcPr>
            <w:tcW w:w="774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Mexico</w:t>
            </w:r>
          </w:p>
        </w:tc>
        <w:tc>
          <w:tcPr>
            <w:tcW w:w="14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61,624</w:t>
            </w:r>
          </w:p>
        </w:tc>
        <w:tc>
          <w:tcPr>
            <w:tcW w:w="100" w:type="dxa"/>
            <w:vAlign w:val="bottom"/>
            <w:tcBorders>
              <w:bottom w:val="single" w:sz="8" w:color="auto"/>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62,602</w:t>
            </w:r>
          </w:p>
        </w:tc>
        <w:tc>
          <w:tcPr>
            <w:tcW w:w="100" w:type="dxa"/>
            <w:vAlign w:val="bottom"/>
            <w:tcBorders>
              <w:bottom w:val="single" w:sz="8" w:color="auto"/>
            </w:tcBorders>
            <w:shd w:val="clear" w:color="auto" w:fill="CFF0FC"/>
          </w:tcPr>
          <w:p>
            <w:pPr>
              <w:spacing w:after="0"/>
              <w:rPr>
                <w:sz w:val="19"/>
                <w:szCs w:val="19"/>
                <w:color w:val="auto"/>
              </w:rPr>
            </w:pPr>
          </w:p>
        </w:tc>
      </w:tr>
      <w:tr>
        <w:trPr>
          <w:trHeight w:val="223"/>
        </w:trPr>
        <w:tc>
          <w:tcPr>
            <w:tcW w:w="77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operating segments</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2,595,903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2,789,898</w:t>
            </w:r>
          </w:p>
        </w:tc>
        <w:tc>
          <w:tcPr>
            <w:tcW w:w="100" w:type="dxa"/>
            <w:vAlign w:val="bottom"/>
          </w:tcPr>
          <w:p>
            <w:pPr>
              <w:spacing w:after="0"/>
              <w:rPr>
                <w:sz w:val="19"/>
                <w:szCs w:val="19"/>
                <w:color w:val="auto"/>
              </w:rPr>
            </w:pPr>
          </w:p>
        </w:tc>
      </w:tr>
      <w:tr>
        <w:trPr>
          <w:trHeight w:val="230"/>
        </w:trPr>
        <w:tc>
          <w:tcPr>
            <w:tcW w:w="774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Corporate</w:t>
            </w:r>
          </w:p>
        </w:tc>
        <w:tc>
          <w:tcPr>
            <w:tcW w:w="14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456,147</w:t>
            </w:r>
          </w:p>
        </w:tc>
        <w:tc>
          <w:tcPr>
            <w:tcW w:w="100" w:type="dxa"/>
            <w:vAlign w:val="bottom"/>
            <w:tcBorders>
              <w:bottom w:val="single" w:sz="8" w:color="auto"/>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486,183</w:t>
            </w:r>
          </w:p>
        </w:tc>
        <w:tc>
          <w:tcPr>
            <w:tcW w:w="100" w:type="dxa"/>
            <w:vAlign w:val="bottom"/>
            <w:tcBorders>
              <w:bottom w:val="single" w:sz="8" w:color="auto"/>
            </w:tcBorders>
            <w:shd w:val="clear" w:color="auto" w:fill="CFF0FC"/>
          </w:tcPr>
          <w:p>
            <w:pPr>
              <w:spacing w:after="0"/>
              <w:rPr>
                <w:sz w:val="19"/>
                <w:szCs w:val="19"/>
                <w:color w:val="auto"/>
              </w:rPr>
            </w:pPr>
          </w:p>
        </w:tc>
      </w:tr>
      <w:tr>
        <w:trPr>
          <w:trHeight w:val="223"/>
        </w:trPr>
        <w:tc>
          <w:tcPr>
            <w:tcW w:w="77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assets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3,052,050</w:t>
            </w:r>
          </w:p>
        </w:tc>
        <w:tc>
          <w:tcPr>
            <w:tcW w:w="4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3,276,081</w:t>
            </w:r>
          </w:p>
        </w:tc>
        <w:tc>
          <w:tcPr>
            <w:tcW w:w="100" w:type="dxa"/>
            <w:vAlign w:val="bottom"/>
          </w:tcPr>
          <w:p>
            <w:pPr>
              <w:spacing w:after="0"/>
              <w:rPr>
                <w:sz w:val="19"/>
                <w:szCs w:val="19"/>
                <w:color w:val="auto"/>
              </w:rPr>
            </w:pPr>
          </w:p>
        </w:tc>
      </w:tr>
      <w:tr>
        <w:trPr>
          <w:trHeight w:val="20"/>
        </w:trPr>
        <w:tc>
          <w:tcPr>
            <w:tcW w:w="77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-2313940</wp:posOffset>
            </wp:positionV>
            <wp:extent cx="6858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-2296795</wp:posOffset>
            </wp:positionV>
            <wp:extent cx="6858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-2313940</wp:posOffset>
            </wp:positionV>
            <wp:extent cx="6858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-2296795</wp:posOffset>
            </wp:positionV>
            <wp:extent cx="6858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-1414145</wp:posOffset>
            </wp:positionV>
            <wp:extent cx="11112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-1396365</wp:posOffset>
            </wp:positionV>
            <wp:extent cx="11112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-479425</wp:posOffset>
            </wp:positionV>
            <wp:extent cx="11112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-179070</wp:posOffset>
            </wp:positionV>
            <wp:extent cx="11112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Common Stock and Stock-Based Compensation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Repurchase Program</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early December 2021, our Board of Directors authorized a stock repurchase program for up to $500 million (the “December 2021 Program”), which superseded our previous stock repurchase program. Under the December 2021 Program, we may purchase shares of our common stock from time to time in the open market or privately negotiated transactions. We are not obligated to acquire any shares under the program, and the program may be suspended or discontinued at any time. There were no repurchases under the December 2021 Program during the nine months ended September 30, 2026 and 2025. Approximately $235.0 million remains available for repurchases under the current authorization at September 30, 2026.</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recognized $6.2 million and $5.3 million in compensation expense related to stock awards issued under the Upbound Group, Inc. 2026 Long-Term Incentive Plan (the "2026 Plan"), Amended 2021 Long-Term Incentive Plan (the “2021 Plan”) and 2016 Long-Term Incentive Plan (the “2016 Plan”) during the three months ended September 30, 2026 and 2025, respectively, and $18.4 million and $17.9 million during the nine months ended September 30, 2026 and 2025, respectively. During the nine months ended September 30, 2026, we granted 2,347,844 market-based performance units and 1,123,894 time-vesting units under the 2021 and 2026 Plans. Performance-based restricted stock units are valued using a Monte Carlo simulation. Time-vesting restricted stock units are valued based on our closing stock price on the trading day immediately preceding the date of the grant, or as of the date of modification in the event an award is modified. The weighted-average grant date fair value of the market-based performance and time-vesting restricted stock units granted during the nine months ended September 30, 2026 was $13.07 and $20.85, respectively.</w:t>
      </w:r>
    </w:p>
    <w:p>
      <w:pPr>
        <w:spacing w:after="0" w:line="8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described in Note 2, in connection with the acquisition of Brigit on January 31, 2025, we issued to the former owners of Brigit approximately 2.7 million common shares valued at $29.75 per share, as of the Closing Date. Of this total, 1,313,331 common shares, valued at approximately $39.1 million, issued under restricted stock agreements and subject to vesting conditions, will be recognized as stock compensation expense over the vesting term in accordance with ASC Topic 718, “Stock-based Compensation”. We recognized $5.1 million in stock compensation expense related to these restricted stock agreements during the three months ended September 30, 2025 and $16.9 million and $15.6 million during the nine months ended September 30, 2026 and 2025, respectively, recorded to other gains and charges in our unaudited Condensed Consolidated Statements of Operations.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3" w:name="page24"/>
    <w:bookmarkEnd w:id="23"/>
    <w:p>
      <w:pPr>
        <w:jc w:val="center"/>
        <w:ind w:left="340" w:right="2100"/>
        <w:spacing w:after="0" w:line="278" w:lineRule="auto"/>
        <w:rPr>
          <w:sz w:val="20"/>
          <w:szCs w:val="20"/>
          <w:color w:val="auto"/>
        </w:rPr>
      </w:pPr>
      <w:r>
        <w:rPr>
          <w:rFonts w:ascii="Times New Roman" w:cs="Times New Roman" w:eastAsia="Times New Roman" w:hAnsi="Times New Roman"/>
          <w:sz w:val="18"/>
          <w:szCs w:val="18"/>
          <w:b w:val="1"/>
          <w:bCs w:val="1"/>
          <w:color w:val="auto"/>
        </w:rPr>
        <w:t>UPBOUND GROUP, INC. AND SUBSIDIARIES NOTES TO CONDENSED CONSOLIDATED FINANCIAL STATEMENTS - (Continued) (Unaudited)</w:t>
      </w:r>
    </w:p>
    <w:p>
      <w:pPr>
        <w:spacing w:after="0" w:line="200" w:lineRule="exact"/>
        <w:rPr>
          <w:sz w:val="20"/>
          <w:szCs w:val="20"/>
          <w:color w:val="auto"/>
        </w:rPr>
      </w:pPr>
    </w:p>
    <w:p>
      <w:pPr>
        <w:spacing w:after="0" w:line="29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September 1, 2026, we granted certain market-based performance units, which vest based on the Company's stock price reaching specified stock price hurdles during the period from September 1, 2026 through the fourth anniversary of the date of grant, September 1, 2030 (“Performance Period”). A stock price hurdle will be considered attained on the first day that the Company’s average closing stock price over any twenty consecutive trading days during the Performance Period equals or exceeds the applicable stock price hurdle.</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April 3, 2024, we entered into a letter agreement with the Company’s former Chief Executive Officer as disclosed in our Current Report on Form 8-K dated as of April 5, 2024. The terms of the letter agreement included special provisions for his outstanding restricted stock awards vesting at various times through February 2027, which resulted in the acceleration of stock compensation expense for those awards in accordance with ASC Topic 718, “Stock-based Compensation”. Accelerated stock compensation expense recognized for the nine months ended September 30, 2025 due to this letter agreement was approximately $1.6 million, and was recorded to other gains and charges in our unaudited Condensed Consolidated Statements of Operations.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Contingencies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Given the nature of our businesses and the heavily regulated industries in which we operate, we, along with our subsidiaries, are party to various legal proceedings and governmental inquiries and investigations. Certain legal proceedings and governmental inquiries and investigations involving us or our subsidiaries are described below. In addition to the matters described below, we are also party to other legal proceedings and governmental inquiries and investigations involving us or our subsidiaries, including arbitrations, litigation, putative class actions and other matters alleging various types of claims, including those based on consumer regulatory, contract, labor and employment and other alleged claims, that we believe, based on our current knowledge, will not have a material adverse effect on our business or our consolidated results of operations, financial condition or liquidity. However, in light of the uncertainties involved in such matters, including the fact that some pending legal proceedings are at preliminary stages or seek an indeterminate amount of damages, penalties, fines or other relief, it is possible that the outcome of one or more legal proceedings could have a material adverse impact on our results of operations, financial condition or liquidity.</w:t>
      </w:r>
    </w:p>
    <w:p>
      <w:pPr>
        <w:spacing w:after="0" w:line="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regularly monitor developments related to our legal proceedings and governmental inquiries and investigations, determine whether a reserve is appropriate if the loss is both probable and reasonably estimable, and review the adequacy of our reserves for such matters on a quarterly basis. Accordingly, we do not have reserves for all matters with respect to which we may ultimately incur liability, and no assurance can be given that our reserves, when recorded, will be adequate to cover the full amount of any loss we may ultimately incur. In addition, certain of these matters involve demands for monetary relief and changes to our business practices that could materially and adversely impact our business, financial condition and results of operations were we to agree to them as part of a settlement or be subject to them following an adverse result in litigation.</w:t>
      </w:r>
    </w:p>
    <w:p>
      <w:pPr>
        <w:spacing w:after="0" w:line="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At September 30, 2026 and December 31, 2025, we had estimated legal accruals of $57.9 million and $72.0 million, respectively, included in accrued liabilities in our Condensed Consolidated Balance Sheet for pending legal and regulatory matters for which we believe losses are probable and the amount of the loss can be reasonably estimated. In addition to our estimated legal accruals, as of September 30, 2026 we have incurred legal and other related expenses, and expect to incur substantial additional legal and related expenses, associated with the litigation and investigations discussed below and other pending legal matters.</w:t>
      </w:r>
    </w:p>
    <w:p>
      <w:pPr>
        <w:spacing w:after="0" w:line="7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Multistate Attorneys General Investigation. </w:t>
      </w:r>
      <w:r>
        <w:rPr>
          <w:rFonts w:ascii="Times New Roman" w:cs="Times New Roman" w:eastAsia="Times New Roman" w:hAnsi="Times New Roman"/>
          <w:sz w:val="18"/>
          <w:szCs w:val="18"/>
          <w:color w:val="auto"/>
        </w:rPr>
        <w:t>In November 2021, Acima received notice of a multistate investigation by a coalition of state attorneys general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"Multistate") into the business acts and practices of Acima. Based on our discussions with the Multistate, it is our understanding that the investigation involves forty-three states.</w:t>
      </w:r>
    </w:p>
    <w:p>
      <w:pPr>
        <w:spacing w:after="0" w:line="6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reached a non-binding agreement in principle with the Multistate regarding the primary monetary and injunctive terms of a potential settlement, although any final binding settlement remains subject to negotiation and execution of definitive settlement agreements with each of the states in the Multistate. As of the date of this Quarterly Report on Form 10-Q, we are preparing settlement agreements for execution with each member of the Multistate. We are unable to provide assurance that we will be able to reach final binding settlement agreements. Any resolution of these matters would include monetary relief, reporting and other provisions, including a release of claims by the Attorneys General offices and injunctive relief regarding various aspects of Acima’s business. If, however, we are unable to reach final binding settlement agreements, some or all of such states may commence legal proceedings against Acima. We cannot provide any assurance that any adverse result in litigation will not require a monetary payment and/or changes to Acima’s business practices or operations that could materially and adversely affect our business, financial condition, results of operations or reputation.</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4" w:name="page25"/>
    <w:bookmarkEnd w:id="24"/>
    <w:p>
      <w:pPr>
        <w:jc w:val="center"/>
        <w:ind w:left="340" w:right="2100"/>
        <w:spacing w:after="0" w:line="278" w:lineRule="auto"/>
        <w:rPr>
          <w:sz w:val="20"/>
          <w:szCs w:val="20"/>
          <w:color w:val="auto"/>
        </w:rPr>
      </w:pPr>
      <w:r>
        <w:rPr>
          <w:rFonts w:ascii="Times New Roman" w:cs="Times New Roman" w:eastAsia="Times New Roman" w:hAnsi="Times New Roman"/>
          <w:sz w:val="18"/>
          <w:szCs w:val="18"/>
          <w:b w:val="1"/>
          <w:bCs w:val="1"/>
          <w:color w:val="auto"/>
        </w:rPr>
        <w:t>UPBOUND GROUP, INC. AND SUBSIDIARIES NOTES TO CONDENSED CONSOLIDATED FINANCIAL STATEMENTS - (Continued) (Unaudited)</w:t>
      </w:r>
    </w:p>
    <w:p>
      <w:pPr>
        <w:spacing w:after="0" w:line="200" w:lineRule="exact"/>
        <w:rPr>
          <w:sz w:val="20"/>
          <w:szCs w:val="20"/>
          <w:color w:val="auto"/>
        </w:rPr>
      </w:pPr>
    </w:p>
    <w:p>
      <w:pPr>
        <w:spacing w:after="0" w:line="29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New York Attorney General Litigation</w:t>
      </w:r>
      <w:r>
        <w:rPr>
          <w:rFonts w:ascii="Times New Roman" w:cs="Times New Roman" w:eastAsia="Times New Roman" w:hAnsi="Times New Roman"/>
          <w:sz w:val="18"/>
          <w:szCs w:val="18"/>
          <w:color w:val="auto"/>
        </w:rPr>
        <w:t>. The New York Attorney General (the “NYAG”) issued a subpoena to Acima in January 2020, prior to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acquisition of Acima, seeking information with respect to various business practices in connection with Acima’s lease-to-own transactions. On August 14, 2024, the NYAG filed a lawsuit against Acima alleging violations of various consumer financial protection laws and regulations and seeking injunctive relief, unspecified monetary relief and civil penalties and other relief. Acima filed a motion to dismiss the NYAG’s lawsuit. On August 27, 2026, the trial court denied Acima’s motion to dismiss, except with respect to the allegations that Acima misrepresented that its LTO transactions would help improve consumers’ credit scores. All other claims, including the NYAG’s attempt to recharacterize Acima’s LTO transactions as disguised loans, survived the motion. As of the date of filing this Quarterly Report on Form 10-Q, Acima is actively engaged in settlement discussions with the NYAG. We cannot provide any assurance that Acima will be able to reach a settlement with the NYAG. We cannot provide any assurance that Acima will be successful in defending against the NYAG’s litigation or that an adverse result in litigation will not require a monetary payment and/or changes to Acima’s business practices or operations that could materially and adversely affect our business, financial condition, results of operations or reputation.</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Earnings Per Common Share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Summarized basic and diluted earnings per common share were calculated as follows: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60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 except per share data)</w:t>
            </w: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500" w:type="dxa"/>
            <w:vAlign w:val="bottom"/>
            <w:tcBorders>
              <w:bottom w:val="single" w:sz="8" w:color="auto"/>
            </w:tcBorders>
            <w:gridSpan w:val="4"/>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520" w:type="dxa"/>
            <w:vAlign w:val="bottom"/>
            <w:tcBorders>
              <w:bottom w:val="single" w:sz="8" w:color="auto"/>
            </w:tcBorders>
            <w:gridSpan w:val="4"/>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42"/>
        </w:trPr>
        <w:tc>
          <w:tcPr>
            <w:tcW w:w="56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433"/>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4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45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453"/>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4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7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10"/>
        </w:trPr>
        <w:tc>
          <w:tcPr>
            <w:tcW w:w="5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Numerator:</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earnings</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34,271</w:t>
            </w: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13,221</w:t>
            </w: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91,644</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53,499</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60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Denominator:</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Weighted-average shares outstanding</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58,280</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56,703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58,029</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56,393</w:t>
            </w:r>
          </w:p>
        </w:tc>
        <w:tc>
          <w:tcPr>
            <w:tcW w:w="0" w:type="dxa"/>
            <w:vAlign w:val="bottom"/>
          </w:tcPr>
          <w:p>
            <w:pPr>
              <w:spacing w:after="0"/>
              <w:rPr>
                <w:sz w:val="1"/>
                <w:szCs w:val="1"/>
                <w:color w:val="auto"/>
              </w:rPr>
            </w:pPr>
          </w:p>
        </w:tc>
      </w:tr>
      <w:tr>
        <w:trPr>
          <w:trHeight w:val="216"/>
        </w:trPr>
        <w:tc>
          <w:tcPr>
            <w:tcW w:w="5600" w:type="dxa"/>
            <w:vAlign w:val="bottom"/>
            <w:tcBorders>
              <w:bottom w:val="single" w:sz="8" w:color="CFF0FC"/>
            </w:tcBorders>
            <w:shd w:val="clear" w:color="auto" w:fill="CFF0FC"/>
          </w:tcPr>
          <w:p>
            <w:pPr>
              <w:ind w:left="220"/>
              <w:spacing w:after="0" w:line="216" w:lineRule="exact"/>
              <w:rPr>
                <w:sz w:val="20"/>
                <w:szCs w:val="20"/>
                <w:color w:val="auto"/>
              </w:rPr>
            </w:pPr>
            <w:r>
              <w:rPr>
                <w:rFonts w:ascii="Times New Roman" w:cs="Times New Roman" w:eastAsia="Times New Roman" w:hAnsi="Times New Roman"/>
                <w:sz w:val="18"/>
                <w:szCs w:val="18"/>
                <w:color w:val="auto"/>
              </w:rPr>
              <w:t>Effect of dilutive stock awards</w:t>
            </w:r>
            <w:r>
              <w:rPr>
                <w:rFonts w:ascii="Times New Roman" w:cs="Times New Roman" w:eastAsia="Times New Roman" w:hAnsi="Times New Roman"/>
                <w:sz w:val="24"/>
                <w:szCs w:val="24"/>
                <w:color w:val="auto"/>
                <w:vertAlign w:val="superscript"/>
              </w:rPr>
              <w:t>(1)</w:t>
            </w:r>
          </w:p>
        </w:tc>
        <w:tc>
          <w:tcPr>
            <w:tcW w:w="2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487</w:t>
            </w:r>
          </w:p>
        </w:tc>
        <w:tc>
          <w:tcPr>
            <w:tcW w:w="1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2,187</w:t>
            </w:r>
          </w:p>
        </w:tc>
        <w:tc>
          <w:tcPr>
            <w:tcW w:w="1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744</w:t>
            </w:r>
          </w:p>
        </w:tc>
        <w:tc>
          <w:tcPr>
            <w:tcW w:w="1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2,244</w:t>
            </w:r>
          </w:p>
        </w:tc>
        <w:tc>
          <w:tcPr>
            <w:tcW w:w="0" w:type="dxa"/>
            <w:vAlign w:val="bottom"/>
          </w:tcPr>
          <w:p>
            <w:pPr>
              <w:spacing w:after="0"/>
              <w:rPr>
                <w:sz w:val="1"/>
                <w:szCs w:val="1"/>
                <w:color w:val="auto"/>
              </w:rPr>
            </w:pPr>
          </w:p>
        </w:tc>
      </w:tr>
      <w:tr>
        <w:trPr>
          <w:trHeight w:val="209"/>
        </w:trPr>
        <w:tc>
          <w:tcPr>
            <w:tcW w:w="5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Weighted-average dilutive shares</w:t>
            </w: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58,767</w:t>
            </w:r>
          </w:p>
        </w:tc>
        <w:tc>
          <w:tcPr>
            <w:tcW w:w="1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58,890</w:t>
            </w:r>
          </w:p>
        </w:tc>
        <w:tc>
          <w:tcPr>
            <w:tcW w:w="1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58,773</w:t>
            </w:r>
          </w:p>
        </w:tc>
        <w:tc>
          <w:tcPr>
            <w:tcW w:w="1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58,637</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6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Basic earnings per common share</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0.59</w:t>
            </w: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0.23</w:t>
            </w: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1.58</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0.95</w:t>
            </w:r>
          </w:p>
        </w:tc>
        <w:tc>
          <w:tcPr>
            <w:tcW w:w="0" w:type="dxa"/>
            <w:vAlign w:val="bottom"/>
          </w:tcPr>
          <w:p>
            <w:pPr>
              <w:spacing w:after="0"/>
              <w:rPr>
                <w:sz w:val="1"/>
                <w:szCs w:val="1"/>
                <w:color w:val="auto"/>
              </w:rPr>
            </w:pPr>
          </w:p>
        </w:tc>
      </w:tr>
      <w:tr>
        <w:trPr>
          <w:trHeight w:val="216"/>
        </w:trPr>
        <w:tc>
          <w:tcPr>
            <w:tcW w:w="560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Diluted earnings per common share</w:t>
            </w:r>
            <w:r>
              <w:rPr>
                <w:rFonts w:ascii="Times New Roman" w:cs="Times New Roman" w:eastAsia="Times New Roman" w:hAnsi="Times New Roman"/>
                <w:sz w:val="24"/>
                <w:szCs w:val="24"/>
                <w:color w:val="auto"/>
                <w:vertAlign w:val="superscript"/>
              </w:rPr>
              <w:t>(1)</w:t>
            </w:r>
          </w:p>
        </w:tc>
        <w:tc>
          <w:tcPr>
            <w:tcW w:w="3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0.58</w:t>
            </w:r>
          </w:p>
        </w:tc>
        <w:tc>
          <w:tcPr>
            <w:tcW w:w="4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0.22</w:t>
            </w:r>
          </w:p>
        </w:tc>
        <w:tc>
          <w:tcPr>
            <w:tcW w:w="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1.56</w:t>
            </w:r>
          </w:p>
        </w:tc>
        <w:tc>
          <w:tcPr>
            <w:tcW w:w="3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0.91</w:t>
            </w:r>
          </w:p>
        </w:tc>
        <w:tc>
          <w:tcPr>
            <w:tcW w:w="0" w:type="dxa"/>
            <w:vAlign w:val="bottom"/>
          </w:tcPr>
          <w:p>
            <w:pPr>
              <w:spacing w:after="0"/>
              <w:rPr>
                <w:sz w:val="1"/>
                <w:szCs w:val="1"/>
                <w:color w:val="auto"/>
              </w:rPr>
            </w:pPr>
          </w:p>
        </w:tc>
      </w:tr>
      <w:tr>
        <w:trPr>
          <w:trHeight w:val="216"/>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Anti-dilutive securities excluded from diluted earnings per common share:</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Anti-dilutive restricted share units</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890</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102</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852</w:t>
            </w: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16"/>
        </w:trPr>
        <w:tc>
          <w:tcPr>
            <w:tcW w:w="5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Anti-dilutive performance share units</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266</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215</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560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Anti-dilutive stock options</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335</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257</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341</w:t>
            </w: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4488180</wp:posOffset>
            </wp:positionH>
            <wp:positionV relativeFrom="paragraph">
              <wp:posOffset>-1130935</wp:posOffset>
            </wp:positionV>
            <wp:extent cx="8572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-1130935</wp:posOffset>
            </wp:positionV>
            <wp:extent cx="8572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-1130935</wp:posOffset>
            </wp:positionV>
            <wp:extent cx="8572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10" w:lineRule="exact"/>
        <w:rPr>
          <w:sz w:val="20"/>
          <w:szCs w:val="20"/>
          <w:color w:val="auto"/>
        </w:rPr>
      </w:pPr>
    </w:p>
    <w:p>
      <w:pPr>
        <w:ind w:left="180" w:hanging="172"/>
        <w:spacing w:after="0" w:line="208" w:lineRule="auto"/>
        <w:tabs>
          <w:tab w:leader="none" w:pos="180" w:val="left"/>
        </w:tabs>
        <w:numPr>
          <w:ilvl w:val="0"/>
          <w:numId w:val="15"/>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Weighted-average dilutive shares outstanding for the three and nine months ended September 30, 2025 includes approximately 1.2 million and 1.3 million, respectively, common shares issued in connection with the acquisition of Brigit and subject to vesting conditions under restricted stock agreements.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7"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Quarterly Report on Form 10-Q includes “forward-looking” statements within the meaning of the Private Securities Litigation Reform Act of 1995, Section 27A of the Securities Act of 1933, as amended (the “Securities Act”), and Section 21E of the Securities Exchange Act of 1934, as amended (the “Exchange Act”). Forward-looking statements can be identified by the fact that they do not relate strictly to historical or current facts. They often include words such as “believes,” “expects,” “anticipates,” “estimates,” “intends,” “plans,” “seeks” or words of similar meaning, or future or conditional verbs, such as “will,” “should,” “could,” “may,” “aims,” “intends,” or “projects.” These forward-looking statements include, without limitation, those relating to the impact of ongoing challenging macroeconomic conditions on our business, operations, financial performance and prospects, the future business prospects and financial performance of our Company as a whole and our segments, our growth strategies, our expectations, plans and strategy relating to our capital structure and capital allocation, including any share repurchases under our share repurchase program, the potential impact of the matters discussed in Note 12 - “Contingencies” in this Quarterly Report on Form 10-Q, and other statements that are not historical facts. Unless expressly indicated or the context requires otherwise, the terms “Upbound Group, Inc.,” “Company,” “we,” “us,” and “our” in this document refer to Upbound Group, Inc. and, where appropriate, its subsidiaries.</w:t>
      </w:r>
    </w:p>
    <w:p>
      <w:pPr>
        <w:spacing w:after="0" w:line="8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 forward-looking statement is neither a prediction nor a guarantee of future events or circumstances, and those future events or circumstances may not occur. You should not place undue reliance on forward-looking statements, which speak only as of the date of this Quarterly Report on Form 10-Q. These forward-looking statements are based on currently available operating, financial and competitive information and are subject to various risks and uncertainties. Our actual future results and trends may differ materially and adversely depending on a variety of factors, including, but not limited to, the risks and uncertainties discussed under “Risk Factors” and “Management’s Discussion and Analysis of Financial Condition and Results of Operations” in our Annual Report on Form 10-K for the year ended December 31, 2025 and “Management’s Discussion and Analysis of Financial Condition and Results of Operations” below. Given these risks and uncertainties, you should not rely on forward-looking statements as a prediction of actual results. Any or all of the forward-looking statements contained in this Quarterly Report on Form 10-Q and any other public statement made by us, including by our management, may turn out to be incorrect. We are including this cautionary note to make applicable and take advantage of the safe harbor provisions of the Private Securities Litigation Reform Act of 1995 for forward-looking statements. Except as required by law, we expressly disclaim any obligation to update or revise any forward-looking statements, whether as a result of new information, future events, changes in assumptions or otherwise. Factors that could cause or contribute to these differences include, but are not limited to:</w:t>
      </w:r>
    </w:p>
    <w:p>
      <w:pPr>
        <w:spacing w:after="0" w:line="28" w:lineRule="exact"/>
        <w:rPr>
          <w:sz w:val="20"/>
          <w:szCs w:val="20"/>
          <w:color w:val="auto"/>
        </w:rPr>
      </w:pPr>
    </w:p>
    <w:p>
      <w:pPr>
        <w:ind w:left="760" w:hanging="183"/>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encountered in managing the financial and operational performance of our multiple business segments;</w:t>
      </w:r>
    </w:p>
    <w:p>
      <w:pPr>
        <w:spacing w:after="0" w:line="63" w:lineRule="exact"/>
        <w:rPr>
          <w:rFonts w:ascii="Times New Roman" w:cs="Times New Roman" w:eastAsia="Times New Roman" w:hAnsi="Times New Roman"/>
          <w:sz w:val="18"/>
          <w:szCs w:val="18"/>
          <w:color w:val="auto"/>
        </w:rPr>
      </w:pPr>
    </w:p>
    <w:p>
      <w:pPr>
        <w:ind w:left="760" w:hanging="183"/>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pricing, value proposition and other changes to our consumer offerings and strategies being deployed in our businesses;</w:t>
      </w:r>
    </w:p>
    <w:p>
      <w:pPr>
        <w:spacing w:after="0" w:line="63" w:lineRule="exact"/>
        <w:rPr>
          <w:rFonts w:ascii="Times New Roman" w:cs="Times New Roman" w:eastAsia="Times New Roman" w:hAnsi="Times New Roman"/>
          <w:sz w:val="18"/>
          <w:szCs w:val="18"/>
          <w:color w:val="auto"/>
        </w:rPr>
      </w:pPr>
    </w:p>
    <w:p>
      <w:pPr>
        <w:ind w:left="760" w:hanging="183"/>
        <w:spacing w:after="0" w:line="281" w:lineRule="auto"/>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to effectively execute our strategic initiatives, including mitigating risks associated with any potential additional mergers and acquisitions, or lease-to-own refranchising opportunities;</w:t>
      </w:r>
    </w:p>
    <w:p>
      <w:pPr>
        <w:spacing w:after="0" w:line="1" w:lineRule="exact"/>
        <w:rPr>
          <w:rFonts w:ascii="Times New Roman" w:cs="Times New Roman" w:eastAsia="Times New Roman" w:hAnsi="Times New Roman"/>
          <w:sz w:val="18"/>
          <w:szCs w:val="18"/>
          <w:color w:val="auto"/>
        </w:rPr>
      </w:pPr>
    </w:p>
    <w:p>
      <w:pPr>
        <w:ind w:left="760" w:hanging="183"/>
        <w:spacing w:after="0" w:line="281" w:lineRule="auto"/>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provide consumers with additional products and services beyond lease-to-own and products and services currently offered by our Brigit segment, including through third-party partnerships;</w:t>
      </w:r>
    </w:p>
    <w:p>
      <w:pPr>
        <w:spacing w:after="0" w:line="1" w:lineRule="exact"/>
        <w:rPr>
          <w:rFonts w:ascii="Times New Roman" w:cs="Times New Roman" w:eastAsia="Times New Roman" w:hAnsi="Times New Roman"/>
          <w:sz w:val="18"/>
          <w:szCs w:val="18"/>
          <w:color w:val="auto"/>
        </w:rPr>
      </w:pPr>
    </w:p>
    <w:p>
      <w:pPr>
        <w:ind w:left="760" w:hanging="183"/>
        <w:spacing w:after="0" w:line="281" w:lineRule="auto"/>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costs, difficulties or disruptions related to the integration of Brigit operations into our other operations will be greater than expected;</w:t>
      </w:r>
    </w:p>
    <w:p>
      <w:pPr>
        <w:spacing w:after="0" w:line="1" w:lineRule="exact"/>
        <w:rPr>
          <w:rFonts w:ascii="Times New Roman" w:cs="Times New Roman" w:eastAsia="Times New Roman" w:hAnsi="Times New Roman"/>
          <w:sz w:val="18"/>
          <w:szCs w:val="18"/>
          <w:color w:val="auto"/>
        </w:rPr>
      </w:pPr>
    </w:p>
    <w:p>
      <w:pPr>
        <w:ind w:left="760" w:hanging="183"/>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the anticipated benefits from the Brigit acquisition may not be fully realized or may take longer to realize than expected;</w:t>
      </w:r>
    </w:p>
    <w:p>
      <w:pPr>
        <w:spacing w:after="0" w:line="63" w:lineRule="exact"/>
        <w:rPr>
          <w:rFonts w:ascii="Times New Roman" w:cs="Times New Roman" w:eastAsia="Times New Roman" w:hAnsi="Times New Roman"/>
          <w:sz w:val="18"/>
          <w:szCs w:val="18"/>
          <w:color w:val="auto"/>
        </w:rPr>
      </w:pPr>
    </w:p>
    <w:p>
      <w:pPr>
        <w:jc w:val="both"/>
        <w:ind w:left="760" w:hanging="183"/>
        <w:spacing w:after="0" w:line="266" w:lineRule="auto"/>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general strength of the economy and other economic conditions affecting consumer preferences, spending and payment behaviors, including the availability of credit to our target consumers and to other consumers, impacts from continued or renewed inflation, central bank monetary policy initiatives to address inflation concerns, and a possible recession or slowdown in economic growth;</w:t>
      </w:r>
    </w:p>
    <w:p>
      <w:pPr>
        <w:spacing w:after="0" w:line="13" w:lineRule="exact"/>
        <w:rPr>
          <w:rFonts w:ascii="Times New Roman" w:cs="Times New Roman" w:eastAsia="Times New Roman" w:hAnsi="Times New Roman"/>
          <w:sz w:val="18"/>
          <w:szCs w:val="18"/>
          <w:color w:val="auto"/>
        </w:rPr>
      </w:pPr>
    </w:p>
    <w:p>
      <w:pPr>
        <w:ind w:left="760" w:right="20" w:hanging="183"/>
        <w:spacing w:after="0" w:line="282" w:lineRule="auto"/>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effectively manage our operating labor and non-labor operating expenses, including failure to effectively optimize our proprietary algorithms and customer decisioning tools to limit merchandise losses for our lease-to-own offerings;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236220</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6" w:name="page27"/>
    <w:bookmarkEnd w:id="26"/>
    <w:p>
      <w:pPr>
        <w:ind w:left="183" w:hanging="183"/>
        <w:spacing w:after="0"/>
        <w:tabs>
          <w:tab w:leader="none" w:pos="183"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the revenue associated with acquired lease-to-own customer accounts and enhance the performance of acquired stores;</w:t>
      </w:r>
    </w:p>
    <w:p>
      <w:pPr>
        <w:spacing w:after="0" w:line="63" w:lineRule="exact"/>
        <w:rPr>
          <w:rFonts w:ascii="Times New Roman" w:cs="Times New Roman" w:eastAsia="Times New Roman" w:hAnsi="Times New Roman"/>
          <w:sz w:val="18"/>
          <w:szCs w:val="18"/>
          <w:color w:val="auto"/>
        </w:rPr>
      </w:pPr>
    </w:p>
    <w:p>
      <w:pPr>
        <w:ind w:left="183" w:hanging="183"/>
        <w:spacing w:after="0"/>
        <w:tabs>
          <w:tab w:leader="none" w:pos="183"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factors affecting the disposable income available to our current and potential customers;</w:t>
      </w:r>
    </w:p>
    <w:p>
      <w:pPr>
        <w:spacing w:after="0" w:line="63" w:lineRule="exact"/>
        <w:rPr>
          <w:rFonts w:ascii="Times New Roman" w:cs="Times New Roman" w:eastAsia="Times New Roman" w:hAnsi="Times New Roman"/>
          <w:sz w:val="18"/>
          <w:szCs w:val="18"/>
          <w:color w:val="auto"/>
        </w:rPr>
      </w:pPr>
    </w:p>
    <w:p>
      <w:pPr>
        <w:ind w:left="183" w:hanging="183"/>
        <w:spacing w:after="0"/>
        <w:tabs>
          <w:tab w:leader="none" w:pos="183"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unemployment rate;</w:t>
      </w:r>
    </w:p>
    <w:p>
      <w:pPr>
        <w:spacing w:after="0" w:line="63" w:lineRule="exact"/>
        <w:rPr>
          <w:rFonts w:ascii="Times New Roman" w:cs="Times New Roman" w:eastAsia="Times New Roman" w:hAnsi="Times New Roman"/>
          <w:sz w:val="18"/>
          <w:szCs w:val="18"/>
          <w:color w:val="auto"/>
        </w:rPr>
      </w:pPr>
    </w:p>
    <w:p>
      <w:pPr>
        <w:ind w:left="183" w:hanging="183"/>
        <w:spacing w:after="0"/>
        <w:tabs>
          <w:tab w:leader="none" w:pos="183"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market conditions, including changes in interest rates and availability of funding sources for us;</w:t>
      </w:r>
    </w:p>
    <w:p>
      <w:pPr>
        <w:spacing w:after="0" w:line="63" w:lineRule="exact"/>
        <w:rPr>
          <w:rFonts w:ascii="Times New Roman" w:cs="Times New Roman" w:eastAsia="Times New Roman" w:hAnsi="Times New Roman"/>
          <w:sz w:val="18"/>
          <w:szCs w:val="18"/>
          <w:color w:val="auto"/>
        </w:rPr>
      </w:pPr>
    </w:p>
    <w:p>
      <w:pPr>
        <w:ind w:left="183" w:hanging="183"/>
        <w:spacing w:after="0"/>
        <w:tabs>
          <w:tab w:leader="none" w:pos="183"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credit ratings;</w:t>
      </w:r>
    </w:p>
    <w:p>
      <w:pPr>
        <w:spacing w:after="0" w:line="63" w:lineRule="exact"/>
        <w:rPr>
          <w:rFonts w:ascii="Times New Roman" w:cs="Times New Roman" w:eastAsia="Times New Roman" w:hAnsi="Times New Roman"/>
          <w:sz w:val="18"/>
          <w:szCs w:val="18"/>
          <w:color w:val="auto"/>
        </w:rPr>
      </w:pPr>
    </w:p>
    <w:p>
      <w:pPr>
        <w:ind w:left="183" w:hanging="183"/>
        <w:spacing w:after="0"/>
        <w:tabs>
          <w:tab w:leader="none" w:pos="183"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potential acquisition candidates, complete acquisitions and successfully integrate acquired companies;</w:t>
      </w:r>
    </w:p>
    <w:p>
      <w:pPr>
        <w:spacing w:after="0" w:line="63" w:lineRule="exact"/>
        <w:rPr>
          <w:rFonts w:ascii="Times New Roman" w:cs="Times New Roman" w:eastAsia="Times New Roman" w:hAnsi="Times New Roman"/>
          <w:sz w:val="18"/>
          <w:szCs w:val="18"/>
          <w:color w:val="auto"/>
        </w:rPr>
      </w:pPr>
    </w:p>
    <w:p>
      <w:pPr>
        <w:ind w:left="183" w:right="20" w:hanging="183"/>
        <w:spacing w:after="0" w:line="281" w:lineRule="auto"/>
        <w:tabs>
          <w:tab w:leader="none" w:pos="183"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caused by the operation of our information management systems or disruptions in the systems of our third-party retailers or other third parties with whom we do business;</w:t>
      </w:r>
    </w:p>
    <w:p>
      <w:pPr>
        <w:spacing w:after="0" w:line="1" w:lineRule="exact"/>
        <w:rPr>
          <w:rFonts w:ascii="Times New Roman" w:cs="Times New Roman" w:eastAsia="Times New Roman" w:hAnsi="Times New Roman"/>
          <w:sz w:val="18"/>
          <w:szCs w:val="18"/>
          <w:color w:val="auto"/>
        </w:rPr>
      </w:pPr>
    </w:p>
    <w:p>
      <w:pPr>
        <w:ind w:left="183" w:hanging="183"/>
        <w:spacing w:after="0" w:line="281" w:lineRule="auto"/>
        <w:tabs>
          <w:tab w:leader="none" w:pos="183"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our virtual lease-to-own business, including our ability to continue to develop and successfully implement the necessary technologies;</w:t>
      </w:r>
    </w:p>
    <w:p>
      <w:pPr>
        <w:spacing w:after="0" w:line="1" w:lineRule="exact"/>
        <w:rPr>
          <w:rFonts w:ascii="Times New Roman" w:cs="Times New Roman" w:eastAsia="Times New Roman" w:hAnsi="Times New Roman"/>
          <w:sz w:val="18"/>
          <w:szCs w:val="18"/>
          <w:color w:val="auto"/>
        </w:rPr>
      </w:pPr>
    </w:p>
    <w:p>
      <w:pPr>
        <w:ind w:left="183" w:right="20" w:hanging="183"/>
        <w:spacing w:after="0" w:line="281" w:lineRule="auto"/>
        <w:tabs>
          <w:tab w:leader="none" w:pos="183"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the benefits expected from our integrated virtual and staffed third-party retailer offering and to successfully grow this business segment;</w:t>
      </w:r>
    </w:p>
    <w:p>
      <w:pPr>
        <w:spacing w:after="0" w:line="1" w:lineRule="exact"/>
        <w:rPr>
          <w:rFonts w:ascii="Times New Roman" w:cs="Times New Roman" w:eastAsia="Times New Roman" w:hAnsi="Times New Roman"/>
          <w:sz w:val="18"/>
          <w:szCs w:val="18"/>
          <w:color w:val="auto"/>
        </w:rPr>
      </w:pPr>
    </w:p>
    <w:p>
      <w:pPr>
        <w:ind w:left="183" w:hanging="183"/>
        <w:spacing w:after="0" w:line="281" w:lineRule="auto"/>
        <w:tabs>
          <w:tab w:leader="none" w:pos="183"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exposure to potential operating margin degradation due to the higher cost of merchandise and higher merchandise losses in our Acima segment compared to our Rent-A-Center segment;</w:t>
      </w:r>
    </w:p>
    <w:p>
      <w:pPr>
        <w:spacing w:after="0" w:line="1" w:lineRule="exact"/>
        <w:rPr>
          <w:rFonts w:ascii="Times New Roman" w:cs="Times New Roman" w:eastAsia="Times New Roman" w:hAnsi="Times New Roman"/>
          <w:sz w:val="18"/>
          <w:szCs w:val="18"/>
          <w:color w:val="auto"/>
        </w:rPr>
      </w:pPr>
    </w:p>
    <w:p>
      <w:pPr>
        <w:jc w:val="both"/>
        <w:ind w:left="183" w:hanging="183"/>
        <w:spacing w:after="0" w:line="266" w:lineRule="auto"/>
        <w:tabs>
          <w:tab w:leader="none" w:pos="183"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risks associated with our Brigit segment and its consumer products and services, including managing losses, regulatory, licensing and other compliance risks, and risks associated with our Brigit segment’s reliance on regulated banks and on providers of third-party data and technology and other third-party service providers; and other new risks for our Company;</w:t>
      </w:r>
    </w:p>
    <w:p>
      <w:pPr>
        <w:spacing w:after="0" w:line="13" w:lineRule="exact"/>
        <w:rPr>
          <w:rFonts w:ascii="Times New Roman" w:cs="Times New Roman" w:eastAsia="Times New Roman" w:hAnsi="Times New Roman"/>
          <w:sz w:val="18"/>
          <w:szCs w:val="18"/>
          <w:color w:val="auto"/>
        </w:rPr>
      </w:pPr>
    </w:p>
    <w:p>
      <w:pPr>
        <w:jc w:val="both"/>
        <w:ind w:left="183" w:hanging="183"/>
        <w:spacing w:after="0" w:line="266" w:lineRule="auto"/>
        <w:tabs>
          <w:tab w:leader="none" w:pos="183"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 effectively adjust to changes in the composition of our offerings and product mix as a result of acquiring Brigit and continue to maintain the quality of existing offerings and (ii) successfully introduce other new product or service offerings on a timely and cost-effective basis;</w:t>
      </w:r>
    </w:p>
    <w:p>
      <w:pPr>
        <w:spacing w:after="0" w:line="13" w:lineRule="exact"/>
        <w:rPr>
          <w:rFonts w:ascii="Times New Roman" w:cs="Times New Roman" w:eastAsia="Times New Roman" w:hAnsi="Times New Roman"/>
          <w:sz w:val="18"/>
          <w:szCs w:val="18"/>
          <w:color w:val="auto"/>
        </w:rPr>
      </w:pPr>
    </w:p>
    <w:p>
      <w:pPr>
        <w:ind w:left="183" w:hanging="183"/>
        <w:spacing w:after="0" w:line="281" w:lineRule="auto"/>
        <w:tabs>
          <w:tab w:leader="none" w:pos="183"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future cash requirements as a result of the Brigit acquisition, whether caused by unanticipated increases in capital expenditures or working capital needs, unanticipated liabilities or otherwise;</w:t>
      </w:r>
    </w:p>
    <w:p>
      <w:pPr>
        <w:spacing w:after="0" w:line="1" w:lineRule="exact"/>
        <w:rPr>
          <w:rFonts w:ascii="Times New Roman" w:cs="Times New Roman" w:eastAsia="Times New Roman" w:hAnsi="Times New Roman"/>
          <w:sz w:val="18"/>
          <w:szCs w:val="18"/>
          <w:color w:val="auto"/>
        </w:rPr>
      </w:pPr>
    </w:p>
    <w:p>
      <w:pPr>
        <w:jc w:val="both"/>
        <w:ind w:left="183" w:hanging="183"/>
        <w:spacing w:after="0" w:line="266" w:lineRule="auto"/>
        <w:tabs>
          <w:tab w:leader="none" w:pos="183"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or administrative proceedings to which we are or may be a party from time to time and changes in estimates relating to litigation reserves, including in each case in connection with the regulatory and litigation matters described in Note 12 to our condensed consolidated financial statements included in this Quarterly Report on Form 10-Q;</w:t>
      </w:r>
    </w:p>
    <w:p>
      <w:pPr>
        <w:spacing w:after="0" w:line="13" w:lineRule="exact"/>
        <w:rPr>
          <w:rFonts w:ascii="Times New Roman" w:cs="Times New Roman" w:eastAsia="Times New Roman" w:hAnsi="Times New Roman"/>
          <w:sz w:val="18"/>
          <w:szCs w:val="18"/>
          <w:color w:val="auto"/>
        </w:rPr>
      </w:pPr>
    </w:p>
    <w:p>
      <w:pPr>
        <w:jc w:val="both"/>
        <w:ind w:left="183" w:hanging="183"/>
        <w:spacing w:after="0" w:line="256" w:lineRule="auto"/>
        <w:tabs>
          <w:tab w:leader="none" w:pos="183"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compliance with applicable statutes and regulations governing our businesses, impacts from the enforcement of existing laws and regulations and the enactment of new laws and regulations adversely affecting our business and any legislative or other regulatory enforcement efforts or private party litigation or arbitration that seeks to re-characterize store-based or virtual lease-to-own transactions as credit sales and to apply consumer credit laws and regulations to our lease-to-own business or to apply consumer credit laws to our Brigit segment’s non-credit consumer offerings, in each case including in connection with, but not limited to, the regulatory matters described in Note 12 to our condensed consolidated financial statements included in this Quarterly Report on Form 10-Q;</w:t>
      </w:r>
    </w:p>
    <w:p>
      <w:pPr>
        <w:spacing w:after="0" w:line="25" w:lineRule="exact"/>
        <w:rPr>
          <w:rFonts w:ascii="Times New Roman" w:cs="Times New Roman" w:eastAsia="Times New Roman" w:hAnsi="Times New Roman"/>
          <w:sz w:val="18"/>
          <w:szCs w:val="18"/>
          <w:color w:val="auto"/>
        </w:rPr>
      </w:pPr>
    </w:p>
    <w:p>
      <w:pPr>
        <w:ind w:left="183" w:hanging="183"/>
        <w:spacing w:after="0"/>
        <w:tabs>
          <w:tab w:leader="none" w:pos="183"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transition to more readily scalable “cloud-based” solutions;</w:t>
      </w:r>
    </w:p>
    <w:p>
      <w:pPr>
        <w:spacing w:after="0" w:line="63" w:lineRule="exact"/>
        <w:rPr>
          <w:rFonts w:ascii="Times New Roman" w:cs="Times New Roman" w:eastAsia="Times New Roman" w:hAnsi="Times New Roman"/>
          <w:sz w:val="18"/>
          <w:szCs w:val="18"/>
          <w:color w:val="auto"/>
        </w:rPr>
      </w:pPr>
    </w:p>
    <w:p>
      <w:pPr>
        <w:ind w:left="183" w:hanging="183"/>
        <w:spacing w:after="0"/>
        <w:tabs>
          <w:tab w:leader="none" w:pos="183"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to enhance digital or e-commerce capabilities, including mobile applications;</w:t>
      </w:r>
    </w:p>
    <w:p>
      <w:pPr>
        <w:spacing w:after="0" w:line="63" w:lineRule="exact"/>
        <w:rPr>
          <w:rFonts w:ascii="Times New Roman" w:cs="Times New Roman" w:eastAsia="Times New Roman" w:hAnsi="Times New Roman"/>
          <w:sz w:val="18"/>
          <w:szCs w:val="18"/>
          <w:color w:val="auto"/>
        </w:rPr>
      </w:pPr>
    </w:p>
    <w:p>
      <w:pPr>
        <w:ind w:left="183" w:right="20" w:hanging="183"/>
        <w:spacing w:after="0" w:line="281" w:lineRule="auto"/>
        <w:tabs>
          <w:tab w:leader="none" w:pos="183"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proprietary intellectual property and to defend against allegations by third parties that any of our products, services or business activities may infringe against their intellectual property rights;</w:t>
      </w:r>
    </w:p>
    <w:p>
      <w:pPr>
        <w:spacing w:after="0" w:line="1" w:lineRule="exact"/>
        <w:rPr>
          <w:rFonts w:ascii="Times New Roman" w:cs="Times New Roman" w:eastAsia="Times New Roman" w:hAnsi="Times New Roman"/>
          <w:sz w:val="18"/>
          <w:szCs w:val="18"/>
          <w:color w:val="auto"/>
        </w:rPr>
      </w:pPr>
    </w:p>
    <w:p>
      <w:pPr>
        <w:jc w:val="both"/>
        <w:ind w:left="183" w:hanging="183"/>
        <w:spacing w:after="0" w:line="266" w:lineRule="auto"/>
        <w:tabs>
          <w:tab w:leader="none" w:pos="183"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from development, deployment and governance of artificial intelligence (“AI”) and adjacent technologies, including technical failures or inaccuracies, rapid adoption by our competitors, and evolving regulatory requirements that may restrict certain AI uses or increase compliance costs;</w:t>
      </w:r>
    </w:p>
    <w:p>
      <w:pPr>
        <w:spacing w:after="0" w:line="176" w:lineRule="exact"/>
        <w:rPr>
          <w:sz w:val="20"/>
          <w:szCs w:val="20"/>
          <w:color w:val="auto"/>
        </w:rPr>
      </w:pPr>
    </w:p>
    <w:p>
      <w:pPr>
        <w:ind w:left="4963"/>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227330</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63"/>
          </w:cols>
          <w:pgMar w:left="897" w:top="823" w:right="339" w:bottom="1440" w:gutter="0" w:footer="0" w:header="0"/>
        </w:sectPr>
      </w:pPr>
    </w:p>
    <w:bookmarkStart w:id="27" w:name="page28"/>
    <w:bookmarkEnd w:id="27"/>
    <w:p>
      <w:pPr>
        <w:jc w:val="both"/>
        <w:ind w:left="760" w:hanging="183"/>
        <w:spacing w:after="0" w:line="266" w:lineRule="auto"/>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or that of our third-party retailers or other third parties with whom we do business to protect the integrity and security of customer, employee, supplier and third-party retailer or other third-party information from adverse effects of hacking, computer viruses, cybersecurity attacks or similar disruptions;</w:t>
      </w:r>
    </w:p>
    <w:p>
      <w:pPr>
        <w:spacing w:after="0" w:line="13" w:lineRule="exact"/>
        <w:rPr>
          <w:rFonts w:ascii="Times New Roman" w:cs="Times New Roman" w:eastAsia="Times New Roman" w:hAnsi="Times New Roman"/>
          <w:sz w:val="18"/>
          <w:szCs w:val="18"/>
          <w:color w:val="auto"/>
        </w:rPr>
      </w:pPr>
    </w:p>
    <w:p>
      <w:pPr>
        <w:ind w:left="760" w:hanging="183"/>
        <w:spacing w:after="0"/>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of our goodwill or other intangible assets;</w:t>
      </w:r>
    </w:p>
    <w:p>
      <w:pPr>
        <w:spacing w:after="0" w:line="63" w:lineRule="exact"/>
        <w:rPr>
          <w:rFonts w:ascii="Times New Roman" w:cs="Times New Roman" w:eastAsia="Times New Roman" w:hAnsi="Times New Roman"/>
          <w:sz w:val="18"/>
          <w:szCs w:val="18"/>
          <w:color w:val="auto"/>
        </w:rPr>
      </w:pPr>
    </w:p>
    <w:p>
      <w:pPr>
        <w:ind w:left="760" w:hanging="183"/>
        <w:spacing w:after="0"/>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in our supply chain;</w:t>
      </w:r>
    </w:p>
    <w:p>
      <w:pPr>
        <w:spacing w:after="0" w:line="63" w:lineRule="exact"/>
        <w:rPr>
          <w:rFonts w:ascii="Times New Roman" w:cs="Times New Roman" w:eastAsia="Times New Roman" w:hAnsi="Times New Roman"/>
          <w:sz w:val="18"/>
          <w:szCs w:val="18"/>
          <w:color w:val="auto"/>
        </w:rPr>
      </w:pPr>
    </w:p>
    <w:p>
      <w:pPr>
        <w:ind w:left="760" w:hanging="183"/>
        <w:spacing w:after="0"/>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of, or disruptions in, our distribution network;</w:t>
      </w:r>
    </w:p>
    <w:p>
      <w:pPr>
        <w:spacing w:after="0" w:line="63" w:lineRule="exact"/>
        <w:rPr>
          <w:rFonts w:ascii="Times New Roman" w:cs="Times New Roman" w:eastAsia="Times New Roman" w:hAnsi="Times New Roman"/>
          <w:sz w:val="18"/>
          <w:szCs w:val="18"/>
          <w:color w:val="auto"/>
        </w:rPr>
      </w:pPr>
    </w:p>
    <w:p>
      <w:pPr>
        <w:ind w:left="760" w:hanging="183"/>
        <w:spacing w:after="0"/>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rapid inflation or deflation in the prices of our lease-to-own products and other related costs;</w:t>
      </w:r>
    </w:p>
    <w:p>
      <w:pPr>
        <w:spacing w:after="0" w:line="63" w:lineRule="exact"/>
        <w:rPr>
          <w:rFonts w:ascii="Times New Roman" w:cs="Times New Roman" w:eastAsia="Times New Roman" w:hAnsi="Times New Roman"/>
          <w:sz w:val="18"/>
          <w:szCs w:val="18"/>
          <w:color w:val="auto"/>
        </w:rPr>
      </w:pPr>
    </w:p>
    <w:p>
      <w:pPr>
        <w:ind w:left="760" w:hanging="183"/>
        <w:spacing w:after="0"/>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allegations of product safety and quality control issues, including recalls of goods we lease to customers;</w:t>
      </w:r>
    </w:p>
    <w:p>
      <w:pPr>
        <w:spacing w:after="0" w:line="63" w:lineRule="exact"/>
        <w:rPr>
          <w:rFonts w:ascii="Times New Roman" w:cs="Times New Roman" w:eastAsia="Times New Roman" w:hAnsi="Times New Roman"/>
          <w:sz w:val="18"/>
          <w:szCs w:val="18"/>
          <w:color w:val="auto"/>
        </w:rPr>
      </w:pPr>
    </w:p>
    <w:p>
      <w:pPr>
        <w:ind w:left="760" w:hanging="183"/>
        <w:spacing w:after="0" w:line="281" w:lineRule="auto"/>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execute, as well as the effectiveness of, lease-to-own store consolidations, including our ability to retain the revenue from customer accounts merged into another store location as a result of a store consolidation;</w:t>
      </w:r>
    </w:p>
    <w:p>
      <w:pPr>
        <w:spacing w:after="0" w:line="1" w:lineRule="exact"/>
        <w:rPr>
          <w:rFonts w:ascii="Times New Roman" w:cs="Times New Roman" w:eastAsia="Times New Roman" w:hAnsi="Times New Roman"/>
          <w:sz w:val="18"/>
          <w:szCs w:val="18"/>
          <w:color w:val="auto"/>
        </w:rPr>
      </w:pPr>
    </w:p>
    <w:p>
      <w:pPr>
        <w:ind w:left="760" w:hanging="183"/>
        <w:spacing w:after="0"/>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available cash flow and our ability to generate sufficient cash flow to continue to fund the operations of our business;</w:t>
      </w:r>
    </w:p>
    <w:p>
      <w:pPr>
        <w:spacing w:after="0" w:line="63" w:lineRule="exact"/>
        <w:rPr>
          <w:rFonts w:ascii="Times New Roman" w:cs="Times New Roman" w:eastAsia="Times New Roman" w:hAnsi="Times New Roman"/>
          <w:sz w:val="18"/>
          <w:szCs w:val="18"/>
          <w:color w:val="auto"/>
        </w:rPr>
      </w:pPr>
    </w:p>
    <w:p>
      <w:pPr>
        <w:ind w:left="760" w:hanging="183"/>
        <w:spacing w:after="0" w:line="281" w:lineRule="auto"/>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competition from traditional competitors, virtual lease-to-own competitors, online retailers, Buy-Now-Pay-Later, earned wage access and financial health technology competitors and other fintech companies and other competitors, including subprime lenders;</w:t>
      </w:r>
    </w:p>
    <w:p>
      <w:pPr>
        <w:spacing w:after="0" w:line="1" w:lineRule="exact"/>
        <w:rPr>
          <w:rFonts w:ascii="Times New Roman" w:cs="Times New Roman" w:eastAsia="Times New Roman" w:hAnsi="Times New Roman"/>
          <w:sz w:val="18"/>
          <w:szCs w:val="18"/>
          <w:color w:val="auto"/>
        </w:rPr>
      </w:pPr>
    </w:p>
    <w:p>
      <w:pPr>
        <w:ind w:left="760" w:right="20" w:hanging="183"/>
        <w:spacing w:after="0" w:line="281" w:lineRule="auto"/>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and successfully market products and services that appeal to our current and future targeted customer segments and to accurately estimate the size of the total addressable market;</w:t>
      </w:r>
    </w:p>
    <w:p>
      <w:pPr>
        <w:spacing w:after="0" w:line="1" w:lineRule="exact"/>
        <w:rPr>
          <w:rFonts w:ascii="Times New Roman" w:cs="Times New Roman" w:eastAsia="Times New Roman" w:hAnsi="Times New Roman"/>
          <w:sz w:val="18"/>
          <w:szCs w:val="18"/>
          <w:color w:val="auto"/>
        </w:rPr>
      </w:pPr>
    </w:p>
    <w:p>
      <w:pPr>
        <w:ind w:left="760" w:hanging="183"/>
        <w:spacing w:after="0"/>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consumer preferences and perceptions of our brands;</w:t>
      </w:r>
    </w:p>
    <w:p>
      <w:pPr>
        <w:spacing w:after="0" w:line="63" w:lineRule="exact"/>
        <w:rPr>
          <w:rFonts w:ascii="Times New Roman" w:cs="Times New Roman" w:eastAsia="Times New Roman" w:hAnsi="Times New Roman"/>
          <w:sz w:val="18"/>
          <w:szCs w:val="18"/>
          <w:color w:val="auto"/>
        </w:rPr>
      </w:pPr>
    </w:p>
    <w:p>
      <w:pPr>
        <w:ind w:left="760" w:hanging="183"/>
        <w:spacing w:after="0"/>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enter into new rental or lease purchase agreements and collect on our existing rental or lease purchase agreements;</w:t>
      </w:r>
    </w:p>
    <w:p>
      <w:pPr>
        <w:spacing w:after="0" w:line="63" w:lineRule="exact"/>
        <w:rPr>
          <w:rFonts w:ascii="Times New Roman" w:cs="Times New Roman" w:eastAsia="Times New Roman" w:hAnsi="Times New Roman"/>
          <w:sz w:val="18"/>
          <w:szCs w:val="18"/>
          <w:color w:val="auto"/>
        </w:rPr>
      </w:pPr>
    </w:p>
    <w:p>
      <w:pPr>
        <w:jc w:val="both"/>
        <w:ind w:left="760" w:hanging="183"/>
        <w:spacing w:after="0" w:line="266" w:lineRule="auto"/>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ongoing changes in tariff policies, including impacts from tariffs proposed or imposed by the current U.S. Presidential Administration on the price of imported goods, or consumer prices overall or other financial impacts of such tariffs or proposed or imposed retaliatory tariffs enacted by U.S. trading partners on our costs or target consumers;</w:t>
      </w:r>
    </w:p>
    <w:p>
      <w:pPr>
        <w:spacing w:after="0" w:line="13" w:lineRule="exact"/>
        <w:rPr>
          <w:rFonts w:ascii="Times New Roman" w:cs="Times New Roman" w:eastAsia="Times New Roman" w:hAnsi="Times New Roman"/>
          <w:sz w:val="18"/>
          <w:szCs w:val="18"/>
          <w:color w:val="auto"/>
        </w:rPr>
      </w:pPr>
    </w:p>
    <w:p>
      <w:pPr>
        <w:ind w:left="760" w:hanging="183"/>
        <w:spacing w:after="0"/>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changes in the economic conditions of the industries, countries or markets that we serve;</w:t>
      </w:r>
    </w:p>
    <w:p>
      <w:pPr>
        <w:spacing w:after="0" w:line="63" w:lineRule="exact"/>
        <w:rPr>
          <w:rFonts w:ascii="Times New Roman" w:cs="Times New Roman" w:eastAsia="Times New Roman" w:hAnsi="Times New Roman"/>
          <w:sz w:val="18"/>
          <w:szCs w:val="18"/>
          <w:color w:val="auto"/>
        </w:rPr>
      </w:pPr>
    </w:p>
    <w:p>
      <w:pPr>
        <w:ind w:left="760" w:hanging="183"/>
        <w:spacing w:after="0"/>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technology and data security costs;</w:t>
      </w:r>
    </w:p>
    <w:p>
      <w:pPr>
        <w:spacing w:after="0" w:line="63" w:lineRule="exact"/>
        <w:rPr>
          <w:rFonts w:ascii="Times New Roman" w:cs="Times New Roman" w:eastAsia="Times New Roman" w:hAnsi="Times New Roman"/>
          <w:sz w:val="18"/>
          <w:szCs w:val="18"/>
          <w:color w:val="auto"/>
        </w:rPr>
      </w:pPr>
    </w:p>
    <w:p>
      <w:pPr>
        <w:ind w:left="760" w:hanging="183"/>
        <w:spacing w:after="0"/>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breaches in data security or other disturbances to our information technology and other networks;</w:t>
      </w:r>
    </w:p>
    <w:p>
      <w:pPr>
        <w:spacing w:after="0" w:line="63" w:lineRule="exact"/>
        <w:rPr>
          <w:rFonts w:ascii="Times New Roman" w:cs="Times New Roman" w:eastAsia="Times New Roman" w:hAnsi="Times New Roman"/>
          <w:sz w:val="18"/>
          <w:szCs w:val="18"/>
          <w:color w:val="auto"/>
        </w:rPr>
      </w:pPr>
    </w:p>
    <w:p>
      <w:pPr>
        <w:ind w:left="760" w:hanging="183"/>
        <w:spacing w:after="0"/>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estimates relating to self-insurance liabilities and income tax reserves;</w:t>
      </w:r>
    </w:p>
    <w:p>
      <w:pPr>
        <w:spacing w:after="0" w:line="63" w:lineRule="exact"/>
        <w:rPr>
          <w:rFonts w:ascii="Times New Roman" w:cs="Times New Roman" w:eastAsia="Times New Roman" w:hAnsi="Times New Roman"/>
          <w:sz w:val="18"/>
          <w:szCs w:val="18"/>
          <w:color w:val="auto"/>
        </w:rPr>
      </w:pPr>
    </w:p>
    <w:p>
      <w:pPr>
        <w:ind w:left="760" w:hanging="183"/>
        <w:spacing w:after="0"/>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effective tax rate;</w:t>
      </w:r>
    </w:p>
    <w:p>
      <w:pPr>
        <w:spacing w:after="0" w:line="63" w:lineRule="exact"/>
        <w:rPr>
          <w:rFonts w:ascii="Times New Roman" w:cs="Times New Roman" w:eastAsia="Times New Roman" w:hAnsi="Times New Roman"/>
          <w:sz w:val="18"/>
          <w:szCs w:val="18"/>
          <w:color w:val="auto"/>
        </w:rPr>
      </w:pPr>
    </w:p>
    <w:p>
      <w:pPr>
        <w:ind w:left="760" w:hanging="183"/>
        <w:spacing w:after="0"/>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foreign currency exchange rates;</w:t>
      </w:r>
    </w:p>
    <w:p>
      <w:pPr>
        <w:spacing w:after="0" w:line="63" w:lineRule="exact"/>
        <w:rPr>
          <w:rFonts w:ascii="Times New Roman" w:cs="Times New Roman" w:eastAsia="Times New Roman" w:hAnsi="Times New Roman"/>
          <w:sz w:val="18"/>
          <w:szCs w:val="18"/>
          <w:color w:val="auto"/>
        </w:rPr>
      </w:pPr>
    </w:p>
    <w:p>
      <w:pPr>
        <w:ind w:left="760" w:hanging="183"/>
        <w:spacing w:after="0"/>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an effective system of internal controls; and</w:t>
      </w:r>
    </w:p>
    <w:p>
      <w:pPr>
        <w:spacing w:after="0" w:line="63" w:lineRule="exact"/>
        <w:rPr>
          <w:rFonts w:ascii="Times New Roman" w:cs="Times New Roman" w:eastAsia="Times New Roman" w:hAnsi="Times New Roman"/>
          <w:sz w:val="18"/>
          <w:szCs w:val="18"/>
          <w:color w:val="auto"/>
        </w:rPr>
      </w:pPr>
    </w:p>
    <w:p>
      <w:pPr>
        <w:ind w:left="760" w:right="20" w:hanging="183"/>
        <w:spacing w:after="0" w:line="282" w:lineRule="auto"/>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risks detailed from time to time in our reports furnished or filed with the United States Securities and Exchange Commission (the “SEC”).</w:t>
      </w:r>
    </w:p>
    <w:p>
      <w:pPr>
        <w:spacing w:after="0" w:line="52"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Additional important factors that could cause our actual results to differ materially from our expectations are discussed under the section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in our Annual Report on Form 10-K for the year ended December 31, 2025 and elsewhere in this Quarterly Report on Form 10-Q.</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Business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a technology and data-driven leader in accessible and inclusive financial solutions that address the evolving needs and aspirations of underserved consumers. Through our Acima and Rent-A-Center segments, we are a leading lease-to-own provider with operations in the United States, Puerto Rico and Mexico. We provide a critical service for underserved consumers by providing them with access to, and the opportunity to obtain ownership of, high-quality, name brand durable products under a flexible lease-purchase agreement with no long-term debt obligation. Our Acima segment offers lease-to-own solutions through retailers in stores and online enabling such retailers to grow sales by expanding their customer base utilizing our differentiated offering and allowing customers to access our flexible lease-to-own solutions at thousands of retailers and to lease a wide range of durable products. Through our Rent-A-Center segment, we provide a fully integrated customer experience through our e-commerce platform and brick and mortar presence.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236220</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28" w:name="page29"/>
    <w:bookmarkEnd w:id="28"/>
    <w:p>
      <w:pPr>
        <w:jc w:val="both"/>
        <w:spacing w:after="0" w:line="261" w:lineRule="auto"/>
        <w:rPr>
          <w:sz w:val="20"/>
          <w:szCs w:val="20"/>
          <w:color w:val="auto"/>
        </w:rPr>
      </w:pPr>
      <w:r>
        <w:rPr>
          <w:rFonts w:ascii="Times New Roman" w:cs="Times New Roman" w:eastAsia="Times New Roman" w:hAnsi="Times New Roman"/>
          <w:sz w:val="18"/>
          <w:szCs w:val="18"/>
          <w:color w:val="auto"/>
        </w:rPr>
        <w:t>On January 31, 2025, we completed the acquisition of Brigit, a holistic financial health technology company that has helped millions of customers improve their financial health and literacy, find ways to earn and save money, obtain early access to their earned wages ("cash advances"), build their credit through savings and protect themselves from identity theft. Its mission is to help customers build a better financial future. See Note 2 in our condensed consolidated financial statements included in this Quarterly Report on Form 10-Q for additional information.</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were incorporated in the State of Delaware in 1986, and our common stock is traded on the Nasdaq Global Select Market under the ticker symbol “UPBD.”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Summary</w:t>
      </w:r>
    </w:p>
    <w:p>
      <w:pPr>
        <w:spacing w:after="0" w:line="11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Our Strategy</w:t>
      </w:r>
    </w:p>
    <w:p>
      <w:pPr>
        <w:spacing w:after="0" w:line="121"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Our strategy is focused on achieving our mission to elevate financial opportunity for all and growing our business through emphasis on the following key initiatives:</w:t>
      </w:r>
    </w:p>
    <w:p>
      <w:pPr>
        <w:spacing w:after="0" w:line="1" w:lineRule="exact"/>
        <w:rPr>
          <w:sz w:val="20"/>
          <w:szCs w:val="20"/>
          <w:color w:val="auto"/>
        </w:rPr>
      </w:pPr>
    </w:p>
    <w:p>
      <w:pPr>
        <w:ind w:left="760" w:right="20" w:hanging="183"/>
        <w:spacing w:after="0" w:line="281" w:lineRule="auto"/>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Acima, grow penetration with current Acima third-party retailers and build on our strength with small to medium size businesses while also adding new national and regional third-party retailers to our platform and expanding our direct-to-consumer channels;</w:t>
      </w:r>
    </w:p>
    <w:p>
      <w:pPr>
        <w:spacing w:after="0" w:line="1" w:lineRule="exact"/>
        <w:rPr>
          <w:rFonts w:ascii="Times New Roman" w:cs="Times New Roman" w:eastAsia="Times New Roman" w:hAnsi="Times New Roman"/>
          <w:sz w:val="18"/>
          <w:szCs w:val="18"/>
          <w:color w:val="auto"/>
        </w:rPr>
      </w:pPr>
    </w:p>
    <w:p>
      <w:pPr>
        <w:ind w:left="760" w:hanging="183"/>
        <w:spacing w:after="0"/>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Brigit, continue to grow Brigit’s earned wage access, credit builder and other existing products and increase Brigit’s portfolio of products;</w:t>
      </w:r>
    </w:p>
    <w:p>
      <w:pPr>
        <w:spacing w:after="0" w:line="63" w:lineRule="exact"/>
        <w:rPr>
          <w:rFonts w:ascii="Times New Roman" w:cs="Times New Roman" w:eastAsia="Times New Roman" w:hAnsi="Times New Roman"/>
          <w:sz w:val="18"/>
          <w:szCs w:val="18"/>
          <w:color w:val="auto"/>
        </w:rPr>
      </w:pPr>
    </w:p>
    <w:p>
      <w:pPr>
        <w:ind w:left="760" w:hanging="183"/>
        <w:spacing w:after="0" w:line="281" w:lineRule="auto"/>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Rent-A-Center, accelerate the shift to e-commerce, improve the fully integrated omni-channel customer experience and expand product categories, which we expect will increase brand awareness and customer loyalty;</w:t>
      </w:r>
    </w:p>
    <w:p>
      <w:pPr>
        <w:spacing w:after="0" w:line="1" w:lineRule="exact"/>
        <w:rPr>
          <w:rFonts w:ascii="Times New Roman" w:cs="Times New Roman" w:eastAsia="Times New Roman" w:hAnsi="Times New Roman"/>
          <w:sz w:val="18"/>
          <w:szCs w:val="18"/>
          <w:color w:val="auto"/>
        </w:rPr>
      </w:pPr>
    </w:p>
    <w:p>
      <w:pPr>
        <w:ind w:left="760" w:hanging="183"/>
        <w:spacing w:after="0"/>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Leverage data analytics capabilities to attract new customers, approve more customers and mitigate risk across business segments;</w:t>
      </w:r>
    </w:p>
    <w:p>
      <w:pPr>
        <w:spacing w:after="0" w:line="63" w:lineRule="exact"/>
        <w:rPr>
          <w:rFonts w:ascii="Times New Roman" w:cs="Times New Roman" w:eastAsia="Times New Roman" w:hAnsi="Times New Roman"/>
          <w:sz w:val="18"/>
          <w:szCs w:val="18"/>
          <w:color w:val="auto"/>
        </w:rPr>
      </w:pPr>
    </w:p>
    <w:p>
      <w:pPr>
        <w:ind w:left="760" w:hanging="183"/>
        <w:spacing w:after="0" w:line="281" w:lineRule="auto"/>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 on market opportunities and enhance our competitive position across both traditional and virtual lease-to-own solutions, and implement complementary products and services that supplement our current offerings and provide our customers more financial alternatives; and</w:t>
      </w:r>
    </w:p>
    <w:p>
      <w:pPr>
        <w:spacing w:after="0" w:line="1" w:lineRule="exact"/>
        <w:rPr>
          <w:rFonts w:ascii="Times New Roman" w:cs="Times New Roman" w:eastAsia="Times New Roman" w:hAnsi="Times New Roman"/>
          <w:sz w:val="18"/>
          <w:szCs w:val="18"/>
          <w:color w:val="auto"/>
        </w:rPr>
      </w:pPr>
    </w:p>
    <w:p>
      <w:pPr>
        <w:ind w:left="760" w:hanging="183"/>
        <w:spacing w:after="0" w:line="282" w:lineRule="auto"/>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Upgrade and integrate technology platforms to allow for an enhanced consumer experience, third-party retailer and waterfall integration, consumer transaction process and coworker efficiency.</w:t>
      </w:r>
    </w:p>
    <w:p>
      <w:pPr>
        <w:spacing w:after="0" w:line="5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we pursue our strategy, we have taken, and may in the future take, advantage of joint venture, partnership, or merger and acquisition opportunities from time to time that advance our key initiatives and elevate the financial mobility of underserved consumers.</w:t>
      </w:r>
    </w:p>
    <w:p>
      <w:pPr>
        <w:spacing w:after="0" w:line="13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Recent Developments</w:t>
      </w:r>
    </w:p>
    <w:p>
      <w:pPr>
        <w:spacing w:after="0" w:line="119"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Dividend. </w:t>
      </w:r>
      <w:r>
        <w:rPr>
          <w:rFonts w:ascii="Times New Roman" w:cs="Times New Roman" w:eastAsia="Times New Roman" w:hAnsi="Times New Roman"/>
          <w:sz w:val="18"/>
          <w:szCs w:val="18"/>
          <w:color w:val="auto"/>
        </w:rPr>
        <w:t>On September 24, 2026, we announced that our board of directors approved a quarterly cash dividend of $0.39 per share. The dividend was paid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October 27, 2026 to our common stockholders of record as of the close of business on October 6, 2026.</w:t>
      </w:r>
    </w:p>
    <w:p>
      <w:pPr>
        <w:spacing w:after="0" w:line="4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Business and Operational Trends</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Macroeconomic Conditions. </w:t>
      </w:r>
      <w:r>
        <w:rPr>
          <w:rFonts w:ascii="Times New Roman" w:cs="Times New Roman" w:eastAsia="Times New Roman" w:hAnsi="Times New Roman"/>
          <w:sz w:val="18"/>
          <w:szCs w:val="18"/>
          <w:color w:val="auto"/>
        </w:rPr>
        <w:t>In recent years, we have experienced significant change in business and operational trends driven by macroeconomic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conditions, which have directly impacted our customers as well as our operations, including significant changes in the U.S. consumer price index, changes in demand for certain consumer retail categories, changes in consumer payment behaviors, a condensed labor market, which has also contributed to wage inflation, rapid increases in interest rates, changes in tariff and trade policies, and global supply chain disruptions resulting in reduced product availability and rising product costs.</w:t>
      </w:r>
    </w:p>
    <w:p>
      <w:pPr>
        <w:spacing w:after="0" w:line="7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While our businesses have historically remained resilient through various economic cycles, the full extent to which our risk management strategy and these macroeconomic trends (including consumer spending and payment behavior) may impact the Company in future periods is uncertain. The continuation of volatile macroeconomic trends may have a material adverse impact on our financial statements, including our results of operations, operating cash flows, liquidity and capital resources.</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See “Risk Factors” in Part I, Item 1A in our Annual Report on Form 10-K for the year ended December 31, 2025, for additional discussion of impacts to our business and additional risks associated with macroeconomic conditions.</w:t>
      </w:r>
    </w:p>
    <w:p>
      <w:pPr>
        <w:spacing w:after="0" w:line="52"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Rent-A-Center e-commerce revenue. </w:t>
      </w:r>
      <w:r>
        <w:rPr>
          <w:rFonts w:ascii="Times New Roman" w:cs="Times New Roman" w:eastAsia="Times New Roman" w:hAnsi="Times New Roman"/>
          <w:sz w:val="18"/>
          <w:szCs w:val="18"/>
          <w:color w:val="auto"/>
        </w:rPr>
        <w:t>In recent years, e-commerce revenues have increased over time as a percentage of total rentals and fees revenue in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Rent-A-Center segment. For the nine months ended September 30, 2026 and 2025, e-commerce revenues represented</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9" w:name="page30"/>
    <w:bookmarkEnd w:id="29"/>
    <w:p>
      <w:pPr>
        <w:jc w:val="both"/>
        <w:spacing w:after="0" w:line="256" w:lineRule="auto"/>
        <w:rPr>
          <w:sz w:val="20"/>
          <w:szCs w:val="20"/>
          <w:color w:val="auto"/>
        </w:rPr>
      </w:pPr>
      <w:r>
        <w:rPr>
          <w:rFonts w:ascii="Times New Roman" w:cs="Times New Roman" w:eastAsia="Times New Roman" w:hAnsi="Times New Roman"/>
          <w:sz w:val="18"/>
          <w:szCs w:val="18"/>
          <w:color w:val="auto"/>
        </w:rPr>
        <w:t>approximately 28% and 27% of total lease-to-own revenues, respectively. Due to recent trends in consumer shopping behaviors and expectations, we believe e-commerce solutions are an important part of our lease-to-own offering. However, we are unable to quantify the extent to which e-commerce revenues are incremental compared to what our overall revenues would have been in the absence of those e-commerce transactions. In addition, the profitability of e-commerce transactions can be impacted by different merchandise loss factors compared to traditional store-based transactions in the Rent-A-Center segment. Therefore, we are unable to determine with certainty whether the continuation of this trend toward increased e-commerce transactions will have a significant impact on our financial statements in future periods or be ultimately favorable or unfavorable to our financial results.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discussion focuses on our results of operations and our liquidity and capital resources. You should read this discussion in conjunction with the condensed consolidated financial statements and notes thereto for the nine months ended September 30, 2026 included in Part I, Item 1 of this Quarterly Report on Form 10-Q.</w:t>
      </w:r>
    </w:p>
    <w:p>
      <w:pPr>
        <w:spacing w:after="0" w:line="14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Key Metrics</w:t>
      </w:r>
    </w:p>
    <w:p>
      <w:pPr>
        <w:spacing w:after="0" w:line="11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Gross Merchandise Volume (“GMV”): </w:t>
      </w:r>
      <w:r>
        <w:rPr>
          <w:rFonts w:ascii="Times New Roman" w:cs="Times New Roman" w:eastAsia="Times New Roman" w:hAnsi="Times New Roman"/>
          <w:sz w:val="18"/>
          <w:szCs w:val="18"/>
          <w:color w:val="auto"/>
        </w:rPr>
        <w:t>The Company defines Gross Merchandise Volume as the retail value in U.S. dollars of merchandise acquired by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Acima segment that is leased to customers through a transaction that occurs within a defined period, net of estimated cancellations as of the measurement date.</w:t>
      </w:r>
    </w:p>
    <w:p>
      <w:pPr>
        <w:spacing w:after="0" w:line="6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Lease Portfolio Value: </w:t>
      </w:r>
      <w:r>
        <w:rPr>
          <w:rFonts w:ascii="Times New Roman" w:cs="Times New Roman" w:eastAsia="Times New Roman" w:hAnsi="Times New Roman"/>
          <w:sz w:val="18"/>
          <w:szCs w:val="18"/>
          <w:color w:val="auto"/>
        </w:rPr>
        <w:t>Represents the aggregate dollar value of the expected monthly rental income associated with current active lease agreements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Company-owned Rent-A-Center lease-to-own stores and e-commerce platform at the end of any given period.</w:t>
      </w:r>
    </w:p>
    <w:p>
      <w:pPr>
        <w:spacing w:after="0" w:line="5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Same Store Lease Portfolio Value</w:t>
      </w:r>
      <w:r>
        <w:rPr>
          <w:rFonts w:ascii="Times New Roman" w:cs="Times New Roman" w:eastAsia="Times New Roman" w:hAnsi="Times New Roman"/>
          <w:sz w:val="18"/>
          <w:szCs w:val="18"/>
          <w:color w:val="auto"/>
        </w:rPr>
        <w:t>: Represents the aggregate dollar value of the expected monthly rental income associated with current active lease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agreements from our Company-owned Rent-A-Center lease-to-own stores that were operated by us for 13 months or more at the end of any given period. The Company excludes from the same store base any store that receives a certain level of customer accounts from closed stores or acquisitions. The receiving store will be eligible for inclusion in the same store base in the 30th full month following account transfer.</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Same Store Sales: </w:t>
      </w:r>
      <w:r>
        <w:rPr>
          <w:rFonts w:ascii="Times New Roman" w:cs="Times New Roman" w:eastAsia="Times New Roman" w:hAnsi="Times New Roman"/>
          <w:sz w:val="18"/>
          <w:szCs w:val="18"/>
          <w:color w:val="auto"/>
        </w:rPr>
        <w:t>Same store sales generally represents revenue earned in Company-owned Rent-A-Center stores that were operated by us for 13 months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more and are reported on a constant currency basis as a percentage of total revenue earned in stores of the segment during the indicated period. The Company excludes from the same store sales base any store that receives a certain level of customer accounts from closed stores or acquisitions. The receiving store will be eligible for inclusion in the same store sales base in the 30th full month following account transfer.</w:t>
      </w:r>
    </w:p>
    <w:p>
      <w:pPr>
        <w:spacing w:after="0" w:line="7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Lease Charge-Offs (“LCOs”): </w:t>
      </w:r>
      <w:r>
        <w:rPr>
          <w:rFonts w:ascii="Times New Roman" w:cs="Times New Roman" w:eastAsia="Times New Roman" w:hAnsi="Times New Roman"/>
          <w:sz w:val="18"/>
          <w:szCs w:val="18"/>
          <w:color w:val="auto"/>
        </w:rPr>
        <w:t>Represents charge-offs of the net book value of unrecoverable on-rent merchandise with lease-to-own customers who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past due. This is typically expressed as a percentage of revenues for the applicable period. For the Rent-A-Center segment, LCOs exclude Get It Now, Home Choice and franchise-owned Rent-A-Center locations. For the Acima segment, LCOs exclude fraudulent lease-to-own contract losses.</w:t>
      </w:r>
    </w:p>
    <w:p>
      <w:pPr>
        <w:spacing w:after="0" w:line="65"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Brigit Net Advance Losses: </w:t>
      </w:r>
      <w:r>
        <w:rPr>
          <w:rFonts w:ascii="Times New Roman" w:cs="Times New Roman" w:eastAsia="Times New Roman" w:hAnsi="Times New Roman"/>
          <w:sz w:val="18"/>
          <w:szCs w:val="18"/>
          <w:color w:val="auto"/>
        </w:rPr>
        <w:t>Represents charge-offs of Brigit uncollectible cash advances that are more than 45 days past due. This is typically expressed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percentage of total cash advances originated in the applicable period.</w:t>
      </w:r>
    </w:p>
    <w:p>
      <w:pPr>
        <w:spacing w:after="0" w:line="1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report four operating segments: Acima, Rent-A-Center, Brigit and Mexico. The following briefly summarizes our financial performance for the nine months ended September 30, 2026 as compared to the nine months ended September 30, 2025 on a consolidated basis and for our operating segments.</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nine months ended September 30, 2026, consolidated revenues and gross profit increased by approximately $30.7 million and $76.5 million, respectively, primarily due to an increase in Brigit segment revenues, partially offset by decreases in Rent-A-Center and Acima segment revenues described below. Operating profit increased by approximately $36.8 million, partly due to the increase in gross profit noted above and a decrease in other gains and charges of $36.8 million, partially offset by increases in non-labor operating expenses of $73.4 million.</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Acima segment revenues decreased approximately $44.6 million for the nine months ended September 30, 2026, primarily due to lower rentals and fees revenues and merchandise sales revenues of $23.6 million and $20.7 million, respectively, primarily due to a decrease in GMV. Operating profit increased approximately $6.0 million for the nine months ended September 30, 2026, primarily due to an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0" w:name="page31"/>
    <w:bookmarkEnd w:id="30"/>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increase in gross profit of $10.9 million and decreases in non-labor operating expenses and operating labor of $6.2 million and $2.6 million, respectively, partially offset by an increase in other gains and charges of $13.4 million. See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Segment Performance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below for further discussion of Acima segment operating results for the nine months ended September 30, 2026.</w:t>
      </w:r>
    </w:p>
    <w:p>
      <w:pPr>
        <w:spacing w:after="0" w:line="6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Revenues in our Rent-A-Center segment decreased approximately $10.3 million for the nine months ended September 30, 2026, primarily due to decreases in merchandise sales and other revenues of $13.2 million and $9.1 million, respectively, primarily resulting from fewer customers electing early purchase options and lower franchise revenues, partially offset by an increase in rentals and fees revenues of $12.0 million. Operating profit decreased approximately $13.3 million for the nine months ended September 30, 2026, primarily due to a decrease in gross profit of approximately $10.5 million driven by lower revenues, in addition to higher non-labor operating expenses of approximately $20.9 million, partially offset by decreases in general and administrative expenses and operating labor expenses of approximately $10.6 million and $2.4 million, respectively. See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Segment Performance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below for further discussion of Rent-A-Center segment operating results for the nine months ended September 30, 2026.</w:t>
      </w:r>
    </w:p>
    <w:p>
      <w:pPr>
        <w:spacing w:after="0" w:line="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Brigit segment revenues and gross profit increased by $76.2 million and $70.1 million, respectively, for the nine months ended September 30, 2026, partially due to only eight months being included in operating results for the nine months ended September 30, 2025 following the Closing Date, in addition to an increase in Brigit subscription customers during the nine months ended September 30, 2026. See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Segment Performance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below for further discussion of Brigit segment operating results for the nine months ended September 30, 2026.</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The Mexico segment revenues and gross profit increased by 15.9% and 14.4% for the nine months ended September 30, 2026, respectively, primarily due to positive impacts of exchange rate fluctuations. See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Segment Performance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below for further discussion of Mexico segment operating results for the nine months ended September 30, 2026.</w:t>
      </w:r>
    </w:p>
    <w:p>
      <w:pPr>
        <w:spacing w:after="0" w:line="6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Cash flow from operations was $457.1 million for the nine months ended September 30, 2026. As of September 30, 2026, we held $125.1 million of cash and cash equivalents and had outstanding indebtedness of $1.4 billion.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color w:val="auto"/>
        </w:rPr>
        <w:t>The following table is a reference for the discussion that follows.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40" w:type="dxa"/>
            <w:vAlign w:val="bottom"/>
            <w:gridSpan w:val="5"/>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Three Months Ended September</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3"/>
            <w:vMerge w:val="restart"/>
          </w:tcPr>
          <w:p>
            <w:pPr>
              <w:ind w:left="5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10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rPr>
              <w:t>Nine Months Ended September</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gridSpan w:val="3"/>
            <w:vMerge w:val="restart"/>
          </w:tcPr>
          <w:p>
            <w:pPr>
              <w:ind w:left="5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24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(dollar amounts in thousands)</w:t>
            </w:r>
          </w:p>
        </w:tc>
        <w:tc>
          <w:tcPr>
            <w:tcW w:w="2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w w:val="91"/>
              </w:rPr>
              <w:t>30,</w:t>
            </w:r>
          </w:p>
        </w:tc>
        <w:tc>
          <w:tcPr>
            <w:tcW w:w="9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3"/>
            <w:vMerge w:val="continue"/>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30,</w:t>
            </w:r>
          </w:p>
        </w:tc>
        <w:tc>
          <w:tcPr>
            <w:tcW w:w="1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3"/>
            <w:vMerge w:val="continue"/>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224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19"/>
              <w:spacing w:after="0" w:line="155" w:lineRule="exact"/>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419"/>
              <w:spacing w:after="0" w:line="155"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400"/>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479"/>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19"/>
              <w:spacing w:after="0" w:line="155" w:lineRule="exact"/>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39"/>
              <w:spacing w:after="0" w:line="155"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380"/>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499"/>
              <w:spacing w:after="0" w:line="155"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6"/>
        </w:trPr>
        <w:tc>
          <w:tcPr>
            <w:tcW w:w="22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Revenues</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Rentals and fees</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881,264</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901,342</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(20,078)</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2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2,701,393</w:t>
            </w:r>
          </w:p>
        </w:tc>
        <w:tc>
          <w:tcPr>
            <w:tcW w:w="38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2,705,137</w:t>
            </w: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(3,744)</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0" w:type="dxa"/>
            <w:vAlign w:val="bottom"/>
          </w:tcPr>
          <w:p>
            <w:pPr>
              <w:spacing w:after="0"/>
              <w:rPr>
                <w:sz w:val="1"/>
                <w:szCs w:val="1"/>
                <w:color w:val="auto"/>
              </w:rPr>
            </w:pPr>
          </w:p>
        </w:tc>
      </w:tr>
      <w:tr>
        <w:trPr>
          <w:trHeight w:val="203"/>
        </w:trPr>
        <w:tc>
          <w:tcPr>
            <w:tcW w:w="22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Merchandise sales</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180,165</w:t>
            </w: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198,095</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(17,930)</w:t>
            </w:r>
          </w:p>
        </w:tc>
        <w:tc>
          <w:tcPr>
            <w:tcW w:w="1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593,216</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626,557</w:t>
            </w: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(33,341)</w:t>
            </w:r>
          </w:p>
        </w:tc>
        <w:tc>
          <w:tcPr>
            <w:tcW w:w="1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0" w:type="dxa"/>
            <w:vAlign w:val="bottom"/>
          </w:tcPr>
          <w:p>
            <w:pPr>
              <w:spacing w:after="0"/>
              <w:rPr>
                <w:sz w:val="1"/>
                <w:szCs w:val="1"/>
                <w:color w:val="auto"/>
              </w:rPr>
            </w:pPr>
          </w:p>
        </w:tc>
      </w:tr>
      <w:tr>
        <w:trPr>
          <w:trHeight w:val="203"/>
        </w:trPr>
        <w:tc>
          <w:tcPr>
            <w:tcW w:w="22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Subscriptions and fees</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78,775</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57,663</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21,112</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36.6%</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217,589</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141,414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76,175</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53.9%</w:t>
            </w:r>
          </w:p>
        </w:tc>
        <w:tc>
          <w:tcPr>
            <w:tcW w:w="0" w:type="dxa"/>
            <w:vAlign w:val="bottom"/>
          </w:tcPr>
          <w:p>
            <w:pPr>
              <w:spacing w:after="0"/>
              <w:rPr>
                <w:sz w:val="1"/>
                <w:szCs w:val="1"/>
                <w:color w:val="auto"/>
              </w:rPr>
            </w:pPr>
          </w:p>
        </w:tc>
      </w:tr>
      <w:tr>
        <w:trPr>
          <w:trHeight w:val="203"/>
        </w:trPr>
        <w:tc>
          <w:tcPr>
            <w:tcW w:w="224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Other</w:t>
            </w:r>
          </w:p>
        </w:tc>
        <w:tc>
          <w:tcPr>
            <w:tcW w:w="2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8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5,957</w:t>
            </w:r>
          </w:p>
        </w:tc>
        <w:tc>
          <w:tcPr>
            <w:tcW w:w="12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7,617</w:t>
            </w:r>
          </w:p>
        </w:tc>
        <w:tc>
          <w:tcPr>
            <w:tcW w:w="12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(1,660)</w:t>
            </w:r>
          </w:p>
        </w:tc>
        <w:tc>
          <w:tcPr>
            <w:tcW w:w="10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CFF0FC"/>
            </w:tcBorders>
            <w:shd w:val="clear" w:color="auto" w:fill="CFF0FC"/>
          </w:tcPr>
          <w:p>
            <w:pPr>
              <w:spacing w:after="0"/>
              <w:rPr>
                <w:sz w:val="17"/>
                <w:szCs w:val="17"/>
                <w:color w:val="auto"/>
              </w:rPr>
            </w:pPr>
          </w:p>
        </w:tc>
        <w:tc>
          <w:tcPr>
            <w:tcW w:w="8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(21.8)%</w:t>
            </w:r>
          </w:p>
        </w:tc>
        <w:tc>
          <w:tcPr>
            <w:tcW w:w="1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17,118</w:t>
            </w:r>
          </w:p>
        </w:tc>
        <w:tc>
          <w:tcPr>
            <w:tcW w:w="120" w:type="dxa"/>
            <w:vAlign w:val="bottom"/>
            <w:tcBorders>
              <w:bottom w:val="single" w:sz="8" w:color="auto"/>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25,508</w:t>
            </w:r>
          </w:p>
        </w:tc>
        <w:tc>
          <w:tcPr>
            <w:tcW w:w="10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(8,390)</w:t>
            </w:r>
          </w:p>
        </w:tc>
        <w:tc>
          <w:tcPr>
            <w:tcW w:w="12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CFF0FC"/>
            </w:tcBorders>
            <w:shd w:val="clear" w:color="auto" w:fill="CFF0FC"/>
          </w:tcPr>
          <w:p>
            <w:pPr>
              <w:spacing w:after="0"/>
              <w:rPr>
                <w:sz w:val="17"/>
                <w:szCs w:val="17"/>
                <w:color w:val="auto"/>
              </w:rPr>
            </w:pPr>
          </w:p>
        </w:tc>
        <w:tc>
          <w:tcPr>
            <w:tcW w:w="8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(32.9)%</w:t>
            </w:r>
          </w:p>
        </w:tc>
        <w:tc>
          <w:tcPr>
            <w:tcW w:w="0" w:type="dxa"/>
            <w:vAlign w:val="bottom"/>
          </w:tcPr>
          <w:p>
            <w:pPr>
              <w:spacing w:after="0"/>
              <w:rPr>
                <w:sz w:val="1"/>
                <w:szCs w:val="1"/>
                <w:color w:val="auto"/>
              </w:rPr>
            </w:pPr>
          </w:p>
        </w:tc>
      </w:tr>
      <w:tr>
        <w:trPr>
          <w:trHeight w:val="196"/>
        </w:trPr>
        <w:tc>
          <w:tcPr>
            <w:tcW w:w="2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 revenues</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1,146,161</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1,164,717</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(18,556)</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3,529,316</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3,498,616</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30,700</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0" w:type="dxa"/>
            <w:vAlign w:val="bottom"/>
          </w:tcPr>
          <w:p>
            <w:pPr>
              <w:spacing w:after="0"/>
              <w:rPr>
                <w:sz w:val="1"/>
                <w:szCs w:val="1"/>
                <w:color w:val="auto"/>
              </w:rPr>
            </w:pPr>
          </w:p>
        </w:tc>
      </w:tr>
      <w:tr>
        <w:trPr>
          <w:trHeight w:val="203"/>
        </w:trPr>
        <w:tc>
          <w:tcPr>
            <w:tcW w:w="22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Cost of revenues</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Cost of rentals and fees</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345,213</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364,146</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(18,933)</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1,053,401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1,074,750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(21,349)</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0" w:type="dxa"/>
            <w:vAlign w:val="bottom"/>
          </w:tcPr>
          <w:p>
            <w:pPr>
              <w:spacing w:after="0"/>
              <w:rPr>
                <w:sz w:val="1"/>
                <w:szCs w:val="1"/>
                <w:color w:val="auto"/>
              </w:rPr>
            </w:pPr>
          </w:p>
        </w:tc>
      </w:tr>
      <w:tr>
        <w:trPr>
          <w:trHeight w:val="203"/>
        </w:trPr>
        <w:tc>
          <w:tcPr>
            <w:tcW w:w="22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Cost of merchandise sold</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212,828</w:t>
            </w: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230,864</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(18,036)</w:t>
            </w:r>
          </w:p>
        </w:tc>
        <w:tc>
          <w:tcPr>
            <w:tcW w:w="1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691,660</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722,213</w:t>
            </w: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(30,553)</w:t>
            </w:r>
          </w:p>
        </w:tc>
        <w:tc>
          <w:tcPr>
            <w:tcW w:w="1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0" w:type="dxa"/>
            <w:vAlign w:val="bottom"/>
          </w:tcPr>
          <w:p>
            <w:pPr>
              <w:spacing w:after="0"/>
              <w:rPr>
                <w:sz w:val="1"/>
                <w:szCs w:val="1"/>
                <w:color w:val="auto"/>
              </w:rPr>
            </w:pPr>
          </w:p>
        </w:tc>
      </w:tr>
      <w:tr>
        <w:trPr>
          <w:trHeight w:val="203"/>
        </w:trPr>
        <w:tc>
          <w:tcPr>
            <w:tcW w:w="22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Cost of subscriptions and fees</w:t>
            </w:r>
          </w:p>
        </w:tc>
        <w:tc>
          <w:tcPr>
            <w:tcW w:w="2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7,901</w:t>
            </w: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6,631</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1,270</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22,736</w:t>
            </w:r>
          </w:p>
        </w:tc>
        <w:tc>
          <w:tcPr>
            <w:tcW w:w="1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16,623</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6,113</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36.8%</w:t>
            </w:r>
          </w:p>
        </w:tc>
        <w:tc>
          <w:tcPr>
            <w:tcW w:w="0" w:type="dxa"/>
            <w:vAlign w:val="bottom"/>
          </w:tcPr>
          <w:p>
            <w:pPr>
              <w:spacing w:after="0"/>
              <w:rPr>
                <w:sz w:val="1"/>
                <w:szCs w:val="1"/>
                <w:color w:val="auto"/>
              </w:rPr>
            </w:pPr>
          </w:p>
        </w:tc>
      </w:tr>
      <w:tr>
        <w:trPr>
          <w:trHeight w:val="196"/>
        </w:trPr>
        <w:tc>
          <w:tcPr>
            <w:tcW w:w="22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Total cost of revenues</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565,942</w:t>
            </w: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601,641</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(35,699)</w:t>
            </w:r>
          </w:p>
        </w:tc>
        <w:tc>
          <w:tcPr>
            <w:tcW w:w="1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1,767,797</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1,813,586</w:t>
            </w: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(45,789)</w:t>
            </w:r>
          </w:p>
        </w:tc>
        <w:tc>
          <w:tcPr>
            <w:tcW w:w="1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0" w:type="dxa"/>
            <w:vAlign w:val="bottom"/>
          </w:tcPr>
          <w:p>
            <w:pPr>
              <w:spacing w:after="0"/>
              <w:rPr>
                <w:sz w:val="1"/>
                <w:szCs w:val="1"/>
                <w:color w:val="auto"/>
              </w:rPr>
            </w:pPr>
          </w:p>
        </w:tc>
      </w:tr>
      <w:tr>
        <w:trPr>
          <w:trHeight w:val="203"/>
        </w:trPr>
        <w:tc>
          <w:tcPr>
            <w:tcW w:w="22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Gross profit</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580,219</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563,076</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17,143</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1,761,519</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1,685,030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76,489</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0" w:type="dxa"/>
            <w:vAlign w:val="bottom"/>
          </w:tcPr>
          <w:p>
            <w:pPr>
              <w:spacing w:after="0"/>
              <w:rPr>
                <w:sz w:val="1"/>
                <w:szCs w:val="1"/>
                <w:color w:val="auto"/>
              </w:rPr>
            </w:pPr>
          </w:p>
        </w:tc>
      </w:tr>
      <w:tr>
        <w:trPr>
          <w:trHeight w:val="202"/>
        </w:trPr>
        <w:tc>
          <w:tcPr>
            <w:tcW w:w="22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Operating expenses</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Operating labor</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147,408</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151,726</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(4,318)</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448,816</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449,985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(1,169)</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0" w:type="dxa"/>
            <w:vAlign w:val="bottom"/>
          </w:tcPr>
          <w:p>
            <w:pPr>
              <w:spacing w:after="0"/>
              <w:rPr>
                <w:sz w:val="1"/>
                <w:szCs w:val="1"/>
                <w:color w:val="auto"/>
              </w:rPr>
            </w:pPr>
          </w:p>
        </w:tc>
      </w:tr>
      <w:tr>
        <w:trPr>
          <w:trHeight w:val="203"/>
        </w:trPr>
        <w:tc>
          <w:tcPr>
            <w:tcW w:w="22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Non-labor operating expenses</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254,034</w:t>
            </w: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242,078</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2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11,956</w:t>
            </w:r>
          </w:p>
        </w:tc>
        <w:tc>
          <w:tcPr>
            <w:tcW w:w="1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764,552</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691,233</w:t>
            </w: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0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73,319</w:t>
            </w:r>
          </w:p>
        </w:tc>
        <w:tc>
          <w:tcPr>
            <w:tcW w:w="1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0" w:type="dxa"/>
            <w:vAlign w:val="bottom"/>
          </w:tcPr>
          <w:p>
            <w:pPr>
              <w:spacing w:after="0"/>
              <w:rPr>
                <w:sz w:val="1"/>
                <w:szCs w:val="1"/>
                <w:color w:val="auto"/>
              </w:rPr>
            </w:pPr>
          </w:p>
        </w:tc>
      </w:tr>
      <w:tr>
        <w:trPr>
          <w:trHeight w:val="189"/>
        </w:trPr>
        <w:tc>
          <w:tcPr>
            <w:tcW w:w="22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2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expenses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60,922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50,248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10,674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177,687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177,445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242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0" w:type="dxa"/>
            <w:vAlign w:val="bottom"/>
          </w:tcPr>
          <w:p>
            <w:pPr>
              <w:spacing w:after="0"/>
              <w:rPr>
                <w:sz w:val="1"/>
                <w:szCs w:val="1"/>
                <w:color w:val="auto"/>
              </w:rPr>
            </w:pPr>
          </w:p>
        </w:tc>
      </w:tr>
      <w:tr>
        <w:trPr>
          <w:trHeight w:val="205"/>
        </w:trPr>
        <w:tc>
          <w:tcPr>
            <w:tcW w:w="22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14,192</w:t>
            </w: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12,900</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2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1,292</w:t>
            </w:r>
          </w:p>
        </w:tc>
        <w:tc>
          <w:tcPr>
            <w:tcW w:w="1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42,254</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38,135</w:t>
            </w: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0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4,119</w:t>
            </w:r>
          </w:p>
        </w:tc>
        <w:tc>
          <w:tcPr>
            <w:tcW w:w="1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0" w:type="dxa"/>
            <w:vAlign w:val="bottom"/>
          </w:tcPr>
          <w:p>
            <w:pPr>
              <w:spacing w:after="0"/>
              <w:rPr>
                <w:sz w:val="1"/>
                <w:szCs w:val="1"/>
                <w:color w:val="auto"/>
              </w:rPr>
            </w:pPr>
          </w:p>
        </w:tc>
      </w:tr>
      <w:tr>
        <w:trPr>
          <w:trHeight w:val="203"/>
        </w:trPr>
        <w:tc>
          <w:tcPr>
            <w:tcW w:w="22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Other gains and charges</w:t>
            </w:r>
          </w:p>
        </w:tc>
        <w:tc>
          <w:tcPr>
            <w:tcW w:w="2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32,482</w:t>
            </w: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53,371</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(20,889)</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(39.1)%</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125,332</w:t>
            </w:r>
          </w:p>
        </w:tc>
        <w:tc>
          <w:tcPr>
            <w:tcW w:w="1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162,130</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(36,798)</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w:t>
            </w:r>
          </w:p>
        </w:tc>
        <w:tc>
          <w:tcPr>
            <w:tcW w:w="0" w:type="dxa"/>
            <w:vAlign w:val="bottom"/>
          </w:tcPr>
          <w:p>
            <w:pPr>
              <w:spacing w:after="0"/>
              <w:rPr>
                <w:sz w:val="1"/>
                <w:szCs w:val="1"/>
                <w:color w:val="auto"/>
              </w:rPr>
            </w:pPr>
          </w:p>
        </w:tc>
      </w:tr>
      <w:tr>
        <w:trPr>
          <w:trHeight w:val="196"/>
        </w:trPr>
        <w:tc>
          <w:tcPr>
            <w:tcW w:w="224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Total operating expenses</w:t>
            </w:r>
          </w:p>
        </w:tc>
        <w:tc>
          <w:tcPr>
            <w:tcW w:w="2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8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509,038</w:t>
            </w:r>
          </w:p>
        </w:tc>
        <w:tc>
          <w:tcPr>
            <w:tcW w:w="12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510,323</w:t>
            </w:r>
          </w:p>
        </w:tc>
        <w:tc>
          <w:tcPr>
            <w:tcW w:w="12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(1,285)</w:t>
            </w:r>
          </w:p>
        </w:tc>
        <w:tc>
          <w:tcPr>
            <w:tcW w:w="10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CFF0FC"/>
            </w:tcBorders>
            <w:shd w:val="clear" w:color="auto" w:fill="CFF0FC"/>
          </w:tcPr>
          <w:p>
            <w:pPr>
              <w:spacing w:after="0"/>
              <w:rPr>
                <w:sz w:val="17"/>
                <w:szCs w:val="17"/>
                <w:color w:val="auto"/>
              </w:rPr>
            </w:pPr>
          </w:p>
        </w:tc>
        <w:tc>
          <w:tcPr>
            <w:tcW w:w="8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1,558,641</w:t>
            </w:r>
          </w:p>
        </w:tc>
        <w:tc>
          <w:tcPr>
            <w:tcW w:w="120" w:type="dxa"/>
            <w:vAlign w:val="bottom"/>
            <w:tcBorders>
              <w:bottom w:val="single" w:sz="8" w:color="auto"/>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1,518,928</w:t>
            </w:r>
          </w:p>
        </w:tc>
        <w:tc>
          <w:tcPr>
            <w:tcW w:w="10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700" w:type="dxa"/>
            <w:vAlign w:val="bottom"/>
            <w:tcBorders>
              <w:bottom w:val="single" w:sz="8" w:color="auto"/>
            </w:tcBorders>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39,713</w:t>
            </w:r>
          </w:p>
        </w:tc>
        <w:tc>
          <w:tcPr>
            <w:tcW w:w="12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CFF0FC"/>
            </w:tcBorders>
            <w:shd w:val="clear" w:color="auto" w:fill="CFF0FC"/>
          </w:tcPr>
          <w:p>
            <w:pPr>
              <w:spacing w:after="0"/>
              <w:rPr>
                <w:sz w:val="17"/>
                <w:szCs w:val="17"/>
                <w:color w:val="auto"/>
              </w:rPr>
            </w:pPr>
          </w:p>
        </w:tc>
        <w:tc>
          <w:tcPr>
            <w:tcW w:w="8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0" w:type="dxa"/>
            <w:vAlign w:val="bottom"/>
          </w:tcPr>
          <w:p>
            <w:pPr>
              <w:spacing w:after="0"/>
              <w:rPr>
                <w:sz w:val="1"/>
                <w:szCs w:val="1"/>
                <w:color w:val="auto"/>
              </w:rPr>
            </w:pPr>
          </w:p>
        </w:tc>
      </w:tr>
      <w:tr>
        <w:trPr>
          <w:trHeight w:val="196"/>
        </w:trPr>
        <w:tc>
          <w:tcPr>
            <w:tcW w:w="22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Operating profit</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71,181</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52,753</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18,428</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34.9%</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202,878</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166,102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36,776</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22.1%</w:t>
            </w:r>
          </w:p>
        </w:tc>
        <w:tc>
          <w:tcPr>
            <w:tcW w:w="0" w:type="dxa"/>
            <w:vAlign w:val="bottom"/>
          </w:tcPr>
          <w:p>
            <w:pPr>
              <w:spacing w:after="0"/>
              <w:rPr>
                <w:sz w:val="1"/>
                <w:szCs w:val="1"/>
                <w:color w:val="auto"/>
              </w:rPr>
            </w:pPr>
          </w:p>
        </w:tc>
      </w:tr>
      <w:tr>
        <w:trPr>
          <w:trHeight w:val="203"/>
        </w:trPr>
        <w:tc>
          <w:tcPr>
            <w:tcW w:w="22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Debt refinancing charges</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4,894</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(4,894)</w:t>
            </w:r>
          </w:p>
        </w:tc>
        <w:tc>
          <w:tcPr>
            <w:tcW w:w="1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4,894</w:t>
            </w: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(4,894)</w:t>
            </w:r>
          </w:p>
        </w:tc>
        <w:tc>
          <w:tcPr>
            <w:tcW w:w="1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0" w:type="dxa"/>
            <w:vAlign w:val="bottom"/>
          </w:tcPr>
          <w:p>
            <w:pPr>
              <w:spacing w:after="0"/>
              <w:rPr>
                <w:sz w:val="1"/>
                <w:szCs w:val="1"/>
                <w:color w:val="auto"/>
              </w:rPr>
            </w:pPr>
          </w:p>
        </w:tc>
      </w:tr>
      <w:tr>
        <w:trPr>
          <w:trHeight w:val="203"/>
        </w:trPr>
        <w:tc>
          <w:tcPr>
            <w:tcW w:w="2240" w:type="dxa"/>
            <w:vAlign w:val="bottom"/>
          </w:tcPr>
          <w:p>
            <w:pPr>
              <w:spacing w:after="0"/>
              <w:rPr>
                <w:sz w:val="20"/>
                <w:szCs w:val="20"/>
                <w:color w:val="auto"/>
              </w:rPr>
            </w:pPr>
            <w:r>
              <w:rPr>
                <w:rFonts w:ascii="Times New Roman" w:cs="Times New Roman" w:eastAsia="Times New Roman" w:hAnsi="Times New Roman"/>
                <w:sz w:val="16"/>
                <w:szCs w:val="16"/>
                <w:color w:val="auto"/>
              </w:rPr>
              <w:t>Interest expense, net</w:t>
            </w:r>
          </w:p>
        </w:tc>
        <w:tc>
          <w:tcPr>
            <w:tcW w:w="2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24,454</w:t>
            </w: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27,989</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(3,535)</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75,622</w:t>
            </w:r>
          </w:p>
        </w:tc>
        <w:tc>
          <w:tcPr>
            <w:tcW w:w="1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82,978</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(7,356)</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w:t>
            </w:r>
          </w:p>
        </w:tc>
        <w:tc>
          <w:tcPr>
            <w:tcW w:w="0" w:type="dxa"/>
            <w:vAlign w:val="bottom"/>
          </w:tcPr>
          <w:p>
            <w:pPr>
              <w:spacing w:after="0"/>
              <w:rPr>
                <w:sz w:val="1"/>
                <w:szCs w:val="1"/>
                <w:color w:val="auto"/>
              </w:rPr>
            </w:pPr>
          </w:p>
        </w:tc>
      </w:tr>
      <w:tr>
        <w:trPr>
          <w:trHeight w:val="196"/>
        </w:trPr>
        <w:tc>
          <w:tcPr>
            <w:tcW w:w="22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Earnings before income taxes</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46,727</w:t>
            </w: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19,870</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2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26,857</w:t>
            </w:r>
          </w:p>
        </w:tc>
        <w:tc>
          <w:tcPr>
            <w:tcW w:w="1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135.2%</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127,256</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78,230</w:t>
            </w: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0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49,026</w:t>
            </w:r>
          </w:p>
        </w:tc>
        <w:tc>
          <w:tcPr>
            <w:tcW w:w="1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62.7%</w:t>
            </w:r>
          </w:p>
        </w:tc>
        <w:tc>
          <w:tcPr>
            <w:tcW w:w="0" w:type="dxa"/>
            <w:vAlign w:val="bottom"/>
          </w:tcPr>
          <w:p>
            <w:pPr>
              <w:spacing w:after="0"/>
              <w:rPr>
                <w:sz w:val="1"/>
                <w:szCs w:val="1"/>
                <w:color w:val="auto"/>
              </w:rPr>
            </w:pPr>
          </w:p>
        </w:tc>
      </w:tr>
      <w:tr>
        <w:trPr>
          <w:trHeight w:val="203"/>
        </w:trPr>
        <w:tc>
          <w:tcPr>
            <w:tcW w:w="2240" w:type="dxa"/>
            <w:vAlign w:val="bottom"/>
          </w:tcPr>
          <w:p>
            <w:pPr>
              <w:spacing w:after="0"/>
              <w:rPr>
                <w:sz w:val="20"/>
                <w:szCs w:val="20"/>
                <w:color w:val="auto"/>
              </w:rPr>
            </w:pPr>
            <w:r>
              <w:rPr>
                <w:rFonts w:ascii="Times New Roman" w:cs="Times New Roman" w:eastAsia="Times New Roman" w:hAnsi="Times New Roman"/>
                <w:sz w:val="16"/>
                <w:szCs w:val="16"/>
                <w:color w:val="auto"/>
              </w:rPr>
              <w:t>Income tax expense</w:t>
            </w:r>
          </w:p>
        </w:tc>
        <w:tc>
          <w:tcPr>
            <w:tcW w:w="2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12,456</w:t>
            </w: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6,649</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5,807</w:t>
            </w:r>
          </w:p>
        </w:tc>
        <w:tc>
          <w:tcPr>
            <w:tcW w:w="100" w:type="dxa"/>
            <w:vAlign w:val="bottom"/>
            <w:tcBorders>
              <w:bottom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87.3%</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35,612</w:t>
            </w:r>
          </w:p>
        </w:tc>
        <w:tc>
          <w:tcPr>
            <w:tcW w:w="1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24,731</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10,881</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44.0%</w:t>
            </w:r>
          </w:p>
        </w:tc>
        <w:tc>
          <w:tcPr>
            <w:tcW w:w="0" w:type="dxa"/>
            <w:vAlign w:val="bottom"/>
          </w:tcPr>
          <w:p>
            <w:pPr>
              <w:spacing w:after="0"/>
              <w:rPr>
                <w:sz w:val="1"/>
                <w:szCs w:val="1"/>
                <w:color w:val="auto"/>
              </w:rPr>
            </w:pPr>
          </w:p>
        </w:tc>
      </w:tr>
      <w:tr>
        <w:trPr>
          <w:trHeight w:val="216"/>
        </w:trPr>
        <w:tc>
          <w:tcPr>
            <w:tcW w:w="22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Net earnings</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34,271</w:t>
            </w:r>
          </w:p>
        </w:tc>
        <w:tc>
          <w:tcPr>
            <w:tcW w:w="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13,221</w:t>
            </w:r>
          </w:p>
        </w:tc>
        <w:tc>
          <w:tcPr>
            <w:tcW w:w="2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21,050</w:t>
            </w: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159.2%</w:t>
            </w:r>
          </w:p>
        </w:tc>
        <w:tc>
          <w:tcPr>
            <w:tcW w:w="26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91,644</w:t>
            </w:r>
          </w:p>
        </w:tc>
        <w:tc>
          <w:tcPr>
            <w:tcW w:w="38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53,499</w:t>
            </w:r>
          </w:p>
        </w:tc>
        <w:tc>
          <w:tcPr>
            <w:tcW w:w="2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38,145</w:t>
            </w: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71.3%</w:t>
            </w:r>
          </w:p>
        </w:tc>
        <w:tc>
          <w:tcPr>
            <w:tcW w:w="0" w:type="dxa"/>
            <w:vAlign w:val="bottom"/>
          </w:tcPr>
          <w:p>
            <w:pPr>
              <w:spacing w:after="0"/>
              <w:rPr>
                <w:sz w:val="1"/>
                <w:szCs w:val="1"/>
                <w:color w:val="auto"/>
              </w:rPr>
            </w:pPr>
          </w:p>
        </w:tc>
      </w:tr>
      <w:tr>
        <w:trPr>
          <w:trHeight w:val="20"/>
        </w:trPr>
        <w:tc>
          <w:tcPr>
            <w:tcW w:w="224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8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8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2173605</wp:posOffset>
            </wp:positionH>
            <wp:positionV relativeFrom="paragraph">
              <wp:posOffset>-2776855</wp:posOffset>
            </wp:positionV>
            <wp:extent cx="6858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2988310</wp:posOffset>
            </wp:positionH>
            <wp:positionV relativeFrom="paragraph">
              <wp:posOffset>-2776855</wp:posOffset>
            </wp:positionV>
            <wp:extent cx="6858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-2776855</wp:posOffset>
            </wp:positionV>
            <wp:extent cx="6858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-2776855</wp:posOffset>
            </wp:positionV>
            <wp:extent cx="6858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-2776855</wp:posOffset>
            </wp:positionV>
            <wp:extent cx="6858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-2776855</wp:posOffset>
            </wp:positionV>
            <wp:extent cx="6858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2173605</wp:posOffset>
            </wp:positionH>
            <wp:positionV relativeFrom="paragraph">
              <wp:posOffset>-822325</wp:posOffset>
            </wp:positionV>
            <wp:extent cx="6858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2988310</wp:posOffset>
            </wp:positionH>
            <wp:positionV relativeFrom="paragraph">
              <wp:posOffset>-822325</wp:posOffset>
            </wp:positionV>
            <wp:extent cx="6858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-822325</wp:posOffset>
            </wp:positionV>
            <wp:extent cx="6858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-822325</wp:posOffset>
            </wp:positionV>
            <wp:extent cx="6858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-822325</wp:posOffset>
            </wp:positionV>
            <wp:extent cx="6858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-822325</wp:posOffset>
            </wp:positionV>
            <wp:extent cx="6858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2173605</wp:posOffset>
            </wp:positionH>
            <wp:positionV relativeFrom="paragraph">
              <wp:posOffset>-24765</wp:posOffset>
            </wp:positionV>
            <wp:extent cx="6858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2173605</wp:posOffset>
            </wp:positionH>
            <wp:positionV relativeFrom="paragraph">
              <wp:posOffset>-7620</wp:posOffset>
            </wp:positionV>
            <wp:extent cx="6858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2988310</wp:posOffset>
            </wp:positionH>
            <wp:positionV relativeFrom="paragraph">
              <wp:posOffset>-24765</wp:posOffset>
            </wp:positionV>
            <wp:extent cx="6858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2988310</wp:posOffset>
            </wp:positionH>
            <wp:positionV relativeFrom="paragraph">
              <wp:posOffset>-7620</wp:posOffset>
            </wp:positionV>
            <wp:extent cx="6858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-24765</wp:posOffset>
            </wp:positionV>
            <wp:extent cx="6858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-7620</wp:posOffset>
            </wp:positionV>
            <wp:extent cx="6858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-24765</wp:posOffset>
            </wp:positionV>
            <wp:extent cx="6858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-7620</wp:posOffset>
            </wp:positionV>
            <wp:extent cx="6858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-24765</wp:posOffset>
            </wp:positionV>
            <wp:extent cx="6858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-7620</wp:posOffset>
            </wp:positionV>
            <wp:extent cx="6858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-24765</wp:posOffset>
            </wp:positionV>
            <wp:extent cx="6858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-7620</wp:posOffset>
            </wp:positionV>
            <wp:extent cx="6858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September 30, 2026, compared to Three Months Ended September 30, 2025</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Revenue. </w:t>
      </w:r>
      <w:r>
        <w:rPr>
          <w:rFonts w:ascii="Times New Roman" w:cs="Times New Roman" w:eastAsia="Times New Roman" w:hAnsi="Times New Roman"/>
          <w:sz w:val="18"/>
          <w:szCs w:val="18"/>
          <w:color w:val="auto"/>
        </w:rPr>
        <w:t>Total revenues decreased by $18.5 million, or 1.6%, to $1,146.2 million for the three months ended September 30, 2026, from $1,164.7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the three months ended September 30, 2025. This decrease was primarily due to decreases of approximately $40.5 million and $2.1 million in the Acima and Rent-A-Center segments, respectively, partially offset by increases of approximately $21.1 million and $2.9 million in the Brigit and Mexico segments, respectively, as discussed further in the “Segment Performance” section below.</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Cost of Rentals and Fees. </w:t>
      </w:r>
      <w:r>
        <w:rPr>
          <w:rFonts w:ascii="Times New Roman" w:cs="Times New Roman" w:eastAsia="Times New Roman" w:hAnsi="Times New Roman"/>
          <w:sz w:val="18"/>
          <w:szCs w:val="18"/>
          <w:color w:val="auto"/>
        </w:rPr>
        <w:t>Cost of rentals and fees consists primarily of depreciation of rental merchandise. Cost of rentals and fees for the three months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September 30, 2026 decreased by $18.9 million, or 5.2%, to $345.2 million as compared to $364.1 million for the three months ended September 30, 2025. The decrease was primarily attributable to a decrease of approximately $19.5 million in the Acima segment driven by decreases in rentals and fees revenues and merchandise sales revenues. Cost of rentals and fees expressed as a percentage of rentals and fees revenue decreased to 39.2% for the three months ended September 30, 2026, as compared to 40.4% for the three months ended September 30, 2025.</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Cost of Merchandise Sold. </w:t>
      </w:r>
      <w:r>
        <w:rPr>
          <w:rFonts w:ascii="Times New Roman" w:cs="Times New Roman" w:eastAsia="Times New Roman" w:hAnsi="Times New Roman"/>
          <w:sz w:val="18"/>
          <w:szCs w:val="18"/>
          <w:color w:val="auto"/>
        </w:rPr>
        <w:t>Cost of merchandise sold represents the net book value of rental merchandise at time of sale. Cost of merchandise sold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decreased by $18.1 million, or 7.8%, to $212.8 million for the three months ended September 30, 2026, from $230.9 million for the three months ended September 30, 2025, primarily attributable to a decrease of $21.2 million in the Acima segment, driven by lower revenues, partially offset by an increase of approximately $2.9 million in the Rent-A-Center segment. The gross margin percent of merchandise sales decreased to (18.1)% for the three months ended September 30, 2026, from (16.5)% for the three months ended September 30, 2025.</w:t>
      </w:r>
    </w:p>
    <w:p>
      <w:pPr>
        <w:spacing w:after="0" w:line="7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Gross Profit. </w:t>
      </w:r>
      <w:r>
        <w:rPr>
          <w:rFonts w:ascii="Times New Roman" w:cs="Times New Roman" w:eastAsia="Times New Roman" w:hAnsi="Times New Roman"/>
          <w:sz w:val="18"/>
          <w:szCs w:val="18"/>
          <w:color w:val="auto"/>
        </w:rPr>
        <w:t>Gross profit increased by $17.1 million, or 3.0%, to $580.2 million for the three months ended September 30, 2026, from $563.1 million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three months ended September 30, 2025, primarily due to increases of $19.9 million and $2.1 million in the Brigit</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236220</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2" w:name="page33"/>
    <w:bookmarkEnd w:id="32"/>
    <w:p>
      <w:pPr>
        <w:jc w:val="both"/>
        <w:spacing w:after="0" w:line="261" w:lineRule="auto"/>
        <w:rPr>
          <w:sz w:val="20"/>
          <w:szCs w:val="20"/>
          <w:color w:val="auto"/>
        </w:rPr>
      </w:pPr>
      <w:r>
        <w:rPr>
          <w:rFonts w:ascii="Times New Roman" w:cs="Times New Roman" w:eastAsia="Times New Roman" w:hAnsi="Times New Roman"/>
          <w:sz w:val="18"/>
          <w:szCs w:val="18"/>
          <w:color w:val="auto"/>
        </w:rPr>
        <w:t>and Mexico segments, respectively, partially offset by a decrease of $4.9 million in the Rent-A-Center segment, as discussed further in the section “Segment Performance” below. Gross profit as a percentage of total revenue increased to 50.6% for the three months ended September 30, 2026, from 48.3% for the three months ended September 30, 2025, primarily due to mix-shift changes between subscriptions and fees product categories in the Brigit segment and fewer customers exercising early purchase options in the Acima segment.</w:t>
      </w:r>
    </w:p>
    <w:p>
      <w:pPr>
        <w:spacing w:after="0" w:line="7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Operating Labor. </w:t>
      </w:r>
      <w:r>
        <w:rPr>
          <w:rFonts w:ascii="Times New Roman" w:cs="Times New Roman" w:eastAsia="Times New Roman" w:hAnsi="Times New Roman"/>
          <w:sz w:val="18"/>
          <w:szCs w:val="18"/>
          <w:color w:val="auto"/>
        </w:rPr>
        <w:t>Operating labor includes all salaries and wages paid to operational employees and district managers, together with payroll taxes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benefits. Operating labor decreased by $4.3 million or 2.8% to $147.4 million for the three months ended September 30, 2026, as compared to $151.7 million for the three months ended September 30, 2025. Operating labor expressed as a percentage of total revenue was 12.9% for the three months ended September 30, 2026, as compared to 13.0% for the three months ended September 30, 2025.</w:t>
      </w:r>
    </w:p>
    <w:p>
      <w:pPr>
        <w:spacing w:after="0" w:line="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Non-Labor Operating Expenses. </w:t>
      </w:r>
      <w:r>
        <w:rPr>
          <w:rFonts w:ascii="Times New Roman" w:cs="Times New Roman" w:eastAsia="Times New Roman" w:hAnsi="Times New Roman"/>
          <w:sz w:val="18"/>
          <w:szCs w:val="18"/>
          <w:color w:val="auto"/>
        </w:rPr>
        <w:t>Non-labor operating expenses include LCOs, occupancy, delivery, advertising, selling, insurance, travel and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operating expenses. Non-labor operating expenses increased by $11.9 million, or 4.9%, to $254.0 million for the three months ended September 30, 2026, as compared to $242.1 million for the three months ended September 30, 2025, primarily due to increases of $14.1 million, $6.5 million and $1.0 million in the Brigit, Rent-A-Center and Mexico segments, respectively, partially offset by a decrease of $9.6 million in the Acima segment. The increase in the Brigit segment was primarily due to higher customer advance losses and advertising expenses of $7.7 million and $4.1 million, respectively, for the three months ended September 30, 2026, compared to the three months ended September 30, 2025. Non-labor operating expenses expressed as a percentage of total revenue was 22.2% for the three months ended September 30, 2026, compared to 20.8% for the three months ended September 30, 2025.</w:t>
      </w:r>
    </w:p>
    <w:p>
      <w:pPr>
        <w:spacing w:after="0" w:line="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General and Administrative Expenses. </w:t>
      </w:r>
      <w:r>
        <w:rPr>
          <w:rFonts w:ascii="Times New Roman" w:cs="Times New Roman" w:eastAsia="Times New Roman" w:hAnsi="Times New Roman"/>
          <w:sz w:val="18"/>
          <w:szCs w:val="18"/>
          <w:color w:val="auto"/>
        </w:rPr>
        <w:t>General and administrative expenses include all corporate overhead expenses related to our headquarters such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salaries, payroll taxes and benefits, stock-based compensation, occupancy, administrative and other expenses, as well as salaries and labor costs for our regional directors, divisional vice presidents and executive vice presidents. General and administrative expenses increased by $10.7 million, or 21.2%, to $60.9 million for the three months ended September 30, 2026, as compared to $50.2 million for the three months ended September 30, 2025, primarily due to an increase of $9.5 million in Corporate costs driven by higher compensation and outside service costs. General and administrative expenses expressed as a percentage of total revenue was 5.3% for the three months ended September 30, 2026, compared to 4.3% for the three months ended September 30, 2025.</w:t>
      </w:r>
    </w:p>
    <w:p>
      <w:pPr>
        <w:spacing w:after="0" w:line="7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Other Gains and Charges. </w:t>
      </w:r>
      <w:r>
        <w:rPr>
          <w:rFonts w:ascii="Times New Roman" w:cs="Times New Roman" w:eastAsia="Times New Roman" w:hAnsi="Times New Roman"/>
          <w:sz w:val="18"/>
          <w:szCs w:val="18"/>
          <w:color w:val="auto"/>
        </w:rPr>
        <w:t>Other gains and charges decreased by $20.9 million to $32.5 million for the three months ended September 30, 2026,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$53.4 million for the three months ended September 30, 2025. The decrease in other gains and charges was driven primarily by decreases of $12.7 million in estimated legal accruals and related litigation and defense expenses as described in Note 12 of our condensed consolidated financial statements included in this Quarterly Report on Form 10-Q, $11.6 million in asset impairment related to the closure of approximately 50 franchise store locations in the third quarter of 2025 and $5.1 million related to stock compensation expense associated with the vesting of the Brigit acquisition equity consideration, partially offset by an increase of $6.0 million related to store consolidations during the three months ended September 30, 2026.</w:t>
      </w:r>
    </w:p>
    <w:p>
      <w:pPr>
        <w:spacing w:after="0" w:line="7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Operating Profit. </w:t>
      </w:r>
      <w:r>
        <w:rPr>
          <w:rFonts w:ascii="Times New Roman" w:cs="Times New Roman" w:eastAsia="Times New Roman" w:hAnsi="Times New Roman"/>
          <w:sz w:val="18"/>
          <w:szCs w:val="18"/>
          <w:color w:val="auto"/>
        </w:rPr>
        <w:t>Operating profit increased by $18.4 million, or 34.9%, to $71.2 million for the three months ended September 30, 2026, as compared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$52.8 million for the three months ended September 30, 2025, primarily due to an increase in gross profit, in addition to decreases in other gains and charges and operating labor, partially offset by increases in non-labor operating expenses and general and administrative expenses as described above. Operating profit expressed as a percentage of total revenue was 6.2% for the three months ended September 30, 2026, compared to 4.5% for the three months ended September 30, 2025.</w:t>
      </w:r>
    </w:p>
    <w:p>
      <w:pPr>
        <w:spacing w:after="0" w:line="7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Income Tax Expense. </w:t>
      </w:r>
      <w:r>
        <w:rPr>
          <w:rFonts w:ascii="Times New Roman" w:cs="Times New Roman" w:eastAsia="Times New Roman" w:hAnsi="Times New Roman"/>
          <w:sz w:val="18"/>
          <w:szCs w:val="18"/>
          <w:color w:val="auto"/>
        </w:rPr>
        <w:t>Income tax expense increased by $5.9 million to $12.5 million for the three months ended September 30, 2026, as compared to $6.6</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for the three months ended September 30, 2025, primarily due to the increase in earnings before income taxes partially offset by a lower effective tax rate for the three months ended September 30, 2026 compared to the three months ended September 30, 2025.</w:t>
      </w:r>
    </w:p>
    <w:p>
      <w:pPr>
        <w:spacing w:after="0" w:line="17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Nine months ended September 30, 2026, compared to Nine months ended September 30, 2025</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Revenue. </w:t>
      </w:r>
      <w:r>
        <w:rPr>
          <w:rFonts w:ascii="Times New Roman" w:cs="Times New Roman" w:eastAsia="Times New Roman" w:hAnsi="Times New Roman"/>
          <w:sz w:val="18"/>
          <w:szCs w:val="18"/>
          <w:color w:val="auto"/>
        </w:rPr>
        <w:t>Total revenues increased by $30.7 million, or 0.9%, to $3,529.3 million for the nine months ended September 30, 2026, from $3,498.6 million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nine months ended September 30, 2025. This increase was primarily due to increases of approximately $76.2 million and $9.3 million in the Brigit and Mexico segments, respectively, partially offset by decreases of approximately $44.6 million and $10.3 million in the Acima and Rent-A-Center segments, respectively, as discussed further in the “Segment Performance” section below.</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236220</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3" w:name="page34"/>
    <w:bookmarkEnd w:id="33"/>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Cost of Rentals and Fees. </w:t>
      </w:r>
      <w:r>
        <w:rPr>
          <w:rFonts w:ascii="Times New Roman" w:cs="Times New Roman" w:eastAsia="Times New Roman" w:hAnsi="Times New Roman"/>
          <w:sz w:val="18"/>
          <w:szCs w:val="18"/>
          <w:color w:val="auto"/>
        </w:rPr>
        <w:t>Cost of rentals and fees consists primarily of depreciation of rental merchandise. Cost of rentals and fees for the nine months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September 30, 2026 decreased by $21.4 million, or 2.0%, to $1,053.4 million as compared to $1,074.8 million for the nine months ended September 30, 2025. The decrease was primarily attributable to decreases of approximately $17.4 million and $6.4 million in the Acima and Rent-A-Center segments, respectively, partially offset by an increase of approximately $2.5 million in the Mexico segment, driven by an increase in rentals and fees revenue. Cost of rentals and fees expressed as a percentage of rentals and fees revenue decreased to 39.0% for the nine months ended September 30, 2026, as compared to 39.7% for the nine months ended September 30, 2025.</w:t>
      </w:r>
    </w:p>
    <w:p>
      <w:pPr>
        <w:spacing w:after="0" w:line="7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Cost of Merchandise Sold. </w:t>
      </w:r>
      <w:r>
        <w:rPr>
          <w:rFonts w:ascii="Times New Roman" w:cs="Times New Roman" w:eastAsia="Times New Roman" w:hAnsi="Times New Roman"/>
          <w:sz w:val="18"/>
          <w:szCs w:val="18"/>
          <w:color w:val="auto"/>
        </w:rPr>
        <w:t>Cost of merchandise sold represents the net book value of rental merchandise at time of sale. Cost of merchandise sold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decreased by $30.5 million, or 4.2%, to $691.7 million for the nine months ended September 30, 2026, from $722.2 million for the nine months ended September 30, 2025, primarily attributable to a decrease of $38.0 million in the Acima segment, driven by lower merchandise sales, partially offset by an increase of approximately $6.7 million in the Rent-A-Center segment. The gross margin percent of merchandise sales decreased to (16.6)% for the nine months ended September 30, 2026, from (15.3)% for the nine months ended September 30, 2025.</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Gross Profit. </w:t>
      </w:r>
      <w:r>
        <w:rPr>
          <w:rFonts w:ascii="Times New Roman" w:cs="Times New Roman" w:eastAsia="Times New Roman" w:hAnsi="Times New Roman"/>
          <w:sz w:val="18"/>
          <w:szCs w:val="18"/>
          <w:color w:val="auto"/>
        </w:rPr>
        <w:t>Gross profit increased by $76.5 million, or 4.5%, to $1,761.5 million for the nine months ended September 30, 2026, from $1,685.0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the nine months ended September 30, 2025, primarily due to increases of $70.1 million, $10.9 million and $6.0 million in the Brigit, Acima and Mexico segments, respectively, partially offset by a decrease of $10.5 million in the Rent-A-Center segment, as discussed further in the section “Segment Performance” below. Gross profit as a percentage of total revenue increased to 49.9% for the nine months ended September 30, 2026, from 48.2% for the nine months ended September 30, 2025.</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Operating Labor. </w:t>
      </w:r>
      <w:r>
        <w:rPr>
          <w:rFonts w:ascii="Times New Roman" w:cs="Times New Roman" w:eastAsia="Times New Roman" w:hAnsi="Times New Roman"/>
          <w:sz w:val="18"/>
          <w:szCs w:val="18"/>
          <w:color w:val="auto"/>
        </w:rPr>
        <w:t>Operating labor includes all salaries and wages paid to operational employees and district managers, together with payroll taxes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benefits. Operating labor decreased by $1.2 million to $448.8 million for the nine months ended September 30, 2026, as compared to $450.0 million for the nine months ended September 30, 2025. Operating labor expressed as a percentage of total revenue was 12.7% for the nine months ended September 30, 2026, as compared to 12.9% for the nine months ended September 30, 2025.</w:t>
      </w:r>
    </w:p>
    <w:p>
      <w:pPr>
        <w:spacing w:after="0" w:line="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Non-Labor Operating Expenses. </w:t>
      </w:r>
      <w:r>
        <w:rPr>
          <w:rFonts w:ascii="Times New Roman" w:cs="Times New Roman" w:eastAsia="Times New Roman" w:hAnsi="Times New Roman"/>
          <w:sz w:val="18"/>
          <w:szCs w:val="18"/>
          <w:color w:val="auto"/>
        </w:rPr>
        <w:t>Non-labor operating expenses include LCOs, occupancy, delivery, advertising, selling, insurance, travel and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operating expenses. Non-labor operating expenses increased by $73.4 million, or 10.6%, to $764.6 million for the nine months ended September 30, 2026, as compared to $691.2 million for the nine months ended September 30, 2025, due to increases of $54.2 million, $20.9 million and $4.5 million in the Brigit, Rent-A-Center, and Mexico segments, respectively, partially offset by a decrease of $6.2 million in the Acima segment. The increase in the Brigit segment was partially due to the nine months ended September 30, 2025 including only eight months of expenses after the Closing Date, in addition to higher net advance losses and advertising expenses of $24.2 million and $22.6 million, respectively. Non-labor operating expenses expressed as a percentage of total revenue was 21.7% for the nine months ended September 30, 2026, compared to 19.8% for the nine months ended September 30, 2025.</w:t>
      </w:r>
    </w:p>
    <w:p>
      <w:pPr>
        <w:spacing w:after="0" w:line="7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General and Administrative Expenses. </w:t>
      </w:r>
      <w:r>
        <w:rPr>
          <w:rFonts w:ascii="Times New Roman" w:cs="Times New Roman" w:eastAsia="Times New Roman" w:hAnsi="Times New Roman"/>
          <w:sz w:val="18"/>
          <w:szCs w:val="18"/>
          <w:color w:val="auto"/>
        </w:rPr>
        <w:t>General and administrative expenses include all corporate overhead expenses related to our headquarters such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salaries, payroll taxes and benefits, stock-based compensation, occupancy, administrative and other expenses, as well as salaries and labor costs for our regional directors, divisional vice presidents and executive vice presidents. General and administrative expenses increased by $0.3 million, or 0.1%, to $177.7 million for the nine months ended September 30, 2026, as compared to $177.4 million for the nine months ended September 30, 2025. General and administrative expenses expressed as a percentage of total revenue was 5.0% for the nine months ended September 30, 2026, compared to 5.1% for the nine months ended September 30, 2025.</w:t>
      </w:r>
    </w:p>
    <w:p>
      <w:pPr>
        <w:spacing w:after="0" w:line="7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Other Gains and Charges. </w:t>
      </w:r>
      <w:r>
        <w:rPr>
          <w:rFonts w:ascii="Times New Roman" w:cs="Times New Roman" w:eastAsia="Times New Roman" w:hAnsi="Times New Roman"/>
          <w:sz w:val="18"/>
          <w:szCs w:val="18"/>
          <w:color w:val="auto"/>
        </w:rPr>
        <w:t>Other gains and charges decreased by $36.8 million or 22.7% to $125.3 million for the nine months ended September 30, 2026,</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compared to $162.1 million for the nine months ended September 30, 2025. The decrease in other gains and charges was driven primarily by decreases of $52.9 million in estimated legal accruals and related litigation and defense expenses as described in Note 12 of our condensed consolidated financial statements included in this Quarterly Report on Form 10-Q and $10.3 million in asset impairment primarily related to the closure of approximately 50 franchise store locations in the third quarter of 2025, partially offset by increases of $13.3 million related to Acima fraudulent lease-to-own contract losses and $9.9 million related to store consolidations in the first half of 2026.</w:t>
      </w:r>
    </w:p>
    <w:p>
      <w:pPr>
        <w:spacing w:after="0" w:line="7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Operating Profit. </w:t>
      </w:r>
      <w:r>
        <w:rPr>
          <w:rFonts w:ascii="Times New Roman" w:cs="Times New Roman" w:eastAsia="Times New Roman" w:hAnsi="Times New Roman"/>
          <w:sz w:val="18"/>
          <w:szCs w:val="18"/>
          <w:color w:val="auto"/>
        </w:rPr>
        <w:t>Operating profit increased by $36.8 million, or 22.1%, to $202.9 million for the nine months ended September 30, 2026, as compared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$166.1 million for the nine months ended September 30, 2025, primarily due to increases in revenues and gross profit, in addition to a decrease in other gains and charges, partially offset by an increase in non-labor operating expenses, as described above. Operating profit expressed as a percentage of total revenue was 5.7% for the nine months ended September 30, 2026, compared to 4.7% for the nine months ended September 30, 2025.</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34" w:name="page35"/>
    <w:bookmarkEnd w:id="34"/>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Income Tax Expense. </w:t>
      </w:r>
      <w:r>
        <w:rPr>
          <w:rFonts w:ascii="Times New Roman" w:cs="Times New Roman" w:eastAsia="Times New Roman" w:hAnsi="Times New Roman"/>
          <w:sz w:val="18"/>
          <w:szCs w:val="18"/>
          <w:color w:val="auto"/>
        </w:rPr>
        <w:t>Income tax expense increased by $10.9 million to $35.6 million for the nine months ended September 30, 2026, as compared to $24.7</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for the nine months ended September 30, 2025, primarily due to the increase in earnings before income taxes partially offset by a lower effective tax rate for the nine months ended September 30, 2026 compared to the nine months ended September 30, 2025.</w:t>
      </w:r>
    </w:p>
    <w:p>
      <w:pPr>
        <w:spacing w:after="0" w:line="13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Segment Performance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Acima segment</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0" w:type="dxa"/>
            <w:vAlign w:val="bottom"/>
            <w:gridSpan w:val="4"/>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0" w:type="dxa"/>
            <w:vAlign w:val="bottom"/>
            <w:gridSpan w:val="3"/>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12"/>
        </w:trPr>
        <w:tc>
          <w:tcPr>
            <w:tcW w:w="27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gridSpan w:val="4"/>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00" w:type="dxa"/>
            <w:vAlign w:val="bottom"/>
          </w:tcPr>
          <w:p>
            <w:pPr>
              <w:spacing w:after="0"/>
              <w:rPr>
                <w:sz w:val="18"/>
                <w:szCs w:val="18"/>
                <w:color w:val="auto"/>
              </w:rPr>
            </w:pPr>
          </w:p>
        </w:tc>
        <w:tc>
          <w:tcPr>
            <w:tcW w:w="1160" w:type="dxa"/>
            <w:vAlign w:val="bottom"/>
            <w:tcBorders>
              <w:bottom w:val="single" w:sz="8" w:color="auto"/>
            </w:tcBorders>
            <w:gridSpan w:val="3"/>
          </w:tcPr>
          <w:p>
            <w:pPr>
              <w:ind w:left="56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7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gridSpan w:val="3"/>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20" w:type="dxa"/>
            <w:vAlign w:val="bottom"/>
          </w:tcPr>
          <w:p>
            <w:pPr>
              <w:spacing w:after="0"/>
              <w:rPr>
                <w:sz w:val="18"/>
                <w:szCs w:val="18"/>
                <w:color w:val="auto"/>
              </w:rPr>
            </w:pPr>
          </w:p>
        </w:tc>
        <w:tc>
          <w:tcPr>
            <w:tcW w:w="1200" w:type="dxa"/>
            <w:vAlign w:val="bottom"/>
            <w:tcBorders>
              <w:bottom w:val="single" w:sz="8" w:color="auto"/>
            </w:tcBorders>
            <w:gridSpan w:val="3"/>
          </w:tcPr>
          <w:p>
            <w:pPr>
              <w:ind w:left="60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740" w:type="dxa"/>
            <w:vAlign w:val="bottom"/>
            <w:tcBorders>
              <w:bottom w:val="single" w:sz="8" w:color="auto"/>
            </w:tcBorders>
          </w:tcPr>
          <w:p>
            <w:pPr>
              <w:spacing w:after="0"/>
              <w:rPr>
                <w:sz w:val="18"/>
                <w:szCs w:val="18"/>
                <w:color w:val="auto"/>
              </w:rPr>
            </w:pPr>
          </w:p>
        </w:tc>
      </w:tr>
      <w:tr>
        <w:trPr>
          <w:trHeight w:val="202"/>
        </w:trPr>
        <w:tc>
          <w:tcPr>
            <w:tcW w:w="274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(dollar amounts in thousands)</w:t>
            </w: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7"/>
                <w:szCs w:val="17"/>
                <w:color w:val="auto"/>
              </w:rPr>
            </w:pPr>
          </w:p>
        </w:tc>
        <w:tc>
          <w:tcPr>
            <w:tcW w:w="86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Pr>
          <w:p>
            <w:pPr>
              <w:spacing w:after="0"/>
              <w:rPr>
                <w:sz w:val="17"/>
                <w:szCs w:val="17"/>
                <w:color w:val="auto"/>
              </w:rPr>
            </w:pPr>
          </w:p>
        </w:tc>
        <w:tc>
          <w:tcPr>
            <w:tcW w:w="104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Pr>
          <w:p>
            <w:pPr>
              <w:spacing w:after="0"/>
              <w:rPr>
                <w:sz w:val="17"/>
                <w:szCs w:val="17"/>
                <w:color w:val="auto"/>
              </w:rPr>
            </w:pPr>
          </w:p>
        </w:tc>
        <w:tc>
          <w:tcPr>
            <w:tcW w:w="84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196"/>
        </w:trPr>
        <w:tc>
          <w:tcPr>
            <w:tcW w:w="27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Revenues</w:t>
            </w:r>
          </w:p>
        </w:tc>
        <w:tc>
          <w:tcPr>
            <w:tcW w:w="1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584,725</w:t>
            </w:r>
          </w:p>
        </w:tc>
        <w:tc>
          <w:tcPr>
            <w:tcW w:w="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625,272</w:t>
            </w: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  (40,547)</w:t>
            </w: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(6.5)%  $</w:t>
            </w:r>
          </w:p>
        </w:tc>
        <w:tc>
          <w:tcPr>
            <w:tcW w:w="8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1,836,943</w:t>
            </w:r>
          </w:p>
        </w:tc>
        <w:tc>
          <w:tcPr>
            <w:tcW w:w="114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  1,881,526</w:t>
            </w: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  (44,583)</w:t>
            </w:r>
          </w:p>
        </w:tc>
        <w:tc>
          <w:tcPr>
            <w:tcW w:w="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w:t>
            </w:r>
          </w:p>
        </w:tc>
      </w:tr>
      <w:tr>
        <w:trPr>
          <w:trHeight w:val="203"/>
        </w:trPr>
        <w:tc>
          <w:tcPr>
            <w:tcW w:w="2740" w:type="dxa"/>
            <w:vAlign w:val="bottom"/>
          </w:tcPr>
          <w:p>
            <w:pPr>
              <w:spacing w:after="0"/>
              <w:rPr>
                <w:sz w:val="20"/>
                <w:szCs w:val="20"/>
                <w:color w:val="auto"/>
              </w:rPr>
            </w:pPr>
            <w:r>
              <w:rPr>
                <w:rFonts w:ascii="Times New Roman" w:cs="Times New Roman" w:eastAsia="Times New Roman" w:hAnsi="Times New Roman"/>
                <w:sz w:val="16"/>
                <w:szCs w:val="16"/>
                <w:color w:val="auto"/>
              </w:rPr>
              <w:t>Gross profit</w:t>
            </w:r>
          </w:p>
        </w:tc>
        <w:tc>
          <w:tcPr>
            <w:tcW w:w="180" w:type="dxa"/>
            <w:vAlign w:val="bottom"/>
          </w:tcPr>
          <w:p>
            <w:pPr>
              <w:spacing w:after="0"/>
              <w:rPr>
                <w:sz w:val="17"/>
                <w:szCs w:val="17"/>
                <w:color w:val="auto"/>
              </w:rPr>
            </w:pPr>
          </w:p>
        </w:tc>
        <w:tc>
          <w:tcPr>
            <w:tcW w:w="8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183,367</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183,277</w:t>
            </w:r>
          </w:p>
        </w:tc>
        <w:tc>
          <w:tcPr>
            <w:tcW w:w="96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90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575,614</w:t>
            </w:r>
          </w:p>
        </w:tc>
        <w:tc>
          <w:tcPr>
            <w:tcW w:w="114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564,717</w:t>
            </w:r>
          </w:p>
        </w:tc>
        <w:tc>
          <w:tcPr>
            <w:tcW w:w="96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10,897</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r>
      <w:tr>
        <w:trPr>
          <w:trHeight w:val="203"/>
        </w:trPr>
        <w:tc>
          <w:tcPr>
            <w:tcW w:w="27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Operating profit</w:t>
            </w:r>
          </w:p>
        </w:tc>
        <w:tc>
          <w:tcPr>
            <w:tcW w:w="180" w:type="dxa"/>
            <w:vAlign w:val="bottom"/>
            <w:shd w:val="clear" w:color="auto" w:fill="CFF0FC"/>
          </w:tcPr>
          <w:p>
            <w:pPr>
              <w:spacing w:after="0"/>
              <w:rPr>
                <w:sz w:val="17"/>
                <w:szCs w:val="17"/>
                <w:color w:val="auto"/>
              </w:rPr>
            </w:pPr>
          </w:p>
        </w:tc>
        <w:tc>
          <w:tcPr>
            <w:tcW w:w="8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74,693</w:t>
            </w: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63,687</w:t>
            </w:r>
          </w:p>
        </w:tc>
        <w:tc>
          <w:tcPr>
            <w:tcW w:w="96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11,006</w:t>
            </w: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17.3%</w:t>
            </w: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225,403</w:t>
            </w:r>
          </w:p>
        </w:tc>
        <w:tc>
          <w:tcPr>
            <w:tcW w:w="114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219,398</w:t>
            </w:r>
          </w:p>
        </w:tc>
        <w:tc>
          <w:tcPr>
            <w:tcW w:w="96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6,005</w:t>
            </w:r>
          </w:p>
        </w:tc>
        <w:tc>
          <w:tcPr>
            <w:tcW w:w="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w:t>
            </w:r>
          </w:p>
        </w:tc>
      </w:tr>
      <w:tr>
        <w:trPr>
          <w:trHeight w:val="286"/>
        </w:trPr>
        <w:tc>
          <w:tcPr>
            <w:tcW w:w="2740" w:type="dxa"/>
            <w:vAlign w:val="bottom"/>
          </w:tcPr>
          <w:p>
            <w:pPr>
              <w:spacing w:after="0"/>
              <w:rPr>
                <w:sz w:val="20"/>
                <w:szCs w:val="20"/>
                <w:color w:val="auto"/>
              </w:rPr>
            </w:pPr>
            <w:r>
              <w:rPr>
                <w:rFonts w:ascii="Times New Roman" w:cs="Times New Roman" w:eastAsia="Times New Roman" w:hAnsi="Times New Roman"/>
                <w:sz w:val="16"/>
                <w:szCs w:val="16"/>
                <w:color w:val="auto"/>
              </w:rPr>
              <w:t>Gross merchandise volume</w:t>
            </w:r>
            <w:r>
              <w:rPr>
                <w:rFonts w:ascii="Times New Roman" w:cs="Times New Roman" w:eastAsia="Times New Roman" w:hAnsi="Times New Roman"/>
                <w:sz w:val="21"/>
                <w:szCs w:val="21"/>
                <w:color w:val="auto"/>
                <w:vertAlign w:val="superscript"/>
              </w:rPr>
              <w:t>(1)</w:t>
            </w:r>
          </w:p>
        </w:tc>
        <w:tc>
          <w:tcPr>
            <w:tcW w:w="180" w:type="dxa"/>
            <w:vAlign w:val="bottom"/>
          </w:tcPr>
          <w:p>
            <w:pPr>
              <w:spacing w:after="0"/>
              <w:rPr>
                <w:sz w:val="24"/>
                <w:szCs w:val="24"/>
                <w:color w:val="auto"/>
              </w:rPr>
            </w:pPr>
          </w:p>
        </w:tc>
        <w:tc>
          <w:tcPr>
            <w:tcW w:w="8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430,790</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484,030</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(53,240)</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1,324,069</w:t>
            </w:r>
          </w:p>
        </w:tc>
        <w:tc>
          <w:tcPr>
            <w:tcW w:w="114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1,460,255</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(136,186)</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w:t>
            </w:r>
          </w:p>
        </w:tc>
      </w:tr>
    </w:tbl>
    <w:p>
      <w:pPr>
        <w:spacing w:after="0" w:line="2" w:lineRule="exact"/>
        <w:rPr>
          <w:sz w:val="20"/>
          <w:szCs w:val="20"/>
          <w:color w:val="auto"/>
        </w:rPr>
      </w:pPr>
    </w:p>
    <w:p>
      <w:pPr>
        <w:ind w:left="180" w:hanging="172"/>
        <w:spacing w:after="0"/>
        <w:tabs>
          <w:tab w:leader="none" w:pos="180" w:val="left"/>
        </w:tabs>
        <w:numPr>
          <w:ilvl w:val="0"/>
          <w:numId w:val="20"/>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See Key Metrics described above for additional information.</w:t>
      </w:r>
    </w:p>
    <w:p>
      <w:pPr>
        <w:spacing w:after="0" w:line="1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Revenues</w:t>
      </w:r>
      <w:r>
        <w:rPr>
          <w:rFonts w:ascii="Times New Roman" w:cs="Times New Roman" w:eastAsia="Times New Roman" w:hAnsi="Times New Roman"/>
          <w:sz w:val="18"/>
          <w:szCs w:val="18"/>
          <w:color w:val="auto"/>
        </w:rPr>
        <w:t>. The decrease in revenues for the three months ended September 30, 2026 as compared to the three months ended September 30, 2025 was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primarily due to a decreases in rentals and fees and merchandise sales revenues of $27.1 million and $13.3 million, respectively, driven by lower GMV. In addition the decrease in revenues for the nine months ended September 30, 2026, as compared to the nine months ended September 30, 2025 was due to decreases in rentals and fees and merchandise sales revenues of $23.6 million and $20.7 million, respectively.</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Gross Profit. </w:t>
      </w:r>
      <w:r>
        <w:rPr>
          <w:rFonts w:ascii="Times New Roman" w:cs="Times New Roman" w:eastAsia="Times New Roman" w:hAnsi="Times New Roman"/>
          <w:sz w:val="18"/>
          <w:szCs w:val="18"/>
          <w:color w:val="auto"/>
        </w:rPr>
        <w:t>Gross profit increased for the three and nine months ended September 30, 2026 as compared to the three and nine months ended September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30, 2025, primarily driven by fewer customers exercising early purchase options. Gross profit as a percentage of segment revenues increased to 31.4% and 31.3% for the three and nine months ended September 30, 2026, respectively, compared to 29.3% and 30.0% for the three and nine months ended September 30, 2025, respectively, primarily due to fewer customers exercising early purchase options.</w:t>
      </w:r>
    </w:p>
    <w:p>
      <w:pPr>
        <w:spacing w:after="0" w:line="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Operating Profit. </w:t>
      </w:r>
      <w:r>
        <w:rPr>
          <w:rFonts w:ascii="Times New Roman" w:cs="Times New Roman" w:eastAsia="Times New Roman" w:hAnsi="Times New Roman"/>
          <w:sz w:val="18"/>
          <w:szCs w:val="18"/>
          <w:color w:val="auto"/>
        </w:rPr>
        <w:t>Operating profit as a percentage of segment revenues increased to 12.8% and 12.3% for the three and nine months ended September 30,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2026, respectively, compared to 10.2% and 11.7% for the three and nine months ended September 30, 2025, respectively, primarily due to the increase in gross profit margin described above. Merchandise losses in our Acima locations due to LCOs, expressed as a percentage of segment revenues, were approximately 8.7% and 8.8% for the three and nine months ended September 30, 2026, respectively, compared to 9.7% and 9.3% for the three and nine months ended September 30, 2025, respectively. Merchandise losses in our Acima locations due to other merchandise losses, expressed as a percentage of segment revenues, were approximately 0.6% and 0.5% for the three and nine months ended September 30, 2026, respectively, compared to 0.4% for both the three and nine months ended September 30, 2025, respectively.</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Rent-A-Center segment</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80" w:type="dxa"/>
            <w:vAlign w:val="bottom"/>
            <w:gridSpan w:val="4"/>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0" w:type="dxa"/>
            <w:vAlign w:val="bottom"/>
            <w:gridSpan w:val="3"/>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12"/>
        </w:trPr>
        <w:tc>
          <w:tcPr>
            <w:tcW w:w="2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gridSpan w:val="4"/>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00" w:type="dxa"/>
            <w:vAlign w:val="bottom"/>
          </w:tcPr>
          <w:p>
            <w:pPr>
              <w:spacing w:after="0"/>
              <w:rPr>
                <w:sz w:val="18"/>
                <w:szCs w:val="18"/>
                <w:color w:val="auto"/>
              </w:rPr>
            </w:pPr>
          </w:p>
        </w:tc>
        <w:tc>
          <w:tcPr>
            <w:tcW w:w="1180" w:type="dxa"/>
            <w:vAlign w:val="bottom"/>
            <w:tcBorders>
              <w:bottom w:val="single" w:sz="8" w:color="auto"/>
            </w:tcBorders>
            <w:gridSpan w:val="3"/>
          </w:tcPr>
          <w:p>
            <w:pPr>
              <w:ind w:left="60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7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gridSpan w:val="3"/>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00" w:type="dxa"/>
            <w:vAlign w:val="bottom"/>
          </w:tcPr>
          <w:p>
            <w:pPr>
              <w:spacing w:after="0"/>
              <w:rPr>
                <w:sz w:val="18"/>
                <w:szCs w:val="18"/>
                <w:color w:val="auto"/>
              </w:rPr>
            </w:pPr>
          </w:p>
        </w:tc>
        <w:tc>
          <w:tcPr>
            <w:tcW w:w="1220" w:type="dxa"/>
            <w:vAlign w:val="bottom"/>
            <w:tcBorders>
              <w:bottom w:val="single" w:sz="8" w:color="auto"/>
            </w:tcBorders>
            <w:gridSpan w:val="3"/>
          </w:tcPr>
          <w:p>
            <w:pPr>
              <w:ind w:left="62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780" w:type="dxa"/>
            <w:vAlign w:val="bottom"/>
            <w:tcBorders>
              <w:bottom w:val="single" w:sz="8" w:color="auto"/>
            </w:tcBorders>
          </w:tcPr>
          <w:p>
            <w:pPr>
              <w:spacing w:after="0"/>
              <w:rPr>
                <w:sz w:val="18"/>
                <w:szCs w:val="18"/>
                <w:color w:val="auto"/>
              </w:rPr>
            </w:pPr>
          </w:p>
        </w:tc>
      </w:tr>
      <w:tr>
        <w:trPr>
          <w:trHeight w:val="202"/>
        </w:trPr>
        <w:tc>
          <w:tcPr>
            <w:tcW w:w="246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(dollar amounts in thousands)</w:t>
            </w:r>
          </w:p>
        </w:tc>
        <w:tc>
          <w:tcPr>
            <w:tcW w:w="2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7"/>
                <w:szCs w:val="17"/>
                <w:color w:val="auto"/>
              </w:rPr>
            </w:pPr>
          </w:p>
        </w:tc>
        <w:tc>
          <w:tcPr>
            <w:tcW w:w="84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Pr>
          <w:p>
            <w:pPr>
              <w:spacing w:after="0"/>
              <w:rPr>
                <w:sz w:val="17"/>
                <w:szCs w:val="17"/>
                <w:color w:val="auto"/>
              </w:rPr>
            </w:pPr>
          </w:p>
        </w:tc>
        <w:tc>
          <w:tcPr>
            <w:tcW w:w="104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7"/>
                <w:szCs w:val="17"/>
                <w:color w:val="auto"/>
              </w:rPr>
            </w:pPr>
          </w:p>
        </w:tc>
        <w:tc>
          <w:tcPr>
            <w:tcW w:w="84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196"/>
        </w:trPr>
        <w:tc>
          <w:tcPr>
            <w:tcW w:w="24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Revenues</w:t>
            </w:r>
          </w:p>
        </w:tc>
        <w:tc>
          <w:tcPr>
            <w:tcW w:w="4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459,045</w:t>
            </w:r>
          </w:p>
        </w:tc>
        <w:tc>
          <w:tcPr>
            <w:tcW w:w="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461,090</w:t>
            </w: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   (2,045)</w:t>
            </w: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2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1,407,031</w:t>
            </w:r>
          </w:p>
        </w:tc>
        <w:tc>
          <w:tcPr>
            <w:tcW w:w="114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  1,417,233</w:t>
            </w: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  (10,202)</w:t>
            </w:r>
          </w:p>
        </w:tc>
        <w:tc>
          <w:tcPr>
            <w:tcW w:w="1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(0.7)%</w:t>
            </w:r>
          </w:p>
        </w:tc>
      </w:tr>
      <w:tr>
        <w:trPr>
          <w:trHeight w:val="203"/>
        </w:trPr>
        <w:tc>
          <w:tcPr>
            <w:tcW w:w="2460" w:type="dxa"/>
            <w:vAlign w:val="bottom"/>
          </w:tcPr>
          <w:p>
            <w:pPr>
              <w:spacing w:after="0"/>
              <w:rPr>
                <w:sz w:val="20"/>
                <w:szCs w:val="20"/>
                <w:color w:val="auto"/>
              </w:rPr>
            </w:pPr>
            <w:r>
              <w:rPr>
                <w:rFonts w:ascii="Times New Roman" w:cs="Times New Roman" w:eastAsia="Times New Roman" w:hAnsi="Times New Roman"/>
                <w:sz w:val="16"/>
                <w:szCs w:val="16"/>
                <w:color w:val="auto"/>
              </w:rPr>
              <w:t>Gross profit</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309,172</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314,025</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(4,853)</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943,319</w:t>
            </w:r>
          </w:p>
        </w:tc>
        <w:tc>
          <w:tcPr>
            <w:tcW w:w="114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953,809</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(10,490)</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r>
      <w:tr>
        <w:trPr>
          <w:trHeight w:val="203"/>
        </w:trPr>
        <w:tc>
          <w:tcPr>
            <w:tcW w:w="24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Operating profit</w:t>
            </w: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55,613</w:t>
            </w: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56,420</w:t>
            </w: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(807)</w:t>
            </w: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172,549</w:t>
            </w:r>
          </w:p>
        </w:tc>
        <w:tc>
          <w:tcPr>
            <w:tcW w:w="114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185,836</w:t>
            </w: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(13,287)</w:t>
            </w:r>
          </w:p>
        </w:tc>
        <w:tc>
          <w:tcPr>
            <w:tcW w:w="1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(7.1)%</w:t>
            </w:r>
          </w:p>
        </w:tc>
      </w:tr>
      <w:tr>
        <w:trPr>
          <w:trHeight w:val="203"/>
        </w:trPr>
        <w:tc>
          <w:tcPr>
            <w:tcW w:w="2460" w:type="dxa"/>
            <w:vAlign w:val="bottom"/>
          </w:tcPr>
          <w:p>
            <w:pPr>
              <w:spacing w:after="0" w:line="203" w:lineRule="exact"/>
              <w:rPr>
                <w:sz w:val="20"/>
                <w:szCs w:val="20"/>
                <w:color w:val="auto"/>
              </w:rPr>
            </w:pPr>
            <w:r>
              <w:rPr>
                <w:rFonts w:ascii="Times New Roman" w:cs="Times New Roman" w:eastAsia="Times New Roman" w:hAnsi="Times New Roman"/>
                <w:sz w:val="16"/>
                <w:szCs w:val="16"/>
                <w:color w:val="auto"/>
              </w:rPr>
              <w:t>Lease portfolio value</w:t>
            </w:r>
            <w:r>
              <w:rPr>
                <w:rFonts w:ascii="Times New Roman" w:cs="Times New Roman" w:eastAsia="Times New Roman" w:hAnsi="Times New Roman"/>
                <w:sz w:val="21"/>
                <w:szCs w:val="21"/>
                <w:color w:val="auto"/>
                <w:vertAlign w:val="superscript"/>
              </w:rPr>
              <w:t>(1)</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128,506</w:t>
            </w:r>
          </w:p>
        </w:tc>
        <w:tc>
          <w:tcPr>
            <w:tcW w:w="114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129,374</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(868)</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w:t>
            </w:r>
          </w:p>
        </w:tc>
      </w:tr>
      <w:tr>
        <w:trPr>
          <w:trHeight w:val="203"/>
        </w:trPr>
        <w:tc>
          <w:tcPr>
            <w:tcW w:w="2460" w:type="dxa"/>
            <w:vAlign w:val="bottom"/>
            <w:shd w:val="clear" w:color="auto" w:fill="CFF0FC"/>
          </w:tcPr>
          <w:p>
            <w:pPr>
              <w:spacing w:after="0" w:line="203" w:lineRule="exact"/>
              <w:rPr>
                <w:sz w:val="20"/>
                <w:szCs w:val="20"/>
                <w:color w:val="auto"/>
              </w:rPr>
            </w:pPr>
            <w:r>
              <w:rPr>
                <w:rFonts w:ascii="Times New Roman" w:cs="Times New Roman" w:eastAsia="Times New Roman" w:hAnsi="Times New Roman"/>
                <w:sz w:val="16"/>
                <w:szCs w:val="16"/>
                <w:color w:val="auto"/>
              </w:rPr>
              <w:t>Same store lease portfolio value</w:t>
            </w:r>
            <w:r>
              <w:rPr>
                <w:rFonts w:ascii="Times New Roman" w:cs="Times New Roman" w:eastAsia="Times New Roman" w:hAnsi="Times New Roman"/>
                <w:sz w:val="21"/>
                <w:szCs w:val="21"/>
                <w:color w:val="auto"/>
                <w:vertAlign w:val="superscript"/>
              </w:rPr>
              <w:t>(1)</w:t>
            </w: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105,774</w:t>
            </w:r>
          </w:p>
        </w:tc>
        <w:tc>
          <w:tcPr>
            <w:tcW w:w="114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105,262</w:t>
            </w:r>
          </w:p>
        </w:tc>
        <w:tc>
          <w:tcPr>
            <w:tcW w:w="94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512</w:t>
            </w:r>
          </w:p>
        </w:tc>
        <w:tc>
          <w:tcPr>
            <w:tcW w:w="1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0.5%</w:t>
            </w:r>
          </w:p>
        </w:tc>
      </w:tr>
      <w:tr>
        <w:trPr>
          <w:trHeight w:val="203"/>
        </w:trPr>
        <w:tc>
          <w:tcPr>
            <w:tcW w:w="2460" w:type="dxa"/>
            <w:vAlign w:val="bottom"/>
          </w:tcPr>
          <w:p>
            <w:pPr>
              <w:spacing w:after="0" w:line="203" w:lineRule="exact"/>
              <w:rPr>
                <w:sz w:val="20"/>
                <w:szCs w:val="20"/>
                <w:color w:val="auto"/>
              </w:rPr>
            </w:pPr>
            <w:r>
              <w:rPr>
                <w:rFonts w:ascii="Times New Roman" w:cs="Times New Roman" w:eastAsia="Times New Roman" w:hAnsi="Times New Roman"/>
                <w:sz w:val="16"/>
                <w:szCs w:val="16"/>
                <w:color w:val="auto"/>
              </w:rPr>
              <w:t>Change in same store revenue</w:t>
            </w:r>
            <w:r>
              <w:rPr>
                <w:rFonts w:ascii="Times New Roman" w:cs="Times New Roman" w:eastAsia="Times New Roman" w:hAnsi="Times New Roman"/>
                <w:sz w:val="21"/>
                <w:szCs w:val="21"/>
                <w:color w:val="auto"/>
                <w:vertAlign w:val="superscript"/>
              </w:rPr>
              <w:t>(1)</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r>
      <w:tr>
        <w:trPr>
          <w:trHeight w:val="189"/>
        </w:trPr>
        <w:tc>
          <w:tcPr>
            <w:tcW w:w="24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Stores in same store revenue</w:t>
            </w:r>
          </w:p>
        </w:tc>
        <w:tc>
          <w:tcPr>
            <w:tcW w:w="2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r>
      <w:tr>
        <w:trPr>
          <w:trHeight w:val="216"/>
        </w:trPr>
        <w:tc>
          <w:tcPr>
            <w:tcW w:w="24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calculation</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1,386</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8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1,386</w:t>
            </w:r>
          </w:p>
        </w:tc>
      </w:tr>
    </w:tbl>
    <w:p>
      <w:pPr>
        <w:spacing w:after="0" w:line="86" w:lineRule="exact"/>
        <w:rPr>
          <w:sz w:val="20"/>
          <w:szCs w:val="20"/>
          <w:color w:val="auto"/>
        </w:rPr>
      </w:pPr>
    </w:p>
    <w:p>
      <w:pPr>
        <w:ind w:left="180" w:hanging="172"/>
        <w:spacing w:after="0"/>
        <w:tabs>
          <w:tab w:leader="none" w:pos="180" w:val="left"/>
        </w:tabs>
        <w:numPr>
          <w:ilvl w:val="0"/>
          <w:numId w:val="21"/>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See Key Metrics described above for additional information.</w:t>
      </w:r>
    </w:p>
    <w:p>
      <w:pPr>
        <w:spacing w:after="0" w:line="1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Revenues. </w:t>
      </w:r>
      <w:r>
        <w:rPr>
          <w:rFonts w:ascii="Times New Roman" w:cs="Times New Roman" w:eastAsia="Times New Roman" w:hAnsi="Times New Roman"/>
          <w:sz w:val="18"/>
          <w:szCs w:val="18"/>
          <w:color w:val="auto"/>
        </w:rPr>
        <w:t>The decrease in revenue for the three and nine months ended September 30, 2026, as compared to the three and nine months ended September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30, 2025, was primarily due to decreases in merchandise sales of $4.7 million and $13.2 million, respectively, primarily resulting from fewer customers electing early purchase options and decreases in other revenue of $2.3 million and $9.1 million, respectively, due to lower franchise revenues, partially offset by increases in rentals and fees of $5.0 million and $12.0 million, respectively.</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236220</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35" w:name="page36"/>
    <w:bookmarkEnd w:id="35"/>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Gross Profit. </w:t>
      </w:r>
      <w:r>
        <w:rPr>
          <w:rFonts w:ascii="Times New Roman" w:cs="Times New Roman" w:eastAsia="Times New Roman" w:hAnsi="Times New Roman"/>
          <w:sz w:val="18"/>
          <w:szCs w:val="18"/>
          <w:color w:val="auto"/>
        </w:rPr>
        <w:t>Gross profit decreased for the three and nine months ended September 30, 2026, as compared to the three and nine months ended September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30, 2025, driven primarily by the decrease in revenues described above. Gross profit as a percentage of segment revenues was 67.4% and 67.0% for the three and nine months ended September 30, 2026, respectively, and 68.1% and 67.3% for the three and nine months ended September 30, 2025, respectively.</w:t>
      </w:r>
    </w:p>
    <w:p>
      <w:pPr>
        <w:spacing w:after="0" w:line="7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Operating Profit. </w:t>
      </w:r>
      <w:r>
        <w:rPr>
          <w:rFonts w:ascii="Times New Roman" w:cs="Times New Roman" w:eastAsia="Times New Roman" w:hAnsi="Times New Roman"/>
          <w:sz w:val="18"/>
          <w:szCs w:val="18"/>
          <w:color w:val="auto"/>
        </w:rPr>
        <w:t>Operating profit as a percentage of segment revenues was 12.1% and 12.3% for the three and nine months ended September 30, 2026,</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respectively, compared to 12.2% and 13.1% for the three and nine months ended September 30, 2025, respectively. The decrease in operating profit margin for the three and nine months ended September 30, 2026, as compared to the three and nine months ended September 30, 2025, was partially driven by the decrease in gross profit described above, in addition to increases in merchandise losses, advertising expenses, and insurance costs. Merchandise losses in our company-owned Rent-A-Center lease-to-own stores due to LCOs, expressed as a percentage of Rent-A-Center lease-to-own revenues, were approximately 5.4% and 5.0% for the three and nine months ended September 30, 2026, respectively, compared to 4.7% for both the three and nine months ended September 30, 2025. Other merchandise losses in our company-owned Rent-A-Center lease-to-own stores, expressed as a percentage of Rent-A-Center lease-to-own revenues, were approximately 1.1% and 1.0% for the three and nine months ended September 30, 2026, respectively, compared to 1.0% and 0.9% for the three and nine months ended September 30, 2025, respectively. Other merchandise losses include unrepairable and missing merchandise and loss/damage waiver claims.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Brigit segment</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0" w:type="dxa"/>
            <w:vAlign w:val="bottom"/>
            <w:gridSpan w:val="4"/>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20" w:type="dxa"/>
            <w:vAlign w:val="bottom"/>
            <w:gridSpan w:val="4"/>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12"/>
        </w:trPr>
        <w:tc>
          <w:tcPr>
            <w:tcW w:w="2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gridSpan w:val="4"/>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20" w:type="dxa"/>
            <w:vAlign w:val="bottom"/>
          </w:tcPr>
          <w:p>
            <w:pPr>
              <w:spacing w:after="0"/>
              <w:rPr>
                <w:sz w:val="18"/>
                <w:szCs w:val="18"/>
                <w:color w:val="auto"/>
              </w:rPr>
            </w:pPr>
          </w:p>
        </w:tc>
        <w:tc>
          <w:tcPr>
            <w:tcW w:w="1160" w:type="dxa"/>
            <w:vAlign w:val="bottom"/>
            <w:tcBorders>
              <w:bottom w:val="single" w:sz="8" w:color="auto"/>
            </w:tcBorders>
            <w:gridSpan w:val="3"/>
          </w:tcPr>
          <w:p>
            <w:pPr>
              <w:ind w:left="56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6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gridSpan w:val="4"/>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00" w:type="dxa"/>
            <w:vAlign w:val="bottom"/>
          </w:tcPr>
          <w:p>
            <w:pPr>
              <w:spacing w:after="0"/>
              <w:rPr>
                <w:sz w:val="18"/>
                <w:szCs w:val="18"/>
                <w:color w:val="auto"/>
              </w:rPr>
            </w:pPr>
          </w:p>
        </w:tc>
        <w:tc>
          <w:tcPr>
            <w:tcW w:w="1220" w:type="dxa"/>
            <w:vAlign w:val="bottom"/>
            <w:tcBorders>
              <w:bottom w:val="single" w:sz="8" w:color="auto"/>
            </w:tcBorders>
            <w:gridSpan w:val="3"/>
          </w:tcPr>
          <w:p>
            <w:pPr>
              <w:ind w:left="62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700" w:type="dxa"/>
            <w:vAlign w:val="bottom"/>
            <w:tcBorders>
              <w:bottom w:val="single" w:sz="8" w:color="auto"/>
            </w:tcBorders>
          </w:tcPr>
          <w:p>
            <w:pPr>
              <w:spacing w:after="0"/>
              <w:rPr>
                <w:sz w:val="18"/>
                <w:szCs w:val="18"/>
                <w:color w:val="auto"/>
              </w:rPr>
            </w:pPr>
          </w:p>
        </w:tc>
      </w:tr>
      <w:tr>
        <w:trPr>
          <w:trHeight w:val="202"/>
        </w:trPr>
        <w:tc>
          <w:tcPr>
            <w:tcW w:w="228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(dollar amounts in thousands)</w:t>
            </w:r>
          </w:p>
        </w:tc>
        <w:tc>
          <w:tcPr>
            <w:tcW w:w="5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Pr>
          <w:p>
            <w:pPr>
              <w:spacing w:after="0"/>
              <w:rPr>
                <w:sz w:val="17"/>
                <w:szCs w:val="17"/>
                <w:color w:val="auto"/>
              </w:rPr>
            </w:pPr>
          </w:p>
        </w:tc>
        <w:tc>
          <w:tcPr>
            <w:tcW w:w="84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7"/>
                <w:szCs w:val="17"/>
                <w:color w:val="auto"/>
              </w:rPr>
            </w:pPr>
          </w:p>
        </w:tc>
        <w:tc>
          <w:tcPr>
            <w:tcW w:w="86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196"/>
        </w:trPr>
        <w:tc>
          <w:tcPr>
            <w:tcW w:w="22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Revenues</w:t>
            </w:r>
          </w:p>
        </w:tc>
        <w:tc>
          <w:tcPr>
            <w:tcW w:w="7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78,775</w:t>
            </w:r>
          </w:p>
        </w:tc>
        <w:tc>
          <w:tcPr>
            <w:tcW w:w="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57,663</w:t>
            </w:r>
          </w:p>
        </w:tc>
        <w:tc>
          <w:tcPr>
            <w:tcW w:w="96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   21,112</w:t>
            </w: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36.6%</w:t>
            </w:r>
          </w:p>
        </w:tc>
        <w:tc>
          <w:tcPr>
            <w:tcW w:w="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217,589</w:t>
            </w:r>
          </w:p>
        </w:tc>
        <w:tc>
          <w:tcPr>
            <w:tcW w:w="2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141,414</w:t>
            </w:r>
          </w:p>
        </w:tc>
        <w:tc>
          <w:tcPr>
            <w:tcW w:w="96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   76,175</w:t>
            </w:r>
          </w:p>
        </w:tc>
        <w:tc>
          <w:tcPr>
            <w:tcW w:w="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53.9%</w:t>
            </w:r>
          </w:p>
        </w:tc>
      </w:tr>
      <w:tr>
        <w:trPr>
          <w:trHeight w:val="203"/>
        </w:trPr>
        <w:tc>
          <w:tcPr>
            <w:tcW w:w="2280" w:type="dxa"/>
            <w:vAlign w:val="bottom"/>
          </w:tcPr>
          <w:p>
            <w:pPr>
              <w:spacing w:after="0"/>
              <w:rPr>
                <w:sz w:val="20"/>
                <w:szCs w:val="20"/>
                <w:color w:val="auto"/>
              </w:rPr>
            </w:pPr>
            <w:r>
              <w:rPr>
                <w:rFonts w:ascii="Times New Roman" w:cs="Times New Roman" w:eastAsia="Times New Roman" w:hAnsi="Times New Roman"/>
                <w:sz w:val="16"/>
                <w:szCs w:val="16"/>
                <w:color w:val="auto"/>
              </w:rPr>
              <w:t>Gross profit</w:t>
            </w: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70,874</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51,032</w:t>
            </w:r>
          </w:p>
        </w:tc>
        <w:tc>
          <w:tcPr>
            <w:tcW w:w="96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19,842</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38.9%</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194,853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124,791</w:t>
            </w:r>
          </w:p>
        </w:tc>
        <w:tc>
          <w:tcPr>
            <w:tcW w:w="96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70,062</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56.1%</w:t>
            </w:r>
          </w:p>
        </w:tc>
      </w:tr>
      <w:tr>
        <w:trPr>
          <w:trHeight w:val="203"/>
        </w:trPr>
        <w:tc>
          <w:tcPr>
            <w:tcW w:w="22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Operating profit</w:t>
            </w:r>
          </w:p>
        </w:tc>
        <w:tc>
          <w:tcPr>
            <w:tcW w:w="5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8,857</w:t>
            </w: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4,569</w:t>
            </w:r>
          </w:p>
        </w:tc>
        <w:tc>
          <w:tcPr>
            <w:tcW w:w="96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4,288</w:t>
            </w: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93.8%</w:t>
            </w: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34,931</w:t>
            </w: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23,870</w:t>
            </w:r>
          </w:p>
        </w:tc>
        <w:tc>
          <w:tcPr>
            <w:tcW w:w="96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11,061</w:t>
            </w:r>
          </w:p>
        </w:tc>
        <w:tc>
          <w:tcPr>
            <w:tcW w:w="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46.3%</w:t>
            </w:r>
          </w:p>
        </w:tc>
      </w:tr>
      <w:tr>
        <w:trPr>
          <w:trHeight w:val="286"/>
        </w:trPr>
        <w:tc>
          <w:tcPr>
            <w:tcW w:w="2280" w:type="dxa"/>
            <w:vAlign w:val="bottom"/>
          </w:tcPr>
          <w:p>
            <w:pPr>
              <w:spacing w:after="0"/>
              <w:rPr>
                <w:sz w:val="20"/>
                <w:szCs w:val="20"/>
                <w:color w:val="auto"/>
              </w:rPr>
            </w:pPr>
            <w:r>
              <w:rPr>
                <w:rFonts w:ascii="Times New Roman" w:cs="Times New Roman" w:eastAsia="Times New Roman" w:hAnsi="Times New Roman"/>
                <w:sz w:val="16"/>
                <w:szCs w:val="16"/>
                <w:color w:val="auto"/>
              </w:rPr>
              <w:t>Brigit paying users</w:t>
            </w:r>
            <w:r>
              <w:rPr>
                <w:rFonts w:ascii="Times New Roman" w:cs="Times New Roman" w:eastAsia="Times New Roman" w:hAnsi="Times New Roman"/>
                <w:sz w:val="21"/>
                <w:szCs w:val="21"/>
                <w:color w:val="auto"/>
                <w:vertAlign w:val="superscript"/>
              </w:rPr>
              <w:t>(1)</w:t>
            </w: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1,838,794</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1,443,832</w:t>
            </w: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r>
    </w:tbl>
    <w:p>
      <w:pPr>
        <w:spacing w:after="0" w:line="47" w:lineRule="exact"/>
        <w:rPr>
          <w:sz w:val="20"/>
          <w:szCs w:val="20"/>
          <w:color w:val="auto"/>
        </w:rPr>
      </w:pPr>
    </w:p>
    <w:p>
      <w:pPr>
        <w:ind w:left="120" w:hanging="112"/>
        <w:spacing w:after="0"/>
        <w:tabs>
          <w:tab w:leader="none" w:pos="120" w:val="left"/>
        </w:tabs>
        <w:numPr>
          <w:ilvl w:val="0"/>
          <w:numId w:val="22"/>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0"/>
          <w:szCs w:val="10"/>
          <w:color w:val="auto"/>
        </w:rPr>
        <w:t>See Key Metrics described above for additional information.</w:t>
      </w:r>
    </w:p>
    <w:p>
      <w:pPr>
        <w:spacing w:after="0" w:line="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Revenues. </w:t>
      </w:r>
      <w:r>
        <w:rPr>
          <w:rFonts w:ascii="Times New Roman" w:cs="Times New Roman" w:eastAsia="Times New Roman" w:hAnsi="Times New Roman"/>
          <w:sz w:val="18"/>
          <w:szCs w:val="18"/>
          <w:color w:val="auto"/>
        </w:rPr>
        <w:t>The increase in revenues for the three and nine months ended September 30, 2026 as compared to the three and nine months ended September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30, 2025 was primarily due to an increase in Brigit subscription customers, in addition to the nine months ended September 30, 2025 including only eight months of revenues after the Closing Date. The Brigit segment revenues included increases of $51.4 million, $11.4 million and $11.4 million in subscription revenue, transfer fee revenue and marketplace revenue, for the nine months ended September 30, 2026, respectively.</w:t>
      </w:r>
    </w:p>
    <w:p>
      <w:pPr>
        <w:spacing w:after="0" w:line="7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Gross Profit. </w:t>
      </w:r>
      <w:r>
        <w:rPr>
          <w:rFonts w:ascii="Times New Roman" w:cs="Times New Roman" w:eastAsia="Times New Roman" w:hAnsi="Times New Roman"/>
          <w:sz w:val="18"/>
          <w:szCs w:val="18"/>
          <w:color w:val="auto"/>
        </w:rPr>
        <w:t>Gross profit as a percentage of segment revenues was 90.0% and 89.6% for the three and nine months ended September 30, 2026,</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respectively, as compared to 88.5% and 88.2% for the three and nine months ended September 30, 2025, respectively. The increase was primarily due to mix-shift changes between subscriptions and fees product categories.</w:t>
      </w:r>
    </w:p>
    <w:p>
      <w:pPr>
        <w:spacing w:after="0" w:line="6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Operating Profit. </w:t>
      </w:r>
      <w:r>
        <w:rPr>
          <w:rFonts w:ascii="Times New Roman" w:cs="Times New Roman" w:eastAsia="Times New Roman" w:hAnsi="Times New Roman"/>
          <w:sz w:val="18"/>
          <w:szCs w:val="18"/>
          <w:color w:val="auto"/>
        </w:rPr>
        <w:t>Operating profit as a percentage of segment revenues was 11.2% and 16.1% for the three and nine months ended September 30, 2026,</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respectively, compared to 7.9% and 16.9% for the three and nine months ended September 30, 2025, respectively. The decrease in the operating profit margin for the three months ended September 30, 2026 was primarily driven by increases in net advance losses and advertising expenses. Net advance losses expressed as a percentage of total cash advances originated were approximately 4.4% and 3.9% for the three and nine months ended September 30, 2026. Net advance losses expressed as a percentage of total cash advances originated were approximately 3.3% and 2.8% for the three and nine months ended September 30, 2025, respectively.</w:t>
      </w:r>
    </w:p>
    <w:p>
      <w:pPr>
        <w:spacing w:after="0" w:line="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Please refer to Note 2 to our condensed consolidated financial statements included in this Quarterly Report on Form 10-Q for information about the acquisition of Brigit that was completed on January 31, 2025.</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i w:val="1"/>
          <w:iCs w:val="1"/>
          <w:color w:val="auto"/>
        </w:rPr>
        <w:t>Mexico segment</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40" w:type="dxa"/>
            <w:vAlign w:val="bottom"/>
            <w:gridSpan w:val="4"/>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80" w:type="dxa"/>
            <w:vAlign w:val="bottom"/>
            <w:gridSpan w:val="4"/>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15"/>
        </w:trPr>
        <w:tc>
          <w:tcPr>
            <w:tcW w:w="2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gridSpan w:val="4"/>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3"/>
          </w:tcPr>
          <w:p>
            <w:pPr>
              <w:ind w:left="36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6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gridSpan w:val="4"/>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3"/>
          </w:tcPr>
          <w:p>
            <w:pPr>
              <w:ind w:left="40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700" w:type="dxa"/>
            <w:vAlign w:val="bottom"/>
            <w:tcBorders>
              <w:bottom w:val="single" w:sz="8" w:color="auto"/>
            </w:tcBorders>
          </w:tcPr>
          <w:p>
            <w:pPr>
              <w:spacing w:after="0"/>
              <w:rPr>
                <w:sz w:val="18"/>
                <w:szCs w:val="18"/>
                <w:color w:val="auto"/>
              </w:rPr>
            </w:pPr>
          </w:p>
        </w:tc>
      </w:tr>
      <w:tr>
        <w:trPr>
          <w:trHeight w:val="199"/>
        </w:trPr>
        <w:tc>
          <w:tcPr>
            <w:tcW w:w="270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(dollar amounts in thousands)</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196"/>
        </w:trPr>
        <w:tc>
          <w:tcPr>
            <w:tcW w:w="27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Revenues</w:t>
            </w:r>
          </w:p>
        </w:tc>
        <w:tc>
          <w:tcPr>
            <w:tcW w:w="2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23,616</w:t>
            </w:r>
          </w:p>
        </w:tc>
        <w:tc>
          <w:tcPr>
            <w:tcW w:w="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20,692</w:t>
            </w:r>
          </w:p>
        </w:tc>
        <w:tc>
          <w:tcPr>
            <w:tcW w:w="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2,924</w:t>
            </w: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14.1%</w:t>
            </w:r>
          </w:p>
        </w:tc>
        <w:tc>
          <w:tcPr>
            <w:tcW w:w="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67,753</w:t>
            </w:r>
          </w:p>
        </w:tc>
        <w:tc>
          <w:tcPr>
            <w:tcW w:w="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58,443</w:t>
            </w:r>
          </w:p>
        </w:tc>
        <w:tc>
          <w:tcPr>
            <w:tcW w:w="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9,310</w:t>
            </w:r>
          </w:p>
        </w:tc>
        <w:tc>
          <w:tcPr>
            <w:tcW w:w="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15.9%</w:t>
            </w:r>
          </w:p>
        </w:tc>
      </w:tr>
      <w:tr>
        <w:trPr>
          <w:trHeight w:val="203"/>
        </w:trPr>
        <w:tc>
          <w:tcPr>
            <w:tcW w:w="2700" w:type="dxa"/>
            <w:vAlign w:val="bottom"/>
          </w:tcPr>
          <w:p>
            <w:pPr>
              <w:spacing w:after="0"/>
              <w:rPr>
                <w:sz w:val="20"/>
                <w:szCs w:val="20"/>
                <w:color w:val="auto"/>
              </w:rPr>
            </w:pPr>
            <w:r>
              <w:rPr>
                <w:rFonts w:ascii="Times New Roman" w:cs="Times New Roman" w:eastAsia="Times New Roman" w:hAnsi="Times New Roman"/>
                <w:sz w:val="16"/>
                <w:szCs w:val="16"/>
                <w:color w:val="auto"/>
              </w:rPr>
              <w:t>Gross profit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16,806</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14,742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2,064</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47,733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41,713</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6,020</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w:t>
            </w:r>
          </w:p>
        </w:tc>
      </w:tr>
      <w:tr>
        <w:trPr>
          <w:trHeight w:val="203"/>
        </w:trPr>
        <w:tc>
          <w:tcPr>
            <w:tcW w:w="27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Operating profit (loss)</w:t>
            </w: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1,390</w:t>
            </w: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1,314</w:t>
            </w: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6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76</w:t>
            </w: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1,025</w:t>
            </w: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4,473</w:t>
            </w: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(3,448)</w:t>
            </w:r>
          </w:p>
        </w:tc>
        <w:tc>
          <w:tcPr>
            <w:tcW w:w="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70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nm</w:t>
            </w:r>
          </w:p>
        </w:tc>
      </w:tr>
      <w:tr>
        <w:trPr>
          <w:trHeight w:val="203"/>
        </w:trPr>
        <w:tc>
          <w:tcPr>
            <w:tcW w:w="2700" w:type="dxa"/>
            <w:vAlign w:val="bottom"/>
          </w:tcPr>
          <w:p>
            <w:pPr>
              <w:spacing w:after="0" w:line="203" w:lineRule="exact"/>
              <w:rPr>
                <w:sz w:val="20"/>
                <w:szCs w:val="20"/>
                <w:color w:val="auto"/>
              </w:rPr>
            </w:pPr>
            <w:r>
              <w:rPr>
                <w:rFonts w:ascii="Times New Roman" w:cs="Times New Roman" w:eastAsia="Times New Roman" w:hAnsi="Times New Roman"/>
                <w:sz w:val="16"/>
                <w:szCs w:val="16"/>
                <w:color w:val="auto"/>
              </w:rPr>
              <w:t>Change in same store revenue</w:t>
            </w:r>
            <w:r>
              <w:rPr>
                <w:rFonts w:ascii="Times New Roman" w:cs="Times New Roman" w:eastAsia="Times New Roman" w:hAnsi="Times New Roman"/>
                <w:sz w:val="21"/>
                <w:szCs w:val="21"/>
                <w:color w:val="auto"/>
                <w:vertAlign w:val="superscript"/>
              </w:rPr>
              <w:t>(1)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w:t>
            </w:r>
          </w:p>
        </w:tc>
      </w:tr>
      <w:tr>
        <w:trPr>
          <w:trHeight w:val="203"/>
        </w:trPr>
        <w:tc>
          <w:tcPr>
            <w:tcW w:w="27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Stores in same store revenue calculation</w:t>
            </w: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66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114</w:t>
            </w: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70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114</w:t>
            </w:r>
          </w:p>
        </w:tc>
      </w:tr>
    </w:tbl>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nm - percent change is not meaningful for comparison</w:t>
      </w:r>
    </w:p>
    <w:p>
      <w:pPr>
        <w:ind w:left="180" w:hanging="172"/>
        <w:spacing w:after="0" w:line="200" w:lineRule="auto"/>
        <w:tabs>
          <w:tab w:leader="none" w:pos="180" w:val="left"/>
        </w:tabs>
        <w:numPr>
          <w:ilvl w:val="0"/>
          <w:numId w:val="23"/>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See Key Metrics described above for additional information.</w:t>
      </w:r>
    </w:p>
    <w:p>
      <w:pPr>
        <w:spacing w:after="0" w:line="1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Revenues. </w:t>
      </w:r>
      <w:r>
        <w:rPr>
          <w:rFonts w:ascii="Times New Roman" w:cs="Times New Roman" w:eastAsia="Times New Roman" w:hAnsi="Times New Roman"/>
          <w:sz w:val="18"/>
          <w:szCs w:val="18"/>
          <w:color w:val="auto"/>
        </w:rPr>
        <w:t>Revenues were positively impacted by exchange rate fluctuations of approximately $1.8 million and $7.3 million for the three and nine months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September 30, 2026, respectively, as compared to the three and nine months ended September 30, 2025. On a constant currency basis, revenues for the three and nine months ended September 30, 2026 increased approximately $1.1 million and $2.0 million, respectively, compared to the three and nine months ended September 30, 2025.</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Gross Profit. </w:t>
      </w:r>
      <w:r>
        <w:rPr>
          <w:rFonts w:ascii="Times New Roman" w:cs="Times New Roman" w:eastAsia="Times New Roman" w:hAnsi="Times New Roman"/>
          <w:sz w:val="18"/>
          <w:szCs w:val="18"/>
          <w:color w:val="auto"/>
        </w:rPr>
        <w:t>Gross profit was positively impacted by exchange rate fluctuations of approximately $1.3 million and $5.1 million for the three and nine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months ended September 30, 2026, respectively, as compared to the three and nine months ended September 30, 2025. On a constant currency basis, gross profit for the three and nine months ended September 30, 2026, increased by approximately $0.8 million and $0.9 million, respectively, as compared to the three and nine months ended September 30, 2025. Gross profit as a percentage of segment revenues was 71.2% and 70.5% for the three and nine months ended September 30, 2026, respectively, compared to 71.2% and 71.4% for the three and nine months ended September 30, 2025, respectively.</w:t>
      </w:r>
    </w:p>
    <w:p>
      <w:pPr>
        <w:spacing w:after="0" w:line="7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Operating Profit. </w:t>
      </w:r>
      <w:r>
        <w:rPr>
          <w:rFonts w:ascii="Times New Roman" w:cs="Times New Roman" w:eastAsia="Times New Roman" w:hAnsi="Times New Roman"/>
          <w:sz w:val="18"/>
          <w:szCs w:val="18"/>
          <w:color w:val="auto"/>
        </w:rPr>
        <w:t>Operating profit was positively impacted by exchange rate fluctuations of approximately $0.1 million for both the three and nine months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September 30, 2026, as compared to the three and nine months ended September 30, 2025. On a constant currency basis, operating profit remained flat for the three months ended September 30, 2026 compared to the three months ended September 30, 2025. On a constant currency basis, operating profit for the nine months ended September 30, 2026 decreased by approximately $3.5 million as compared to the nine months ended September 30, 2025. Operating profit as a percentage of segment revenues decreased to 5.9% and 1.5% for the three and nine months ended September 30, 2026, respectively, compared to 6.4% and 7.7% for the three and nine months ended September 30, 2025.</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Overview. </w:t>
      </w:r>
      <w:r>
        <w:rPr>
          <w:rFonts w:ascii="Times New Roman" w:cs="Times New Roman" w:eastAsia="Times New Roman" w:hAnsi="Times New Roman"/>
          <w:sz w:val="18"/>
          <w:szCs w:val="18"/>
          <w:color w:val="auto"/>
        </w:rPr>
        <w:t>For the nine months ended September 30, 2026, net cash provided by operating activities was $457.1 million, and we received $260.0 million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cash proceeds from indebtedness. During the same period, we used $485.6 million for debt repayments, $69.5 million for dividends, $69.0 million for customer cash advance originations net of collections, and $47.6 million for capital expenditures. We ended the third quarter of 2026 with $125.1 million of cash and cash equivalents and outstanding indebtedness of $1.4 billion.</w:t>
      </w:r>
    </w:p>
    <w:p>
      <w:pPr>
        <w:spacing w:after="0" w:line="7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Analysis of Cash Flow. </w:t>
      </w:r>
      <w:r>
        <w:rPr>
          <w:rFonts w:ascii="Times New Roman" w:cs="Times New Roman" w:eastAsia="Times New Roman" w:hAnsi="Times New Roman"/>
          <w:sz w:val="18"/>
          <w:szCs w:val="18"/>
          <w:color w:val="auto"/>
        </w:rPr>
        <w:t>Cash provided by operating activities increased by $193.1 million to $457.1 million for the nine months ended September 30, 2026,</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$264.0 million for the nine months ended September 30, 2025, primarily due to an increase of approximately $7.4 million in cash provided by net earnings (net earnings less adjustments to reconcile net earnings to net cash provided by operating activities), a tax refund received of $35.1 million and lower inventory purchases of approximately $182.4 million, net of a decrease of approximately $60.7 million of customer lease buyouts through early purchase options, lease charge-offs, and other merchandise losses, driven by lower inventory purchases in the Acima segment resulting from a 9.3% decrease in GMV for the nine months ended September 30, 2026. These impacts were partially offset by payment of legal settlements of $18.9 million and a year-over-year increase of approximately $44.3 million in payments of outstanding inventory and trade payables primarily due to higher payments of outstanding inventory payables made for the nine months ended September 30, 2026.</w:t>
      </w:r>
    </w:p>
    <w:p>
      <w:pPr>
        <w:spacing w:after="0" w:line="79"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Cash used in investing activities decreased by $259.3 million to $115.6 million for the nine months ended September 30, 2026, compared to $374.9 million for the nine months ended September 30, 2025, primarily due to payment of cash consideration for the acquisition of Brigit of $275.9 million for the nine months ended September 30, 2025, and a decrease of $1.7 million in capital expenditures for the nine months ended September 30, 2026, partially offset by an increase of $21.3 million in net originations and collections of customer cash advances.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3" w:right="339" w:bottom="1440" w:gutter="0" w:footer="0" w:header="0"/>
        </w:sectPr>
      </w:pPr>
    </w:p>
    <w:bookmarkStart w:id="37" w:name="page38"/>
    <w:bookmarkEnd w:id="37"/>
    <w:p>
      <w:pPr>
        <w:jc w:val="both"/>
        <w:spacing w:after="0" w:line="258" w:lineRule="auto"/>
        <w:rPr>
          <w:sz w:val="20"/>
          <w:szCs w:val="20"/>
          <w:color w:val="auto"/>
        </w:rPr>
      </w:pPr>
      <w:r>
        <w:rPr>
          <w:rFonts w:ascii="Times New Roman" w:cs="Times New Roman" w:eastAsia="Times New Roman" w:hAnsi="Times New Roman"/>
          <w:sz w:val="18"/>
          <w:szCs w:val="18"/>
          <w:color w:val="auto"/>
        </w:rPr>
        <w:t>Cash used in financing activities was $(337.0) million for the nine months ended September 30, 2026, compared to cash provided of $156.0 million for the nine months ended September 30, 2025. The change in cash used in financing activities compared to the prior year period resulted from lower proceeds from indebtedness of $421.0 million during the nine months ended September 30, 2026, in addition to higher repayments of outstanding borrowings of $41.2 million and payment of the first installment of the Deferred Consideration of $37.5 million related to the Brigit acquisition as mentioned in Note 2. Cash provided from debt proceeds for the nine months ended September 30, 2025 was primarily utilized for the Brigit acquisition.</w:t>
      </w:r>
    </w:p>
    <w:p>
      <w:pPr>
        <w:spacing w:after="0" w:line="7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Liquidity Requirements</w:t>
      </w:r>
      <w:r>
        <w:rPr>
          <w:rFonts w:ascii="Times New Roman" w:cs="Times New Roman" w:eastAsia="Times New Roman" w:hAnsi="Times New Roman"/>
          <w:sz w:val="18"/>
          <w:szCs w:val="18"/>
          <w:color w:val="auto"/>
        </w:rPr>
        <w:t>. Our primary liquidity requirements are for rental merchandise purchases in our Acima and Rent-A-Center segments, which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impacted by consumer demand for our lease-to-own solutions, and customer advances in our Brigit segment. Other capital requirements include expenditures for technology and property assets, and debt service. Our primary source of liquidity has been cash provided by operations.</w:t>
      </w:r>
    </w:p>
    <w:p>
      <w:pPr>
        <w:spacing w:after="0" w:line="6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generally utilize our ABL Credit Facility for the issuance of letters of credit to manage normal fluctuations in operational cash flow caused by the timing of cash payments relative to cash receipts, and to potentially fund strategic initiatives including acquisitions. In that regard, we may from time to time draw funds under the ABL Credit Facility for general corporate purposes. Amounts are drawn as needed due to the timing of cash flows and are generally paid down as cash is generated by our operating activities. We believe cash flow generated from operations and availability under our ABL Credit Facility will be sufficient to fund our operations during the next twelve months. At October 22, 2026, we had approximately $73.5 million in cash on hand and $456.2 million available under our ABL Credit Facility.</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Merchandise Losses</w:t>
      </w:r>
      <w:r>
        <w:rPr>
          <w:rFonts w:ascii="Times New Roman" w:cs="Times New Roman" w:eastAsia="Times New Roman" w:hAnsi="Times New Roman"/>
          <w:sz w:val="18"/>
          <w:szCs w:val="18"/>
          <w:color w:val="auto"/>
        </w:rPr>
        <w:t>. Merchandise losses consist of the following:</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70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500" w:type="dxa"/>
            <w:vAlign w:val="bottom"/>
            <w:tcBorders>
              <w:bottom w:val="single" w:sz="8" w:color="auto"/>
            </w:tcBorders>
            <w:gridSpan w:val="4"/>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520" w:type="dxa"/>
            <w:vAlign w:val="bottom"/>
            <w:tcBorders>
              <w:bottom w:val="single" w:sz="8" w:color="auto"/>
            </w:tcBorders>
            <w:gridSpan w:val="4"/>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42"/>
        </w:trPr>
        <w:tc>
          <w:tcPr>
            <w:tcW w:w="57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437"/>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4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45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457"/>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4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7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10"/>
        </w:trPr>
        <w:tc>
          <w:tcPr>
            <w:tcW w:w="5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Lease charge-offs</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78,378</w:t>
            </w:r>
          </w:p>
        </w:tc>
        <w:tc>
          <w:tcPr>
            <w:tcW w:w="40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85,307</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245,158</w:t>
            </w:r>
          </w:p>
        </w:tc>
        <w:tc>
          <w:tcPr>
            <w:tcW w:w="3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249,169</w:t>
            </w:r>
          </w:p>
        </w:tc>
        <w:tc>
          <w:tcPr>
            <w:tcW w:w="0" w:type="dxa"/>
            <w:vAlign w:val="bottom"/>
          </w:tcPr>
          <w:p>
            <w:pPr>
              <w:spacing w:after="0"/>
              <w:rPr>
                <w:sz w:val="1"/>
                <w:szCs w:val="1"/>
                <w:color w:val="auto"/>
              </w:rPr>
            </w:pPr>
          </w:p>
        </w:tc>
      </w:tr>
      <w:tr>
        <w:trPr>
          <w:trHeight w:val="216"/>
        </w:trPr>
        <w:tc>
          <w:tcPr>
            <w:tcW w:w="570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Other merchandise losses</w:t>
            </w:r>
            <w:r>
              <w:rPr>
                <w:rFonts w:ascii="Times New Roman" w:cs="Times New Roman" w:eastAsia="Times New Roman" w:hAnsi="Times New Roman"/>
                <w:sz w:val="24"/>
                <w:szCs w:val="24"/>
                <w:color w:val="auto"/>
                <w:vertAlign w:val="superscript"/>
              </w:rPr>
              <w:t>(1)</w:t>
            </w: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8"/>
                <w:szCs w:val="18"/>
                <w:color w:val="auto"/>
              </w:rPr>
              <w:t>8,443</w:t>
            </w:r>
          </w:p>
        </w:tc>
        <w:tc>
          <w:tcPr>
            <w:tcW w:w="1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7,260</w:t>
            </w:r>
          </w:p>
        </w:tc>
        <w:tc>
          <w:tcPr>
            <w:tcW w:w="1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8"/>
                <w:szCs w:val="18"/>
                <w:color w:val="auto"/>
              </w:rPr>
              <w:t>23,943</w:t>
            </w:r>
          </w:p>
        </w:tc>
        <w:tc>
          <w:tcPr>
            <w:tcW w:w="1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8"/>
                <w:szCs w:val="18"/>
                <w:color w:val="auto"/>
              </w:rPr>
              <w:t>19,826</w:t>
            </w:r>
          </w:p>
        </w:tc>
        <w:tc>
          <w:tcPr>
            <w:tcW w:w="0" w:type="dxa"/>
            <w:vAlign w:val="bottom"/>
          </w:tcPr>
          <w:p>
            <w:pPr>
              <w:spacing w:after="0"/>
              <w:rPr>
                <w:sz w:val="1"/>
                <w:szCs w:val="1"/>
                <w:color w:val="auto"/>
              </w:rPr>
            </w:pPr>
          </w:p>
        </w:tc>
      </w:tr>
      <w:tr>
        <w:trPr>
          <w:trHeight w:val="229"/>
        </w:trPr>
        <w:tc>
          <w:tcPr>
            <w:tcW w:w="57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 merchandise losses</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86,821</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92,567</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269,101</w:t>
            </w:r>
          </w:p>
        </w:tc>
        <w:tc>
          <w:tcPr>
            <w:tcW w:w="3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268,995</w:t>
            </w:r>
          </w:p>
        </w:tc>
        <w:tc>
          <w:tcPr>
            <w:tcW w:w="0" w:type="dxa"/>
            <w:vAlign w:val="bottom"/>
          </w:tcPr>
          <w:p>
            <w:pPr>
              <w:spacing w:after="0"/>
              <w:rPr>
                <w:sz w:val="1"/>
                <w:szCs w:val="1"/>
                <w:color w:val="auto"/>
              </w:rPr>
            </w:pPr>
          </w:p>
        </w:tc>
      </w:tr>
      <w:tr>
        <w:trPr>
          <w:trHeight w:val="20"/>
        </w:trPr>
        <w:tc>
          <w:tcPr>
            <w:tcW w:w="57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4488180</wp:posOffset>
            </wp:positionH>
            <wp:positionV relativeFrom="paragraph">
              <wp:posOffset>-25400</wp:posOffset>
            </wp:positionV>
            <wp:extent cx="8572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-7620</wp:posOffset>
            </wp:positionV>
            <wp:extent cx="8572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-25400</wp:posOffset>
            </wp:positionV>
            <wp:extent cx="8572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-7620</wp:posOffset>
            </wp:positionV>
            <wp:extent cx="85725"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-25400</wp:posOffset>
            </wp:positionV>
            <wp:extent cx="8572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-7620</wp:posOffset>
            </wp:positionV>
            <wp:extent cx="8572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66" w:lineRule="exact"/>
        <w:rPr>
          <w:sz w:val="20"/>
          <w:szCs w:val="20"/>
          <w:color w:val="auto"/>
        </w:rPr>
      </w:pPr>
    </w:p>
    <w:p>
      <w:pPr>
        <w:ind w:left="180" w:hanging="172"/>
        <w:spacing w:after="0"/>
        <w:tabs>
          <w:tab w:leader="none" w:pos="180" w:val="left"/>
        </w:tabs>
        <w:numPr>
          <w:ilvl w:val="0"/>
          <w:numId w:val="24"/>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Other merchandise losses include unrepairable and missing merchandise, and loss/damage waiver claims.</w:t>
      </w:r>
    </w:p>
    <w:p>
      <w:pPr>
        <w:spacing w:after="0" w:line="11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Capital Expenditures</w:t>
      </w:r>
      <w:r>
        <w:rPr>
          <w:rFonts w:ascii="Times New Roman" w:cs="Times New Roman" w:eastAsia="Times New Roman" w:hAnsi="Times New Roman"/>
          <w:sz w:val="18"/>
          <w:szCs w:val="18"/>
          <w:color w:val="auto"/>
        </w:rPr>
        <w:t>. We make capital expenditures in order to maintain our existing operations, acquire new capital assets in new and acquired stores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invest in information technology. We spent $47.6 million and $49.3 million on capital expenditures during the nine months ended September 30, 2026 and 2025, respectively.</w:t>
      </w:r>
    </w:p>
    <w:p>
      <w:pPr>
        <w:spacing w:after="0" w:line="65"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Acquisitions and New Location Openings. </w:t>
      </w:r>
      <w:r>
        <w:rPr>
          <w:rFonts w:ascii="Times New Roman" w:cs="Times New Roman" w:eastAsia="Times New Roman" w:hAnsi="Times New Roman"/>
          <w:sz w:val="18"/>
          <w:szCs w:val="18"/>
          <w:color w:val="auto"/>
        </w:rPr>
        <w:t>The table below summarizes the store location activity for the nine months ended September 30, 2026 for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Rent-A-Center and Mexico operating segments.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00" w:type="dxa"/>
            <w:vAlign w:val="bottom"/>
          </w:tcPr>
          <w:p>
            <w:pPr>
              <w:spacing w:after="0"/>
              <w:rPr>
                <w:sz w:val="15"/>
                <w:szCs w:val="15"/>
                <w:color w:val="auto"/>
              </w:rPr>
            </w:pPr>
          </w:p>
        </w:tc>
        <w:tc>
          <w:tcPr>
            <w:tcW w:w="146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Rent-A-Center</w:t>
            </w:r>
          </w:p>
        </w:tc>
        <w:tc>
          <w:tcPr>
            <w:tcW w:w="120" w:type="dxa"/>
            <w:vAlign w:val="bottom"/>
          </w:tcPr>
          <w:p>
            <w:pPr>
              <w:spacing w:after="0"/>
              <w:rPr>
                <w:sz w:val="15"/>
                <w:szCs w:val="15"/>
                <w:color w:val="auto"/>
              </w:rPr>
            </w:pPr>
          </w:p>
        </w:tc>
        <w:tc>
          <w:tcPr>
            <w:tcW w:w="146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Mexico</w:t>
            </w:r>
          </w:p>
        </w:tc>
        <w:tc>
          <w:tcPr>
            <w:tcW w:w="120" w:type="dxa"/>
            <w:vAlign w:val="bottom"/>
          </w:tcPr>
          <w:p>
            <w:pPr>
              <w:spacing w:after="0"/>
              <w:rPr>
                <w:sz w:val="15"/>
                <w:szCs w:val="15"/>
                <w:color w:val="auto"/>
              </w:rPr>
            </w:pPr>
          </w:p>
        </w:tc>
        <w:tc>
          <w:tcPr>
            <w:tcW w:w="148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0"/>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Locations at beginning of period</w:t>
            </w:r>
          </w:p>
        </w:tc>
        <w:tc>
          <w:tcPr>
            <w:tcW w:w="146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2,075</w:t>
            </w:r>
          </w:p>
        </w:tc>
        <w:tc>
          <w:tcPr>
            <w:tcW w:w="1580" w:type="dxa"/>
            <w:vAlign w:val="bottom"/>
            <w:gridSpan w:val="2"/>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136</w:t>
            </w:r>
          </w:p>
        </w:tc>
        <w:tc>
          <w:tcPr>
            <w:tcW w:w="160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2,211</w:t>
            </w: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New location openings</w:t>
            </w:r>
          </w:p>
        </w:tc>
        <w:tc>
          <w:tcPr>
            <w:tcW w:w="14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8</w:t>
            </w:r>
          </w:p>
        </w:tc>
        <w:tc>
          <w:tcPr>
            <w:tcW w:w="1600" w:type="dxa"/>
            <w:vAlign w:val="bottom"/>
            <w:gridSpan w:val="2"/>
          </w:tcPr>
          <w:p>
            <w:pPr>
              <w:jc w:val="right"/>
              <w:ind w:right="39"/>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Closed locations</w:t>
            </w:r>
          </w:p>
        </w:tc>
        <w:tc>
          <w:tcPr>
            <w:tcW w:w="14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r>
      <w:tr>
        <w:trPr>
          <w:trHeight w:val="216"/>
        </w:trPr>
        <w:tc>
          <w:tcPr>
            <w:tcW w:w="6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Merged with existing locations</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20" w:type="dxa"/>
            <w:vAlign w:val="bottom"/>
          </w:tcPr>
          <w:p>
            <w:pPr>
              <w:spacing w:after="0"/>
              <w:rPr>
                <w:sz w:val="18"/>
                <w:szCs w:val="18"/>
                <w:color w:val="auto"/>
              </w:rPr>
            </w:pPr>
          </w:p>
        </w:tc>
        <w:tc>
          <w:tcPr>
            <w:tcW w:w="146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16"/>
        </w:trPr>
        <w:tc>
          <w:tcPr>
            <w:tcW w:w="6600" w:type="dxa"/>
            <w:vAlign w:val="bottom"/>
            <w:tcBorders>
              <w:bottom w:val="single" w:sz="8" w:color="CFF0FC"/>
            </w:tcBorders>
            <w:shd w:val="clear" w:color="auto" w:fill="CFF0FC"/>
          </w:tcPr>
          <w:p>
            <w:pPr>
              <w:ind w:left="120"/>
              <w:spacing w:after="0" w:line="216" w:lineRule="exact"/>
              <w:rPr>
                <w:sz w:val="20"/>
                <w:szCs w:val="20"/>
                <w:color w:val="auto"/>
              </w:rPr>
            </w:pPr>
            <w:r>
              <w:rPr>
                <w:rFonts w:ascii="Times New Roman" w:cs="Times New Roman" w:eastAsia="Times New Roman" w:hAnsi="Times New Roman"/>
                <w:sz w:val="18"/>
                <w:szCs w:val="18"/>
                <w:color w:val="auto"/>
              </w:rPr>
              <w:t>Sold or closed with no surviving location</w:t>
            </w:r>
            <w:r>
              <w:rPr>
                <w:rFonts w:ascii="Times New Roman" w:cs="Times New Roman" w:eastAsia="Times New Roman" w:hAnsi="Times New Roman"/>
                <w:sz w:val="24"/>
                <w:szCs w:val="24"/>
                <w:color w:val="auto"/>
                <w:vertAlign w:val="superscript"/>
              </w:rPr>
              <w:t>(1)</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20" w:type="dxa"/>
            <w:vAlign w:val="bottom"/>
            <w:tcBorders>
              <w:bottom w:val="single" w:sz="8" w:color="CFF0FC"/>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Borders>
              <w:bottom w:val="single" w:sz="8" w:color="CFF0FC"/>
            </w:tcBorders>
            <w:shd w:val="clear" w:color="auto" w:fill="CFF0FC"/>
          </w:tcPr>
          <w:p>
            <w:pPr>
              <w:spacing w:after="0"/>
              <w:rPr>
                <w:sz w:val="18"/>
                <w:szCs w:val="18"/>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10"/>
        </w:trPr>
        <w:tc>
          <w:tcPr>
            <w:tcW w:w="6600" w:type="dxa"/>
            <w:vAlign w:val="bottom"/>
          </w:tcPr>
          <w:p>
            <w:pPr>
              <w:spacing w:after="0" w:line="210" w:lineRule="exact"/>
              <w:rPr>
                <w:sz w:val="20"/>
                <w:szCs w:val="20"/>
                <w:color w:val="auto"/>
              </w:rPr>
            </w:pPr>
            <w:r>
              <w:rPr>
                <w:rFonts w:ascii="Times New Roman" w:cs="Times New Roman" w:eastAsia="Times New Roman" w:hAnsi="Times New Roman"/>
                <w:sz w:val="18"/>
                <w:szCs w:val="18"/>
                <w:color w:val="auto"/>
              </w:rPr>
              <w:t>Locations at end of period</w:t>
            </w:r>
            <w:r>
              <w:rPr>
                <w:rFonts w:ascii="Times New Roman" w:cs="Times New Roman" w:eastAsia="Times New Roman" w:hAnsi="Times New Roman"/>
                <w:sz w:val="24"/>
                <w:szCs w:val="24"/>
                <w:color w:val="auto"/>
                <w:vertAlign w:val="superscript"/>
              </w:rPr>
              <w:t>(2)</w:t>
            </w:r>
          </w:p>
        </w:tc>
        <w:tc>
          <w:tcPr>
            <w:tcW w:w="14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1,943</w:t>
            </w:r>
          </w:p>
        </w:tc>
        <w:tc>
          <w:tcPr>
            <w:tcW w:w="158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137</w:t>
            </w:r>
          </w:p>
        </w:tc>
        <w:tc>
          <w:tcPr>
            <w:tcW w:w="1600" w:type="dxa"/>
            <w:vAlign w:val="bottom"/>
            <w:gridSpan w:val="2"/>
          </w:tcPr>
          <w:p>
            <w:pPr>
              <w:jc w:val="right"/>
              <w:ind w:right="39"/>
              <w:spacing w:after="0"/>
              <w:rPr>
                <w:sz w:val="20"/>
                <w:szCs w:val="20"/>
                <w:color w:val="auto"/>
              </w:rPr>
            </w:pPr>
            <w:r>
              <w:rPr>
                <w:rFonts w:ascii="Times New Roman" w:cs="Times New Roman" w:eastAsia="Times New Roman" w:hAnsi="Times New Roman"/>
                <w:sz w:val="18"/>
                <w:szCs w:val="18"/>
                <w:color w:val="auto"/>
              </w:rPr>
              <w:t>2,080</w:t>
            </w:r>
          </w:p>
        </w:tc>
      </w:tr>
      <w:tr>
        <w:trPr>
          <w:trHeight w:val="20"/>
        </w:trPr>
        <w:tc>
          <w:tcPr>
            <w:tcW w:w="660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5122545</wp:posOffset>
            </wp:positionH>
            <wp:positionV relativeFrom="paragraph">
              <wp:posOffset>-170815</wp:posOffset>
            </wp:positionV>
            <wp:extent cx="6858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-170815</wp:posOffset>
            </wp:positionV>
            <wp:extent cx="6858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6" w:lineRule="exact"/>
        <w:rPr>
          <w:sz w:val="20"/>
          <w:szCs w:val="20"/>
          <w:color w:val="auto"/>
        </w:rPr>
      </w:pPr>
    </w:p>
    <w:p>
      <w:pPr>
        <w:ind w:left="180" w:hanging="172"/>
        <w:spacing w:after="0"/>
        <w:tabs>
          <w:tab w:leader="none" w:pos="180" w:val="left"/>
        </w:tabs>
        <w:numPr>
          <w:ilvl w:val="0"/>
          <w:numId w:val="25"/>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Includes closure of 49 Rent-A-Center franchisee store locations.</w:t>
      </w:r>
    </w:p>
    <w:p>
      <w:pPr>
        <w:spacing w:after="0" w:line="38" w:lineRule="exact"/>
        <w:rPr>
          <w:rFonts w:ascii="Times New Roman" w:cs="Times New Roman" w:eastAsia="Times New Roman" w:hAnsi="Times New Roman"/>
          <w:sz w:val="17"/>
          <w:szCs w:val="17"/>
          <w:color w:val="auto"/>
          <w:vertAlign w:val="superscript"/>
        </w:rPr>
      </w:pPr>
    </w:p>
    <w:p>
      <w:pPr>
        <w:ind w:left="180" w:hanging="172"/>
        <w:spacing w:after="0" w:line="184" w:lineRule="auto"/>
        <w:tabs>
          <w:tab w:leader="none" w:pos="180" w:val="left"/>
        </w:tabs>
        <w:numPr>
          <w:ilvl w:val="0"/>
          <w:numId w:val="25"/>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Rent-A-Center includes 1,639 company-owned and 304 franchisee store locations.</w:t>
      </w:r>
    </w:p>
    <w:p>
      <w:pPr>
        <w:spacing w:after="0" w:line="11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Senior Debt. </w:t>
      </w:r>
      <w:r>
        <w:rPr>
          <w:rFonts w:ascii="Times New Roman" w:cs="Times New Roman" w:eastAsia="Times New Roman" w:hAnsi="Times New Roman"/>
          <w:sz w:val="18"/>
          <w:szCs w:val="18"/>
          <w:color w:val="auto"/>
        </w:rPr>
        <w:t>On February 17, 2021, we entered into a credit agreement with JPMorgan Chase Bank, N.A., as administrative agent, and lenders party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thereto, that provides for a five-year asset-based revolving credit facility with commitments of $550 million and a letter of credit sublimit of $150 million, which commitments may be increased, at our option and under certain conditions, by up to an additional $125 million in the aggregate (as most recently amended on August 29, 2025, the “ABL Credit Facility”). Under the ABL Credit Facility, we may borrow only up to the lesser of the level of the then-current borrowing base and the aggregate amount of commitments under the ABL Credit Facility. The borrowing base is tied to the amount of eligible installment sales accounts, inventory and eligible lease contracts, reduced by certain reserves. The ABL Credit Facility bears interest at a fluctuating rate determined by reference to an adjusted Term SOFR rate plus an applicable margin of 1.50% to 2.00%, which, as of October 22, 2026, was 6.02%. A commitment fee equal to 0.250% to 0.375% of the unused portion of the ABL Credit Facility fluctuates dependent upon average utilization for the prior month as defined by a pricing grid included in the documentation governing the ABL Credit Facility. Loans under the ABL Credit Facility may</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8" w:name="page39"/>
    <w:bookmarkEnd w:id="38"/>
    <w:p>
      <w:pPr>
        <w:jc w:val="both"/>
        <w:spacing w:after="0" w:line="282" w:lineRule="auto"/>
        <w:rPr>
          <w:sz w:val="20"/>
          <w:szCs w:val="20"/>
          <w:color w:val="auto"/>
        </w:rPr>
      </w:pPr>
      <w:r>
        <w:rPr>
          <w:rFonts w:ascii="Times New Roman" w:cs="Times New Roman" w:eastAsia="Times New Roman" w:hAnsi="Times New Roman"/>
          <w:sz w:val="18"/>
          <w:szCs w:val="18"/>
          <w:color w:val="auto"/>
        </w:rPr>
        <w:t>be borrowed, repaid and re-borrowed until June 7, 2029 (subject to certain springing maturity provisions), at which time all amounts borrowed must be repaid.</w:t>
      </w:r>
    </w:p>
    <w:p>
      <w:pPr>
        <w:spacing w:after="0" w:line="5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obligations under the ABL Credit Facility are guaranteed by us and certain of our material wholly owned domestic restricted subsidiaries, subject to certain exceptions. The obligations under the ABL Credit Facility and such guarantees are secured on a first-priority basis by all of our and our subsidiary guarantors’ accounts, inventory, deposit accounts, securities accounts, cash and cash equivalents, rental agreements, general intangibles (other than equity interests in our subsidiaries), chattel paper, instruments, documents, letter of credit rights, commercial tort claims related to the foregoing and other related assets and all proceeds thereof related to the foregoing, subject to permitted liens and certain exceptions (such assets, collectively, the “ABL Priority Collateral”) and a second-priority basis in substantially all other present and future tangible and intangible personal property of ours and the subsidiary guarantors, subject to certain exceptions.</w:t>
      </w:r>
    </w:p>
    <w:p>
      <w:pPr>
        <w:spacing w:after="0" w:line="8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February 17, 2021, we also entered into a term loan credit agreement with JPMorgan Chase Bank, N.A., as administrative agent, and lenders party thereto, that provides for a seven-year $875 million senior secured term loan facility (as most recently amended on August 19, 2025, the “Term Loan Facility”). Subject in each case to certain restrictions and conditions, we may add up to $625 million (plus additional amounts subject to the satisfaction of certain financial ratios) of incremental term loan facilities to the Term Loan Facility or utilize incremental capacity under the Term Loan Facility at any time by issuing or incurring incremental equivalent term debt. Interest on borrowings under the Term Loan Facility is payable at a fluctuating rate of interest determined by reference to the Term SOFR rate plus an applicable margin of 2.75%, subject to a 0.50% Term SOFR floor, which, as of October 22, 2026 was 6.83%.</w:t>
      </w:r>
    </w:p>
    <w:p>
      <w:pPr>
        <w:spacing w:after="0" w:line="8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Borrowings under the Term Loan Facility amortize in equal quarterly installments in an amount equal to 1.000% per annum of the original aggregate principal amount thereof, with the remaining balance due at final maturity on August 19, 2032 (subject to certain springing maturity provisions). The Term Loan Facility is secured by a first-priority security interest in substantially all of present and future tangible and intangible personal property of us and our subsidiary guarantors, other than the ABL Priority Collateral, and by a second-priority security interest in the ABL Priority Collateral, subject to certain exceptions. The obligations under the Term Loan Facility are guaranteed by us and our material wholly owned domestic restricted subsidiaries that also guarantee the ABL Credit Facility.</w:t>
      </w:r>
    </w:p>
    <w:p>
      <w:pPr>
        <w:spacing w:after="0" w:line="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October 22, 2026, we had outstanding borrowings of $866.3 million under the Term Loan Facility and available commitments of $456.2 million under our ABL Credit Facility, net of letters of credit.</w:t>
      </w:r>
    </w:p>
    <w:p>
      <w:pPr>
        <w:spacing w:after="0" w:line="5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See Note 6 of our condensed consolidated financial statements included in this Quarterly Report on Form 10-Q for additional information regarding our senior debt.</w:t>
      </w:r>
    </w:p>
    <w:p>
      <w:pPr>
        <w:spacing w:after="0" w:line="5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Senior Notes</w:t>
      </w:r>
      <w:r>
        <w:rPr>
          <w:rFonts w:ascii="Times New Roman" w:cs="Times New Roman" w:eastAsia="Times New Roman" w:hAnsi="Times New Roman"/>
          <w:sz w:val="18"/>
          <w:szCs w:val="18"/>
          <w:color w:val="auto"/>
        </w:rPr>
        <w:t>. On February 17, 2021, we issued $450 million in senior unsecured notes due February 15, 2029, at par value, bearing interest at 6.375%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“Notes”). Interest on the Notes is payable in arrears on February 15 and August 15 of each year, beginning on August 15, 2021. We may redeem some or all of the Notes at any time for cash at the redemption prices set forth in the indenture governing the Notes, plus accrued and unpaid interest to, but not including, the redemption date. If we experience specific kinds of change in control, we will be required to offer to purchase the Notes at a price equal to 101% of the principal amount thereof plus accrued and unpaid interest. See Note 7 of our condensed consolidated financial statements included in this Quarterly Report on Form 10-Q for additional information regarding our senior notes.</w:t>
      </w:r>
    </w:p>
    <w:p>
      <w:pPr>
        <w:spacing w:after="0" w:line="7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Operating Leases</w:t>
      </w:r>
      <w:r>
        <w:rPr>
          <w:rFonts w:ascii="Times New Roman" w:cs="Times New Roman" w:eastAsia="Times New Roman" w:hAnsi="Times New Roman"/>
          <w:sz w:val="18"/>
          <w:szCs w:val="18"/>
          <w:color w:val="auto"/>
        </w:rPr>
        <w:t>. We lease space for all of our Rent-A-Center and Mexico stores under operating leases expiring at various times through 2037.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addition, we lease space for certain support facilities under operating leases expiring at various times through 2032. Most of our store leases are five-year leases and contain renewal options for additional periods ranging from three to five years at rental rates adjusted according to agreed-upon formulas. As of September 30, 2026, our total remaining obligation for existing store lease contracts was approximately $329.5 million.</w:t>
      </w:r>
    </w:p>
    <w:p>
      <w:pPr>
        <w:spacing w:after="0" w:line="7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lease vehicles for all of our Rent-A-Center stores under operating leases with lease terms expiring twelve months after the start date of the lease. We classify these leases as short-term and have elected the short-term lease exemption for our vehicle leases, and have therefore excluded them from our operating lease right-of-use assets within our Condensed Consolidated Balance Sheets. As of September 30, 2026, our total remaining minimum obligation for existing Rent-A-Center vehicle lease contracts was approximately $0.6 million.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9" w:name="page40"/>
    <w:bookmarkEnd w:id="39"/>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also lease vehicles for all of our Mexico stores which have terms expiring at various times through 2030 with rental rates adjusted periodically for inflation. As of September 30, 2026, our total remaining obligation for existing Mexico vehicle lease contracts was approximately $3.0 million.</w:t>
      </w:r>
    </w:p>
    <w:p>
      <w:pPr>
        <w:spacing w:after="0" w:line="52"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Uncertain Tax Position. </w:t>
      </w:r>
      <w:r>
        <w:rPr>
          <w:rFonts w:ascii="Times New Roman" w:cs="Times New Roman" w:eastAsia="Times New Roman" w:hAnsi="Times New Roman"/>
          <w:sz w:val="18"/>
          <w:szCs w:val="18"/>
          <w:color w:val="auto"/>
        </w:rPr>
        <w:t>As of September 30, 2026, we have recorded $1.0 million in uncertain tax positions. Although these positions represent a potential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future cash liability to us, the amounts and timing of such payments are uncertain.</w:t>
      </w:r>
    </w:p>
    <w:p>
      <w:pPr>
        <w:spacing w:after="0" w:line="5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Seasonality. </w:t>
      </w:r>
      <w:r>
        <w:rPr>
          <w:rFonts w:ascii="Times New Roman" w:cs="Times New Roman" w:eastAsia="Times New Roman" w:hAnsi="Times New Roman"/>
          <w:sz w:val="18"/>
          <w:szCs w:val="18"/>
          <w:color w:val="auto"/>
        </w:rPr>
        <w:t>Our revenue mix in our lease-to-own businesses is moderately seasonal, with the first quarter of each fiscal year generally providing higher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sales than any other quarter during a fiscal year. Generally, our customers will more frequently exercise the early purchase option on their existing lease purchase agreements in our Acima and Rent-A-Center segments or purchase pre-leased merchandise off the showroom floor in our Rent-A-Center segment during the first quarter of each fiscal year, primarily due to the receipt of federal income tax refunds. In contrast, our cash expenditures for our merchandise purchases for the fiscal year are generally the highest beginning in the latter part of the third quarter through the fourth quarter, primarily as a result of holiday promotions that lead to increased demand for our lease-to-own offerings.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11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Income Statement - Reporting Comprehensive Income - Expense Disaggregation Disclosures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(Subtopic 220-40): Disaggregation of Income Statement Expenses</w:t>
      </w:r>
      <w:r>
        <w:rPr>
          <w:rFonts w:ascii="Times New Roman" w:cs="Times New Roman" w:eastAsia="Times New Roman" w:hAnsi="Times New Roman"/>
          <w:sz w:val="18"/>
          <w:szCs w:val="18"/>
          <w:color w:val="auto"/>
        </w:rPr>
        <w:t>, which requires new tabular disclosures disaggregating prescribed expense categories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within relevant income statement captions. In January 2025, the FASB issued ASU 2025-01, which clarifies the effective date for ASU No. 2024-03. The adoption of ASU 2024-03 will be required for us for annual reporting periods beginning after December 15, 2026 and interim reporting periods beginning after December 15, 2027. We are currently in the preliminary stages of assessing this ASU and the impact it will have on our financial statements following adoption but expect it will result in increased disclosure.</w:t>
      </w:r>
    </w:p>
    <w:p>
      <w:pPr>
        <w:spacing w:after="0" w:line="7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In September 2025, the FASB issued ASU 2025-06, </w:t>
      </w:r>
      <w:r>
        <w:rPr>
          <w:rFonts w:ascii="Times New Roman" w:cs="Times New Roman" w:eastAsia="Times New Roman" w:hAnsi="Times New Roman"/>
          <w:sz w:val="18"/>
          <w:szCs w:val="18"/>
          <w:i w:val="1"/>
          <w:iCs w:val="1"/>
          <w:color w:val="auto"/>
        </w:rPr>
        <w:t>Intangibles - Goodwill and Other - Internal-Use Software (Subtopic 350-40)</w:t>
      </w:r>
      <w:r>
        <w:rPr>
          <w:rFonts w:ascii="Times New Roman" w:cs="Times New Roman" w:eastAsia="Times New Roman" w:hAnsi="Times New Roman"/>
          <w:sz w:val="18"/>
          <w:szCs w:val="18"/>
          <w:color w:val="auto"/>
        </w:rPr>
        <w:t>, which amends the existing standard that refers to various stages of software development. Under the new standard, entities will start capitalizing eligible costs when management has authorized and committed to funding the software project, and it is probable that the project will be completed and the software will be used to perform the function intended. The adoption of ASU 2025-06 will be required for us for annual reporting periods beginning after December 15, 2027 and interim reporting periods within those annual reporting periods. We are in the preliminary stages of assessing this ASU and the impact it will have on our financial statements following adoption.</w:t>
      </w:r>
    </w:p>
    <w:p>
      <w:pPr>
        <w:spacing w:after="0" w:line="7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In December 2025, the FASB issued ASU 2025-11, </w:t>
      </w:r>
      <w:r>
        <w:rPr>
          <w:rFonts w:ascii="Times New Roman" w:cs="Times New Roman" w:eastAsia="Times New Roman" w:hAnsi="Times New Roman"/>
          <w:sz w:val="18"/>
          <w:szCs w:val="18"/>
          <w:i w:val="1"/>
          <w:iCs w:val="1"/>
          <w:color w:val="auto"/>
        </w:rPr>
        <w:t>Interim Reporting (Topic 270): Narrow-Scope Improvements</w:t>
      </w:r>
      <w:r>
        <w:rPr>
          <w:rFonts w:ascii="Times New Roman" w:cs="Times New Roman" w:eastAsia="Times New Roman" w:hAnsi="Times New Roman"/>
          <w:sz w:val="18"/>
          <w:szCs w:val="18"/>
          <w:color w:val="auto"/>
        </w:rPr>
        <w:t>, which clarifies interim disclosure requirements and the applicability of Topic 270. The new standard specifies the types of interim reporting and the form and content of interim financial statements, adds a comprehensive list of required interim disclosures and includes a disclosure principle that requires entities to disclose events since the end of the last annual reporting period that have a material impact on the entity. The adoption of ASU 2025-11 will be required for us for annual reporting periods beginning after December 15, 2027 and interim reporting periods within those annual reporting periods. We are in the preliminary stages of assessing this ASU and the impact, if any, it will have on our disclosures within our interim financial statements filed on our Quarterly Reports on Form 10-Q.</w:t>
      </w:r>
    </w:p>
    <w:p>
      <w:pPr>
        <w:spacing w:after="0" w:line="7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From time to time, new accounting pronouncements are issued by the FASB or other standards setting bodies that we adopt as of the specified effective date. As of September 30, 2026, unless otherwise discussed, we believe that any other recently issued standards that are not yet effective are either not applicable to us at this time or will not have a material impact on our consolidated financial statements upon adoption.</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primary market risk exposure is fluctuations in interest rates. Monitoring and managing this risk is a continual process carried out by our senior management. We manage our market risk based on an ongoing assessment of trends in interest rates and economic developments, giving consideration to possible effects on both total return and reported earnings. As a result of such assessment, we may enter into swap contracts or other interest rate protection agreements from time to time to mitigate this risk.</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September 30, 2026, we had $450 million in Notes outstanding at a fixed interest rate of 6.375%. We also had $866.3 million outstanding under the Term Loan Facility and $45.0 million outstanding under our ABL Credit Facility, each at interest rates indexed to the Term SOFR rate or the prime rate. Carrying value of the Term Loan Facility and ABL Credit Facility approximates fair value for</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40" w:name="page41"/>
    <w:bookmarkEnd w:id="40"/>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such indebtedness. Based on our overall interest rate exposure at September 30, 2026, a hypothetical 1.0% increase or decrease in market interest rates would have the effect of causing an additional $9.1 million annualized pre-tax charge or credit to our Condensed Consolidated Statements of Operations. We have not entered into any interest rate swap agreements as of September 30, 2026.</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Translation</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also exposed to market risk from foreign exchange rate fluctuations of the Mexican peso to the U.S. dollar as the financial position and operating results of our stores in Mexico are translated into U.S. dollars for consolidation. Resulting translation adjustments are recorded as a separate component of stockholders’ equity.</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Disclosure Controls and Procedures</w:t>
      </w:r>
      <w:r>
        <w:rPr>
          <w:rFonts w:ascii="Times New Roman" w:cs="Times New Roman" w:eastAsia="Times New Roman" w:hAnsi="Times New Roman"/>
          <w:sz w:val="18"/>
          <w:szCs w:val="18"/>
          <w:color w:val="auto"/>
        </w:rPr>
        <w:t>. In accordance with Rule 13a-15(b) under the Securities Exchange Act of 1934, an evaluation was performed under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supervision and with the participation of our management, including our Chief Executive Officer and Chief Financial Officer, of the effectiveness of the design and operation of our disclosure controls and procedures (as defined in Rules 13a-15(e) and 15d-15(e) under the Securities Exchange Act of 1934) as of the end of the period covered by this Quarterly Report on Form 10-Q. Based on this evaluation, our management, including our Chief Executive Officer and our Chief Financial Officer, concluded that, as of September 30, 2026, our disclosure controls and procedures (as defined in Rules 13a-15(e) and 15d-15(e) under the Securities Exchange Act of 1934) were effective.</w:t>
      </w:r>
    </w:p>
    <w:p>
      <w:pPr>
        <w:spacing w:after="0" w:line="7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r>
        <w:rPr>
          <w:rFonts w:ascii="Times New Roman" w:cs="Times New Roman" w:eastAsia="Times New Roman" w:hAnsi="Times New Roman"/>
          <w:sz w:val="18"/>
          <w:szCs w:val="18"/>
          <w:color w:val="auto"/>
        </w:rPr>
        <w:t>. For the quarter ended September 30, 2026, there have been no changes in our internal control over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financial reporting (as defined in Rule 13a-15(f) under the Securities Exchange Act of 1934) that, in the aggregate, have materially affected, or are reasonably likely to materially affect, our internal control over financial reporting.</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Please see Note 12 of our condensed consolidated financial statements included in this Quarterly Report on Form 10-Q for additional discussion of certain of our legal proceedings and governmental inquiries.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the risk factors disclosed in Item 1A of Part I, “Risk Factors” of our Annual Report on Form 10-K for the year ended December 31, 2025.</w:t>
      </w:r>
    </w:p>
    <w:p>
      <w:pPr>
        <w:spacing w:after="0" w:line="131" w:lineRule="exact"/>
        <w:rPr>
          <w:sz w:val="20"/>
          <w:szCs w:val="20"/>
          <w:color w:val="auto"/>
        </w:rPr>
      </w:pPr>
    </w:p>
    <w:p>
      <w:pPr>
        <w:ind w:right="3080"/>
        <w:spacing w:after="0" w:line="412" w:lineRule="auto"/>
        <w:rPr>
          <w:sz w:val="20"/>
          <w:szCs w:val="20"/>
          <w:color w:val="auto"/>
        </w:rPr>
      </w:pPr>
      <w:r>
        <w:rPr>
          <w:rFonts w:ascii="Times New Roman" w:cs="Times New Roman" w:eastAsia="Times New Roman" w:hAnsi="Times New Roman"/>
          <w:sz w:val="18"/>
          <w:szCs w:val="18"/>
          <w:b w:val="1"/>
          <w:bCs w:val="1"/>
          <w:color w:val="auto"/>
        </w:rPr>
        <w:t xml:space="preserve">Item 2. Unregistered Sales of Equity Securities, Use of Proceeds, and Issuer Purchases of Equity Securities </w:t>
      </w:r>
      <w:r>
        <w:rPr>
          <w:rFonts w:ascii="Times New Roman" w:cs="Times New Roman" w:eastAsia="Times New Roman" w:hAnsi="Times New Roman"/>
          <w:sz w:val="18"/>
          <w:szCs w:val="18"/>
          <w:color w:val="auto"/>
        </w:rPr>
        <w:t>None.</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months ended September 30, 2026, none of our directors or officers (as defined in Rule 16a-1(f) under the Securities Exchange Act of 1934, as amended) adopted or terminated a "Rule 10b5-1 trading arrangement" or a "non-Rule 10b5-1 trading arrangement," as each term is defined in Item 408 of Regulation S-K.</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31" w:lineRule="exact"/>
        <w:rPr>
          <w:sz w:val="20"/>
          <w:szCs w:val="20"/>
          <w:color w:val="auto"/>
        </w:rPr>
      </w:pPr>
    </w:p>
    <w:p>
      <w:pPr>
        <w:ind w:left="60"/>
        <w:spacing w:after="0"/>
        <w:tabs>
          <w:tab w:leader="none" w:pos="5780" w:val="left"/>
        </w:tabs>
        <w:rPr>
          <w:sz w:val="20"/>
          <w:szCs w:val="20"/>
          <w:color w:val="auto"/>
        </w:rPr>
      </w:pPr>
      <w:r>
        <w:rPr>
          <w:rFonts w:ascii="Times New Roman" w:cs="Times New Roman" w:eastAsia="Times New Roman" w:hAnsi="Times New Roman"/>
          <w:sz w:val="18"/>
          <w:szCs w:val="18"/>
          <w:b w:val="1"/>
          <w:bCs w:val="1"/>
          <w:color w:val="auto"/>
        </w:rPr>
        <w:t>Exhibit No.</w:t>
      </w:r>
      <w:r>
        <w:rPr>
          <w:sz w:val="20"/>
          <w:szCs w:val="20"/>
          <w:color w:val="auto"/>
        </w:rPr>
        <w:tab/>
      </w:r>
      <w:r>
        <w:rPr>
          <w:rFonts w:ascii="Times New Roman" w:cs="Times New Roman" w:eastAsia="Times New Roman" w:hAnsi="Times New Roman"/>
          <w:sz w:val="17"/>
          <w:szCs w:val="17"/>
          <w:b w:val="1"/>
          <w:bCs w:val="1"/>
          <w:color w:val="auto"/>
        </w:rPr>
        <w:t>Description</w:t>
      </w:r>
    </w:p>
    <w:p>
      <w:pPr>
        <w:spacing w:after="0" w:line="1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Articles of Incorporation and Bylaws</w:t>
      </w:r>
    </w:p>
    <w:p>
      <w:pPr>
        <w:spacing w:after="0" w:line="135" w:lineRule="exact"/>
        <w:rPr>
          <w:sz w:val="20"/>
          <w:szCs w:val="20"/>
          <w:color w:val="auto"/>
        </w:rPr>
      </w:pPr>
    </w:p>
    <w:p>
      <w:pPr>
        <w:ind w:left="1300" w:right="220" w:hanging="763"/>
        <w:spacing w:after="0" w:line="282" w:lineRule="auto"/>
        <w:tabs>
          <w:tab w:leader="none" w:pos="12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3.1</w:t>
      </w:r>
      <w:r>
        <w:rPr>
          <w:sz w:val="20"/>
          <w:szCs w:val="20"/>
          <w:color w:val="auto"/>
        </w:rPr>
        <w:tab/>
      </w:r>
      <w:hyperlink r:id="rId231">
        <w:r>
          <w:rPr>
            <w:rFonts w:ascii="Times New Roman" w:cs="Times New Roman" w:eastAsia="Times New Roman" w:hAnsi="Times New Roman"/>
            <w:sz w:val="18"/>
            <w:szCs w:val="18"/>
            <w:u w:val="single" w:color="auto"/>
            <w:color w:val="0000FF"/>
          </w:rPr>
          <w:t>Restated Certificate of Incorporation of the registrant, dated as of December 5, 2024 (incorporated herein by reference to Exhibit 3.1 to</w:t>
        </w:r>
      </w:hyperlink>
      <w:r>
        <w:rPr>
          <w:rFonts w:ascii="Times New Roman" w:cs="Times New Roman" w:eastAsia="Times New Roman" w:hAnsi="Times New Roman"/>
          <w:sz w:val="18"/>
          <w:szCs w:val="18"/>
          <w:u w:val="single" w:color="auto"/>
          <w:color w:val="0000FF"/>
        </w:rPr>
        <w:t xml:space="preserve"> </w:t>
      </w:r>
      <w:hyperlink r:id="rId231">
        <w:r>
          <w:rPr>
            <w:rFonts w:ascii="Times New Roman" w:cs="Times New Roman" w:eastAsia="Times New Roman" w:hAnsi="Times New Roman"/>
            <w:sz w:val="18"/>
            <w:szCs w:val="18"/>
            <w:u w:val="single" w:color="auto"/>
            <w:color w:val="0000FF"/>
          </w:rPr>
          <w:t>the registrant’s Registration Statement on Form S-3 dated as of February 20, 2025).</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824230</wp:posOffset>
            </wp:positionH>
            <wp:positionV relativeFrom="paragraph">
              <wp:posOffset>-185420</wp:posOffset>
            </wp:positionV>
            <wp:extent cx="620522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2">
                      <a:extLst>
                        <a:ext uri="{28A0092B-C50C-407E-A947-70E740481C1C}"/>
                      </a:extLst>
                    </a:blip>
                    <a:srcRect/>
                    <a:stretch>
                      <a:fillRect/>
                    </a:stretch>
                  </pic:blipFill>
                  <pic:spPr bwMode="auto">
                    <a:xfrm>
                      <a:off x="0" y="0"/>
                      <a:ext cx="6205220" cy="8255"/>
                    </a:xfrm>
                    <a:prstGeom prst="rect">
                      <a:avLst/>
                    </a:prstGeom>
                    <a:noFill/>
                  </pic:spPr>
                </pic:pic>
              </a:graphicData>
            </a:graphic>
          </wp:anchor>
        </w:drawing>
        <w:drawing>
          <wp:anchor simplePos="0" relativeHeight="251657728" behindDoc="1" locked="0" layoutInCell="0" allowOverlap="1">
            <wp:simplePos x="0" y="0"/>
            <wp:positionH relativeFrom="column">
              <wp:posOffset>824230</wp:posOffset>
            </wp:positionH>
            <wp:positionV relativeFrom="paragraph">
              <wp:posOffset>-48260</wp:posOffset>
            </wp:positionV>
            <wp:extent cx="382016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3">
                      <a:extLst>
                        <a:ext uri="{28A0092B-C50C-407E-A947-70E740481C1C}"/>
                      </a:extLst>
                    </a:blip>
                    <a:srcRect/>
                    <a:stretch>
                      <a:fillRect/>
                    </a:stretch>
                  </pic:blipFill>
                  <pic:spPr bwMode="auto">
                    <a:xfrm>
                      <a:off x="0" y="0"/>
                      <a:ext cx="3820160" cy="8890"/>
                    </a:xfrm>
                    <a:prstGeom prst="rect">
                      <a:avLst/>
                    </a:prstGeom>
                    <a:noFill/>
                  </pic:spPr>
                </pic:pic>
              </a:graphicData>
            </a:graphic>
          </wp:anchor>
        </w:drawing>
      </w:r>
    </w:p>
    <w:p>
      <w:pPr>
        <w:spacing w:after="0" w:line="47" w:lineRule="exact"/>
        <w:rPr>
          <w:sz w:val="20"/>
          <w:szCs w:val="20"/>
          <w:color w:val="auto"/>
        </w:rPr>
      </w:pPr>
    </w:p>
    <w:p>
      <w:pPr>
        <w:ind w:left="1300" w:right="280" w:hanging="763"/>
        <w:spacing w:after="0" w:line="282" w:lineRule="auto"/>
        <w:tabs>
          <w:tab w:leader="none" w:pos="12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3.2</w:t>
      </w:r>
      <w:r>
        <w:rPr>
          <w:sz w:val="20"/>
          <w:szCs w:val="20"/>
          <w:color w:val="auto"/>
        </w:rPr>
        <w:tab/>
      </w:r>
      <w:hyperlink r:id="rId234">
        <w:r>
          <w:rPr>
            <w:rFonts w:ascii="Times New Roman" w:cs="Times New Roman" w:eastAsia="Times New Roman" w:hAnsi="Times New Roman"/>
            <w:sz w:val="18"/>
            <w:szCs w:val="18"/>
            <w:u w:val="single" w:color="auto"/>
            <w:color w:val="0000FF"/>
          </w:rPr>
          <w:t>Amended and Restated Bylaws of the registrant (incorporated herein by reference to Exhibit 10.3 to the registrant’s Current Report on</w:t>
        </w:r>
      </w:hyperlink>
      <w:r>
        <w:rPr>
          <w:rFonts w:ascii="Times New Roman" w:cs="Times New Roman" w:eastAsia="Times New Roman" w:hAnsi="Times New Roman"/>
          <w:sz w:val="18"/>
          <w:szCs w:val="18"/>
          <w:u w:val="single" w:color="auto"/>
          <w:color w:val="0000FF"/>
        </w:rPr>
        <w:t xml:space="preserve"> </w:t>
      </w:r>
      <w:hyperlink r:id="rId234">
        <w:r>
          <w:rPr>
            <w:rFonts w:ascii="Times New Roman" w:cs="Times New Roman" w:eastAsia="Times New Roman" w:hAnsi="Times New Roman"/>
            <w:sz w:val="18"/>
            <w:szCs w:val="18"/>
            <w:u w:val="single" w:color="auto"/>
            <w:color w:val="0000FF"/>
          </w:rPr>
          <w:t>Form 8-K dated as of June 4, 2024).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824230</wp:posOffset>
            </wp:positionH>
            <wp:positionV relativeFrom="paragraph">
              <wp:posOffset>-185420</wp:posOffset>
            </wp:positionV>
            <wp:extent cx="616458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5">
                      <a:extLst>
                        <a:ext uri="{28A0092B-C50C-407E-A947-70E740481C1C}"/>
                      </a:extLst>
                    </a:blip>
                    <a:srcRect/>
                    <a:stretch>
                      <a:fillRect/>
                    </a:stretch>
                  </pic:blipFill>
                  <pic:spPr bwMode="auto">
                    <a:xfrm>
                      <a:off x="0" y="0"/>
                      <a:ext cx="6164580" cy="8890"/>
                    </a:xfrm>
                    <a:prstGeom prst="rect">
                      <a:avLst/>
                    </a:prstGeom>
                    <a:noFill/>
                  </pic:spPr>
                </pic:pic>
              </a:graphicData>
            </a:graphic>
          </wp:anchor>
        </w:drawing>
        <w:drawing>
          <wp:anchor simplePos="0" relativeHeight="251657728" behindDoc="1" locked="0" layoutInCell="0" allowOverlap="1">
            <wp:simplePos x="0" y="0"/>
            <wp:positionH relativeFrom="column">
              <wp:posOffset>824230</wp:posOffset>
            </wp:positionH>
            <wp:positionV relativeFrom="paragraph">
              <wp:posOffset>-48260</wp:posOffset>
            </wp:positionV>
            <wp:extent cx="1652905"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6">
                      <a:extLst>
                        <a:ext uri="{28A0092B-C50C-407E-A947-70E740481C1C}"/>
                      </a:extLst>
                    </a:blip>
                    <a:srcRect/>
                    <a:stretch>
                      <a:fillRect/>
                    </a:stretch>
                  </pic:blipFill>
                  <pic:spPr bwMode="auto">
                    <a:xfrm>
                      <a:off x="0" y="0"/>
                      <a:ext cx="1652905" cy="8255"/>
                    </a:xfrm>
                    <a:prstGeom prst="rect">
                      <a:avLst/>
                    </a:prstGeom>
                    <a:noFill/>
                  </pic:spPr>
                </pic:pic>
              </a:graphicData>
            </a:graphic>
          </wp:anchor>
        </w:drawing>
      </w:r>
    </w:p>
    <w:p>
      <w:pPr>
        <w:spacing w:after="0" w:line="47" w:lineRule="exact"/>
        <w:rPr>
          <w:sz w:val="20"/>
          <w:szCs w:val="20"/>
          <w:color w:val="auto"/>
        </w:rPr>
      </w:pPr>
    </w:p>
    <w:p>
      <w:pPr>
        <w:ind w:left="1300" w:right="920" w:hanging="763"/>
        <w:spacing w:after="0" w:line="312" w:lineRule="auto"/>
        <w:tabs>
          <w:tab w:leader="none" w:pos="128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3.3</w:t>
      </w:r>
      <w:r>
        <w:rPr>
          <w:sz w:val="20"/>
          <w:szCs w:val="20"/>
          <w:color w:val="auto"/>
        </w:rPr>
        <w:tab/>
      </w:r>
      <w:hyperlink r:id="rId237">
        <w:r>
          <w:rPr>
            <w:rFonts w:ascii="Times New Roman" w:cs="Times New Roman" w:eastAsia="Times New Roman" w:hAnsi="Times New Roman"/>
            <w:sz w:val="17"/>
            <w:szCs w:val="17"/>
            <w:u w:val="single" w:color="auto"/>
            <w:color w:val="0000FF"/>
          </w:rPr>
          <w:t>Certificate of Correction to the Certificate of Elimination of the Series A Preferred Stock of the registrant, dated June 4, 2024</w:t>
        </w:r>
      </w:hyperlink>
      <w:r>
        <w:rPr>
          <w:rFonts w:ascii="Times New Roman" w:cs="Times New Roman" w:eastAsia="Times New Roman" w:hAnsi="Times New Roman"/>
          <w:sz w:val="17"/>
          <w:szCs w:val="17"/>
          <w:u w:val="single" w:color="auto"/>
          <w:color w:val="0000FF"/>
        </w:rPr>
        <w:t xml:space="preserve"> </w:t>
      </w:r>
      <w:hyperlink r:id="rId237">
        <w:r>
          <w:rPr>
            <w:rFonts w:ascii="Times New Roman" w:cs="Times New Roman" w:eastAsia="Times New Roman" w:hAnsi="Times New Roman"/>
            <w:sz w:val="17"/>
            <w:szCs w:val="17"/>
            <w:u w:val="single" w:color="auto"/>
            <w:color w:val="0000FF"/>
          </w:rPr>
          <w:t>(incorporated herein by reference to Exhibit 10.2 to the registrant’s Current Report on Form 8-K dated as of June 5, 2024).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824230</wp:posOffset>
            </wp:positionH>
            <wp:positionV relativeFrom="paragraph">
              <wp:posOffset>-198755</wp:posOffset>
            </wp:positionV>
            <wp:extent cx="575818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8">
                      <a:extLst>
                        <a:ext uri="{28A0092B-C50C-407E-A947-70E740481C1C}"/>
                      </a:extLst>
                    </a:blip>
                    <a:srcRect/>
                    <a:stretch>
                      <a:fillRect/>
                    </a:stretch>
                  </pic:blipFill>
                  <pic:spPr bwMode="auto">
                    <a:xfrm>
                      <a:off x="0" y="0"/>
                      <a:ext cx="5758180" cy="8255"/>
                    </a:xfrm>
                    <a:prstGeom prst="rect">
                      <a:avLst/>
                    </a:prstGeom>
                    <a:noFill/>
                  </pic:spPr>
                </pic:pic>
              </a:graphicData>
            </a:graphic>
          </wp:anchor>
        </w:drawing>
        <w:drawing>
          <wp:anchor simplePos="0" relativeHeight="251657728" behindDoc="1" locked="0" layoutInCell="0" allowOverlap="1">
            <wp:simplePos x="0" y="0"/>
            <wp:positionH relativeFrom="column">
              <wp:posOffset>824230</wp:posOffset>
            </wp:positionH>
            <wp:positionV relativeFrom="paragraph">
              <wp:posOffset>-61595</wp:posOffset>
            </wp:positionV>
            <wp:extent cx="5606415"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9">
                      <a:extLst>
                        <a:ext uri="{28A0092B-C50C-407E-A947-70E740481C1C}"/>
                      </a:extLst>
                    </a:blip>
                    <a:srcRect/>
                    <a:stretch>
                      <a:fillRect/>
                    </a:stretch>
                  </pic:blipFill>
                  <pic:spPr bwMode="auto">
                    <a:xfrm>
                      <a:off x="0" y="0"/>
                      <a:ext cx="5606415" cy="8255"/>
                    </a:xfrm>
                    <a:prstGeom prst="rect">
                      <a:avLst/>
                    </a:prstGeom>
                    <a:noFill/>
                  </pic:spPr>
                </pic:pic>
              </a:graphicData>
            </a:graphic>
          </wp:anchor>
        </w:drawing>
      </w:r>
    </w:p>
    <w:p>
      <w:pPr>
        <w:spacing w:after="0" w:line="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Instruments Defining the Rights of Security Holders, Including Indentures</w:t>
      </w:r>
    </w:p>
    <w:p>
      <w:pPr>
        <w:spacing w:after="0" w:line="135" w:lineRule="exact"/>
        <w:rPr>
          <w:sz w:val="20"/>
          <w:szCs w:val="20"/>
          <w:color w:val="auto"/>
        </w:rPr>
      </w:pPr>
    </w:p>
    <w:p>
      <w:pPr>
        <w:ind w:left="1300" w:right="140" w:hanging="763"/>
        <w:spacing w:after="0" w:line="282" w:lineRule="auto"/>
        <w:tabs>
          <w:tab w:leader="none" w:pos="12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4.1</w:t>
      </w:r>
      <w:r>
        <w:rPr>
          <w:sz w:val="20"/>
          <w:szCs w:val="20"/>
          <w:color w:val="auto"/>
        </w:rPr>
        <w:tab/>
      </w:r>
      <w:hyperlink r:id="rId240">
        <w:r>
          <w:rPr>
            <w:rFonts w:ascii="Times New Roman" w:cs="Times New Roman" w:eastAsia="Times New Roman" w:hAnsi="Times New Roman"/>
            <w:sz w:val="18"/>
            <w:szCs w:val="18"/>
            <w:u w:val="single" w:color="auto"/>
            <w:color w:val="0000FF"/>
          </w:rPr>
          <w:t>Description of the registrant’s Common Stock (incorporated herein by reference to Exhibit 4.1 to the registrant’s Registration Statement</w:t>
        </w:r>
      </w:hyperlink>
      <w:r>
        <w:rPr>
          <w:rFonts w:ascii="Times New Roman" w:cs="Times New Roman" w:eastAsia="Times New Roman" w:hAnsi="Times New Roman"/>
          <w:sz w:val="18"/>
          <w:szCs w:val="18"/>
          <w:u w:val="single" w:color="auto"/>
          <w:color w:val="0000FF"/>
        </w:rPr>
        <w:t xml:space="preserve"> </w:t>
      </w:r>
      <w:hyperlink r:id="rId240">
        <w:r>
          <w:rPr>
            <w:rFonts w:ascii="Times New Roman" w:cs="Times New Roman" w:eastAsia="Times New Roman" w:hAnsi="Times New Roman"/>
            <w:sz w:val="18"/>
            <w:szCs w:val="18"/>
            <w:u w:val="single" w:color="auto"/>
            <w:color w:val="0000FF"/>
          </w:rPr>
          <w:t>on Form S-3 dated as of February 20, 2025).</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824230</wp:posOffset>
            </wp:positionH>
            <wp:positionV relativeFrom="paragraph">
              <wp:posOffset>-185420</wp:posOffset>
            </wp:positionV>
            <wp:extent cx="624713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41">
                      <a:extLst>
                        <a:ext uri="{28A0092B-C50C-407E-A947-70E740481C1C}"/>
                      </a:extLst>
                    </a:blip>
                    <a:srcRect/>
                    <a:stretch>
                      <a:fillRect/>
                    </a:stretch>
                  </pic:blipFill>
                  <pic:spPr bwMode="auto">
                    <a:xfrm>
                      <a:off x="0" y="0"/>
                      <a:ext cx="6247130" cy="8255"/>
                    </a:xfrm>
                    <a:prstGeom prst="rect">
                      <a:avLst/>
                    </a:prstGeom>
                    <a:noFill/>
                  </pic:spPr>
                </pic:pic>
              </a:graphicData>
            </a:graphic>
          </wp:anchor>
        </w:drawing>
        <w:drawing>
          <wp:anchor simplePos="0" relativeHeight="251657728" behindDoc="1" locked="0" layoutInCell="0" allowOverlap="1">
            <wp:simplePos x="0" y="0"/>
            <wp:positionH relativeFrom="column">
              <wp:posOffset>824230</wp:posOffset>
            </wp:positionH>
            <wp:positionV relativeFrom="paragraph">
              <wp:posOffset>-48260</wp:posOffset>
            </wp:positionV>
            <wp:extent cx="203708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42">
                      <a:extLst>
                        <a:ext uri="{28A0092B-C50C-407E-A947-70E740481C1C}"/>
                      </a:extLst>
                    </a:blip>
                    <a:srcRect/>
                    <a:stretch>
                      <a:fillRect/>
                    </a:stretch>
                  </pic:blipFill>
                  <pic:spPr bwMode="auto">
                    <a:xfrm>
                      <a:off x="0" y="0"/>
                      <a:ext cx="2037080" cy="8890"/>
                    </a:xfrm>
                    <a:prstGeom prst="rect">
                      <a:avLst/>
                    </a:prstGeom>
                    <a:noFill/>
                  </pic:spPr>
                </pic:pic>
              </a:graphicData>
            </a:graphic>
          </wp:anchor>
        </w:drawing>
      </w:r>
    </w:p>
    <w:p>
      <w:pPr>
        <w:spacing w:after="0" w:line="47" w:lineRule="exact"/>
        <w:rPr>
          <w:sz w:val="20"/>
          <w:szCs w:val="20"/>
          <w:color w:val="auto"/>
        </w:rPr>
      </w:pPr>
    </w:p>
    <w:p>
      <w:pPr>
        <w:ind w:left="1300" w:right="80" w:hanging="763"/>
        <w:spacing w:after="0" w:line="282" w:lineRule="auto"/>
        <w:tabs>
          <w:tab w:leader="none" w:pos="12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4.2</w:t>
      </w:r>
      <w:r>
        <w:rPr>
          <w:sz w:val="20"/>
          <w:szCs w:val="20"/>
          <w:color w:val="auto"/>
        </w:rPr>
        <w:tab/>
      </w:r>
      <w:hyperlink r:id="rId243">
        <w:r>
          <w:rPr>
            <w:rFonts w:ascii="Times New Roman" w:cs="Times New Roman" w:eastAsia="Times New Roman" w:hAnsi="Times New Roman"/>
            <w:sz w:val="18"/>
            <w:szCs w:val="18"/>
            <w:u w:val="single" w:color="auto"/>
            <w:color w:val="0000FF"/>
          </w:rPr>
          <w:t>Form of Certificate evidencing Common Stock (incorporated herein by reference to Exhibit 4.6 to the registrant’s Registration Statement</w:t>
        </w:r>
      </w:hyperlink>
      <w:r>
        <w:rPr>
          <w:rFonts w:ascii="Times New Roman" w:cs="Times New Roman" w:eastAsia="Times New Roman" w:hAnsi="Times New Roman"/>
          <w:sz w:val="18"/>
          <w:szCs w:val="18"/>
          <w:u w:val="single" w:color="auto"/>
          <w:color w:val="0000FF"/>
        </w:rPr>
        <w:t xml:space="preserve"> </w:t>
      </w:r>
      <w:hyperlink r:id="rId243">
        <w:r>
          <w:rPr>
            <w:rFonts w:ascii="Times New Roman" w:cs="Times New Roman" w:eastAsia="Times New Roman" w:hAnsi="Times New Roman"/>
            <w:sz w:val="18"/>
            <w:szCs w:val="18"/>
            <w:u w:val="single" w:color="auto"/>
            <w:color w:val="0000FF"/>
          </w:rPr>
          <w:t>on Form S-8 dated as of June 7, 2023).</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824230</wp:posOffset>
            </wp:positionH>
            <wp:positionV relativeFrom="paragraph">
              <wp:posOffset>-185420</wp:posOffset>
            </wp:positionV>
            <wp:extent cx="628269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4">
                      <a:extLst>
                        <a:ext uri="{28A0092B-C50C-407E-A947-70E740481C1C}"/>
                      </a:extLst>
                    </a:blip>
                    <a:srcRect/>
                    <a:stretch>
                      <a:fillRect/>
                    </a:stretch>
                  </pic:blipFill>
                  <pic:spPr bwMode="auto">
                    <a:xfrm>
                      <a:off x="0" y="0"/>
                      <a:ext cx="6282690" cy="8890"/>
                    </a:xfrm>
                    <a:prstGeom prst="rect">
                      <a:avLst/>
                    </a:prstGeom>
                    <a:noFill/>
                  </pic:spPr>
                </pic:pic>
              </a:graphicData>
            </a:graphic>
          </wp:anchor>
        </w:drawing>
        <w:drawing>
          <wp:anchor simplePos="0" relativeHeight="251657728" behindDoc="1" locked="0" layoutInCell="0" allowOverlap="1">
            <wp:simplePos x="0" y="0"/>
            <wp:positionH relativeFrom="column">
              <wp:posOffset>824230</wp:posOffset>
            </wp:positionH>
            <wp:positionV relativeFrom="paragraph">
              <wp:posOffset>-48260</wp:posOffset>
            </wp:positionV>
            <wp:extent cx="177736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5">
                      <a:extLst>
                        <a:ext uri="{28A0092B-C50C-407E-A947-70E740481C1C}"/>
                      </a:extLst>
                    </a:blip>
                    <a:srcRect/>
                    <a:stretch>
                      <a:fillRect/>
                    </a:stretch>
                  </pic:blipFill>
                  <pic:spPr bwMode="auto">
                    <a:xfrm>
                      <a:off x="0" y="0"/>
                      <a:ext cx="1777365" cy="8255"/>
                    </a:xfrm>
                    <a:prstGeom prst="rect">
                      <a:avLst/>
                    </a:prstGeom>
                    <a:noFill/>
                  </pic:spPr>
                </pic:pic>
              </a:graphicData>
            </a:graphic>
          </wp:anchor>
        </w:drawing>
      </w:r>
    </w:p>
    <w:p>
      <w:pPr>
        <w:spacing w:after="0" w:line="47" w:lineRule="exact"/>
        <w:rPr>
          <w:sz w:val="20"/>
          <w:szCs w:val="20"/>
          <w:color w:val="auto"/>
        </w:rPr>
      </w:pPr>
    </w:p>
    <w:p>
      <w:pPr>
        <w:ind w:left="1300" w:right="80" w:hanging="763"/>
        <w:spacing w:after="0" w:line="282" w:lineRule="auto"/>
        <w:tabs>
          <w:tab w:leader="none" w:pos="12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4.3</w:t>
      </w:r>
      <w:r>
        <w:rPr>
          <w:sz w:val="20"/>
          <w:szCs w:val="20"/>
          <w:color w:val="auto"/>
        </w:rPr>
        <w:tab/>
      </w:r>
      <w:hyperlink r:id="rId246">
        <w:r>
          <w:rPr>
            <w:rFonts w:ascii="Times New Roman" w:cs="Times New Roman" w:eastAsia="Times New Roman" w:hAnsi="Times New Roman"/>
            <w:sz w:val="18"/>
            <w:szCs w:val="18"/>
            <w:u w:val="single" w:color="auto"/>
            <w:color w:val="0000FF"/>
          </w:rPr>
          <w:t>Indenture, dated as of February 17, 2021, by and between Radiant Funding SPV, LLC and Truist Bank (incorporated herein by reference</w:t>
        </w:r>
      </w:hyperlink>
      <w:r>
        <w:rPr>
          <w:rFonts w:ascii="Times New Roman" w:cs="Times New Roman" w:eastAsia="Times New Roman" w:hAnsi="Times New Roman"/>
          <w:sz w:val="18"/>
          <w:szCs w:val="18"/>
          <w:u w:val="single" w:color="auto"/>
          <w:color w:val="0000FF"/>
        </w:rPr>
        <w:t xml:space="preserve"> </w:t>
      </w:r>
      <w:hyperlink r:id="rId246">
        <w:r>
          <w:rPr>
            <w:rFonts w:ascii="Times New Roman" w:cs="Times New Roman" w:eastAsia="Times New Roman" w:hAnsi="Times New Roman"/>
            <w:sz w:val="18"/>
            <w:szCs w:val="18"/>
            <w:u w:val="single" w:color="auto"/>
            <w:color w:val="0000FF"/>
          </w:rPr>
          <w:t>to Exhibit 4.1 to the registrant’s Current Report on Form 8-K dated as of February 17, 2021).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824230</wp:posOffset>
            </wp:positionH>
            <wp:positionV relativeFrom="paragraph">
              <wp:posOffset>-185420</wp:posOffset>
            </wp:positionV>
            <wp:extent cx="628269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7">
                      <a:extLst>
                        <a:ext uri="{28A0092B-C50C-407E-A947-70E740481C1C}"/>
                      </a:extLst>
                    </a:blip>
                    <a:srcRect/>
                    <a:stretch>
                      <a:fillRect/>
                    </a:stretch>
                  </pic:blipFill>
                  <pic:spPr bwMode="auto">
                    <a:xfrm>
                      <a:off x="0" y="0"/>
                      <a:ext cx="6282690" cy="8890"/>
                    </a:xfrm>
                    <a:prstGeom prst="rect">
                      <a:avLst/>
                    </a:prstGeom>
                    <a:noFill/>
                  </pic:spPr>
                </pic:pic>
              </a:graphicData>
            </a:graphic>
          </wp:anchor>
        </w:drawing>
        <w:drawing>
          <wp:anchor simplePos="0" relativeHeight="251657728" behindDoc="1" locked="0" layoutInCell="0" allowOverlap="1">
            <wp:simplePos x="0" y="0"/>
            <wp:positionH relativeFrom="column">
              <wp:posOffset>824230</wp:posOffset>
            </wp:positionH>
            <wp:positionV relativeFrom="paragraph">
              <wp:posOffset>-48260</wp:posOffset>
            </wp:positionV>
            <wp:extent cx="4255135"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8">
                      <a:extLst>
                        <a:ext uri="{28A0092B-C50C-407E-A947-70E740481C1C}"/>
                      </a:extLst>
                    </a:blip>
                    <a:srcRect/>
                    <a:stretch>
                      <a:fillRect/>
                    </a:stretch>
                  </pic:blipFill>
                  <pic:spPr bwMode="auto">
                    <a:xfrm>
                      <a:off x="0" y="0"/>
                      <a:ext cx="4255135" cy="8255"/>
                    </a:xfrm>
                    <a:prstGeom prst="rect">
                      <a:avLst/>
                    </a:prstGeom>
                    <a:noFill/>
                  </pic:spPr>
                </pic:pic>
              </a:graphicData>
            </a:graphic>
          </wp:anchor>
        </w:drawing>
      </w:r>
    </w:p>
    <w:p>
      <w:pPr>
        <w:spacing w:after="0" w:line="2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i w:val="1"/>
          <w:iCs w:val="1"/>
          <w:color w:val="auto"/>
        </w:rPr>
        <w:t>Material Contracts</w:t>
      </w:r>
    </w:p>
    <w:p>
      <w:pPr>
        <w:spacing w:after="0" w:line="135" w:lineRule="exact"/>
        <w:rPr>
          <w:sz w:val="20"/>
          <w:szCs w:val="20"/>
          <w:color w:val="auto"/>
        </w:rPr>
      </w:pPr>
    </w:p>
    <w:p>
      <w:pPr>
        <w:ind w:left="1200" w:right="40" w:hanging="777"/>
        <w:spacing w:after="0" w:line="266" w:lineRule="auto"/>
        <w:tabs>
          <w:tab w:leader="none" w:pos="11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10.6</w:t>
      </w:r>
      <w:r>
        <w:rPr>
          <w:sz w:val="20"/>
          <w:szCs w:val="20"/>
          <w:color w:val="auto"/>
        </w:rPr>
        <w:tab/>
      </w:r>
      <w:hyperlink r:id="rId250">
        <w:r>
          <w:rPr>
            <w:rFonts w:ascii="Times New Roman" w:cs="Times New Roman" w:eastAsia="Times New Roman" w:hAnsi="Times New Roman"/>
            <w:sz w:val="18"/>
            <w:szCs w:val="18"/>
            <w:u w:val="single" w:color="auto"/>
            <w:color w:val="0000FF"/>
          </w:rPr>
          <w:t>Form of Upbound Group, Inc. 2026 Long-Term Incentive Plan Performance Stock Unit Award Agreement (PSU)(effective August 2026)</w:t>
        </w:r>
      </w:hyperlink>
      <w:r>
        <w:rPr>
          <w:rFonts w:ascii="Times New Roman" w:cs="Times New Roman" w:eastAsia="Times New Roman" w:hAnsi="Times New Roman"/>
          <w:sz w:val="18"/>
          <w:szCs w:val="18"/>
          <w:u w:val="single" w:color="auto"/>
          <w:color w:val="0000FF"/>
        </w:rPr>
        <w:t xml:space="preserve"> </w:t>
      </w:r>
      <w:hyperlink r:id="rId250">
        <w:r>
          <w:rPr>
            <w:rFonts w:ascii="Times New Roman" w:cs="Times New Roman" w:eastAsia="Times New Roman" w:hAnsi="Times New Roman"/>
            <w:sz w:val="18"/>
            <w:szCs w:val="18"/>
            <w:u w:val="single" w:color="auto"/>
            <w:color w:val="0000FF"/>
          </w:rPr>
          <w:t>(incorporated herein by reference to Exhibit 10.6 to the registrant’s Quarterly Report on Form10-Q for the quarter ended June 30, 2026,</w:t>
        </w:r>
      </w:hyperlink>
      <w:r>
        <w:rPr>
          <w:rFonts w:ascii="Times New Roman" w:cs="Times New Roman" w:eastAsia="Times New Roman" w:hAnsi="Times New Roman"/>
          <w:sz w:val="18"/>
          <w:szCs w:val="18"/>
          <w:u w:val="single" w:color="auto"/>
          <w:color w:val="0000FF"/>
        </w:rPr>
        <w:t xml:space="preserve"> </w:t>
      </w:r>
      <w:hyperlink r:id="rId250">
        <w:r>
          <w:rPr>
            <w:rFonts w:ascii="Times New Roman" w:cs="Times New Roman" w:eastAsia="Times New Roman" w:hAnsi="Times New Roman"/>
            <w:sz w:val="18"/>
            <w:szCs w:val="18"/>
            <w:u w:val="single" w:color="auto"/>
            <w:color w:val="0000FF"/>
          </w:rPr>
          <w:t>filed on July 31, 2026).</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755650</wp:posOffset>
            </wp:positionH>
            <wp:positionV relativeFrom="paragraph">
              <wp:posOffset>-313055</wp:posOffset>
            </wp:positionV>
            <wp:extent cx="631698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51">
                      <a:extLst>
                        <a:ext uri="{28A0092B-C50C-407E-A947-70E740481C1C}"/>
                      </a:extLst>
                    </a:blip>
                    <a:srcRect/>
                    <a:stretch>
                      <a:fillRect/>
                    </a:stretch>
                  </pic:blipFill>
                  <pic:spPr bwMode="auto">
                    <a:xfrm>
                      <a:off x="0" y="0"/>
                      <a:ext cx="6316980" cy="8255"/>
                    </a:xfrm>
                    <a:prstGeom prst="rect">
                      <a:avLst/>
                    </a:prstGeom>
                    <a:noFill/>
                  </pic:spPr>
                </pic:pic>
              </a:graphicData>
            </a:graphic>
          </wp:anchor>
        </w:drawing>
        <w:drawing>
          <wp:anchor simplePos="0" relativeHeight="251657728" behindDoc="1" locked="0" layoutInCell="0" allowOverlap="1">
            <wp:simplePos x="0" y="0"/>
            <wp:positionH relativeFrom="column">
              <wp:posOffset>755650</wp:posOffset>
            </wp:positionH>
            <wp:positionV relativeFrom="paragraph">
              <wp:posOffset>-175895</wp:posOffset>
            </wp:positionV>
            <wp:extent cx="6231255"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52">
                      <a:extLst>
                        <a:ext uri="{28A0092B-C50C-407E-A947-70E740481C1C}"/>
                      </a:extLst>
                    </a:blip>
                    <a:srcRect/>
                    <a:stretch>
                      <a:fillRect/>
                    </a:stretch>
                  </pic:blipFill>
                  <pic:spPr bwMode="auto">
                    <a:xfrm>
                      <a:off x="0" y="0"/>
                      <a:ext cx="6231255" cy="8255"/>
                    </a:xfrm>
                    <a:prstGeom prst="rect">
                      <a:avLst/>
                    </a:prstGeom>
                    <a:noFill/>
                  </pic:spPr>
                </pic:pic>
              </a:graphicData>
            </a:graphic>
          </wp:anchor>
        </w:drawing>
        <w:drawing>
          <wp:anchor simplePos="0" relativeHeight="251657728" behindDoc="1" locked="0" layoutInCell="0" allowOverlap="1">
            <wp:simplePos x="0" y="0"/>
            <wp:positionH relativeFrom="column">
              <wp:posOffset>755650</wp:posOffset>
            </wp:positionH>
            <wp:positionV relativeFrom="paragraph">
              <wp:posOffset>-38735</wp:posOffset>
            </wp:positionV>
            <wp:extent cx="1066165"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53">
                      <a:extLst>
                        <a:ext uri="{28A0092B-C50C-407E-A947-70E740481C1C}"/>
                      </a:extLst>
                    </a:blip>
                    <a:srcRect/>
                    <a:stretch>
                      <a:fillRect/>
                    </a:stretch>
                  </pic:blipFill>
                  <pic:spPr bwMode="auto">
                    <a:xfrm>
                      <a:off x="0" y="0"/>
                      <a:ext cx="1066165" cy="8255"/>
                    </a:xfrm>
                    <a:prstGeom prst="rect">
                      <a:avLst/>
                    </a:prstGeom>
                    <a:noFill/>
                  </pic:spPr>
                </pic:pic>
              </a:graphicData>
            </a:graphic>
          </wp:anchor>
        </w:drawing>
      </w:r>
    </w:p>
    <w:p>
      <w:pPr>
        <w:spacing w:after="0" w:line="57" w:lineRule="exact"/>
        <w:rPr>
          <w:rFonts w:ascii="Times New Roman" w:cs="Times New Roman" w:eastAsia="Times New Roman" w:hAnsi="Times New Roman"/>
          <w:sz w:val="18"/>
          <w:szCs w:val="18"/>
          <w:u w:val="single" w:color="auto"/>
          <w:color w:val="0000FF"/>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Exhibits and Certifications</w:t>
      </w:r>
    </w:p>
    <w:p>
      <w:pPr>
        <w:spacing w:after="0" w:line="121" w:lineRule="exact"/>
        <w:rPr>
          <w:rFonts w:ascii="Times New Roman" w:cs="Times New Roman" w:eastAsia="Times New Roman" w:hAnsi="Times New Roman"/>
          <w:sz w:val="18"/>
          <w:szCs w:val="18"/>
          <w:u w:val="single" w:color="auto"/>
          <w:color w:val="0000FF"/>
        </w:rPr>
      </w:pPr>
    </w:p>
    <w:tbl>
      <w:tblPr>
        <w:tblLayout w:type="fixed"/>
        <w:tblInd w:w="180" w:type="dxa"/>
        <w:tblCellMar>
          <w:top w:w="0" w:type="dxa"/>
          <w:left w:w="0" w:type="dxa"/>
          <w:bottom w:w="0" w:type="dxa"/>
          <w:right w:w="0" w:type="dxa"/>
        </w:tblCellMar>
      </w:tblPr>
      <w:tr>
        <w:trPr>
          <w:trHeight w:val="207"/>
        </w:trPr>
        <w:tc>
          <w:tcPr>
            <w:tcW w:w="1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31.1*</w:t>
            </w:r>
          </w:p>
        </w:tc>
        <w:tc>
          <w:tcPr>
            <w:tcW w:w="988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99"/>
              </w:rPr>
              <w:t>Certification pursuant to Rule 13a-14(a) of the Securities Exchange Act of 1934 implementing Section 302 of the Sarbanes-Oxley Act of</w:t>
            </w:r>
          </w:p>
        </w:tc>
      </w:tr>
      <w:tr>
        <w:trPr>
          <w:trHeight w:val="20"/>
        </w:trPr>
        <w:tc>
          <w:tcPr>
            <w:tcW w:w="1080" w:type="dxa"/>
            <w:vAlign w:val="bottom"/>
          </w:tcPr>
          <w:p>
            <w:pPr>
              <w:spacing w:after="0" w:line="20" w:lineRule="exact"/>
              <w:rPr>
                <w:sz w:val="1"/>
                <w:szCs w:val="1"/>
                <w:color w:val="auto"/>
              </w:rPr>
            </w:pPr>
          </w:p>
        </w:tc>
        <w:tc>
          <w:tcPr>
            <w:tcW w:w="144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80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988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FF"/>
              </w:rPr>
              <w:t>2002 by Fahmi Karam</w:t>
            </w:r>
          </w:p>
        </w:tc>
      </w:tr>
      <w:tr>
        <w:trPr>
          <w:trHeight w:val="20"/>
        </w:trPr>
        <w:tc>
          <w:tcPr>
            <w:tcW w:w="1080" w:type="dxa"/>
            <w:vAlign w:val="bottom"/>
            <w:tcBorders>
              <w:right w:val="single" w:sz="8" w:color="0000EE"/>
            </w:tcBorders>
          </w:tcPr>
          <w:p>
            <w:pPr>
              <w:spacing w:after="0" w:line="20" w:lineRule="exact"/>
              <w:rPr>
                <w:sz w:val="1"/>
                <w:szCs w:val="1"/>
                <w:color w:val="auto"/>
              </w:rPr>
            </w:pPr>
          </w:p>
        </w:tc>
        <w:tc>
          <w:tcPr>
            <w:tcW w:w="144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EE"/>
            </w:tcBorders>
            <w:shd w:val="clear" w:color="auto" w:fill="0000FF"/>
          </w:tcPr>
          <w:p>
            <w:pPr>
              <w:spacing w:after="0" w:line="20" w:lineRule="exact"/>
              <w:rPr>
                <w:sz w:val="1"/>
                <w:szCs w:val="1"/>
                <w:color w:val="auto"/>
              </w:rPr>
            </w:pPr>
          </w:p>
        </w:tc>
        <w:tc>
          <w:tcPr>
            <w:tcW w:w="80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31.2*</w:t>
            </w:r>
          </w:p>
        </w:tc>
        <w:tc>
          <w:tcPr>
            <w:tcW w:w="988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99"/>
              </w:rPr>
              <w:t>Certification pursuant to Rule 13a-14(a) of the Securities Exchange Act of 1934 implementing Section 302 of the Sarbanes-Oxley Act of</w:t>
            </w:r>
          </w:p>
        </w:tc>
      </w:tr>
      <w:tr>
        <w:trPr>
          <w:trHeight w:val="20"/>
        </w:trPr>
        <w:tc>
          <w:tcPr>
            <w:tcW w:w="1080" w:type="dxa"/>
            <w:vAlign w:val="bottom"/>
          </w:tcPr>
          <w:p>
            <w:pPr>
              <w:spacing w:after="0" w:line="20" w:lineRule="exact"/>
              <w:rPr>
                <w:sz w:val="1"/>
                <w:szCs w:val="1"/>
                <w:color w:val="auto"/>
              </w:rPr>
            </w:pPr>
          </w:p>
        </w:tc>
        <w:tc>
          <w:tcPr>
            <w:tcW w:w="1440" w:type="dxa"/>
            <w:vAlign w:val="bottom"/>
            <w:tcBorders>
              <w:right w:val="single" w:sz="8" w:color="0000FF"/>
            </w:tcBorders>
            <w:shd w:val="clear" w:color="auto" w:fill="0000FF"/>
          </w:tcPr>
          <w:p>
            <w:pPr>
              <w:spacing w:after="0" w:line="20" w:lineRule="exact"/>
              <w:rPr>
                <w:sz w:val="1"/>
                <w:szCs w:val="1"/>
                <w:color w:val="auto"/>
              </w:rPr>
            </w:pPr>
          </w:p>
        </w:tc>
        <w:tc>
          <w:tcPr>
            <w:tcW w:w="824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988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FF"/>
              </w:rPr>
              <w:t>2002 by Hal Khouri</w:t>
            </w:r>
          </w:p>
        </w:tc>
      </w:tr>
      <w:tr>
        <w:trPr>
          <w:trHeight w:val="20"/>
        </w:trPr>
        <w:tc>
          <w:tcPr>
            <w:tcW w:w="1080" w:type="dxa"/>
            <w:vAlign w:val="bottom"/>
            <w:tcBorders>
              <w:right w:val="single" w:sz="8" w:color="0000EE"/>
            </w:tcBorders>
          </w:tcPr>
          <w:p>
            <w:pPr>
              <w:spacing w:after="0" w:line="20" w:lineRule="exact"/>
              <w:rPr>
                <w:sz w:val="1"/>
                <w:szCs w:val="1"/>
                <w:color w:val="auto"/>
              </w:rPr>
            </w:pPr>
          </w:p>
        </w:tc>
        <w:tc>
          <w:tcPr>
            <w:tcW w:w="1440" w:type="dxa"/>
            <w:vAlign w:val="bottom"/>
            <w:tcBorders>
              <w:right w:val="single" w:sz="8" w:color="0000EE"/>
            </w:tcBorders>
            <w:shd w:val="clear" w:color="auto" w:fill="0000FF"/>
          </w:tcPr>
          <w:p>
            <w:pPr>
              <w:spacing w:after="0" w:line="20" w:lineRule="exact"/>
              <w:rPr>
                <w:sz w:val="1"/>
                <w:szCs w:val="1"/>
                <w:color w:val="auto"/>
              </w:rPr>
            </w:pPr>
          </w:p>
        </w:tc>
        <w:tc>
          <w:tcPr>
            <w:tcW w:w="82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32.1*</w:t>
            </w:r>
          </w:p>
        </w:tc>
        <w:tc>
          <w:tcPr>
            <w:tcW w:w="988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99"/>
              </w:rPr>
              <w:t>Certification pursuant to 18 U.S.C. Section 1350 as adopted pursuant to Section 906 of the Sarbanes-Oxley Act of 2002 by Fahmi Karam</w:t>
            </w:r>
          </w:p>
        </w:tc>
      </w:tr>
      <w:tr>
        <w:trPr>
          <w:trHeight w:val="20"/>
        </w:trPr>
        <w:tc>
          <w:tcPr>
            <w:tcW w:w="1080" w:type="dxa"/>
            <w:vAlign w:val="bottom"/>
            <w:tcBorders>
              <w:right w:val="single" w:sz="8" w:color="0000EE"/>
            </w:tcBorders>
          </w:tcPr>
          <w:p>
            <w:pPr>
              <w:spacing w:after="0" w:line="20" w:lineRule="exact"/>
              <w:rPr>
                <w:sz w:val="1"/>
                <w:szCs w:val="1"/>
                <w:color w:val="auto"/>
              </w:rPr>
            </w:pPr>
          </w:p>
        </w:tc>
        <w:tc>
          <w:tcPr>
            <w:tcW w:w="9680" w:type="dxa"/>
            <w:vAlign w:val="bottom"/>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32.2*</w:t>
            </w:r>
          </w:p>
        </w:tc>
        <w:tc>
          <w:tcPr>
            <w:tcW w:w="988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Certification pursuant to 18 U.S.C. Section 1350 as adopted pursuant to Section 906 of the Sarbanes-Oxley Act of 2002 by Hal Khouri</w:t>
            </w:r>
          </w:p>
        </w:tc>
      </w:tr>
      <w:tr>
        <w:trPr>
          <w:trHeight w:val="20"/>
        </w:trPr>
        <w:tc>
          <w:tcPr>
            <w:tcW w:w="1080" w:type="dxa"/>
            <w:vAlign w:val="bottom"/>
            <w:tcBorders>
              <w:right w:val="single" w:sz="8" w:color="0000EE"/>
            </w:tcBorders>
          </w:tcPr>
          <w:p>
            <w:pPr>
              <w:spacing w:after="0" w:line="20" w:lineRule="exact"/>
              <w:rPr>
                <w:sz w:val="1"/>
                <w:szCs w:val="1"/>
                <w:color w:val="auto"/>
              </w:rPr>
            </w:pPr>
          </w:p>
        </w:tc>
        <w:tc>
          <w:tcPr>
            <w:tcW w:w="9680" w:type="dxa"/>
            <w:vAlign w:val="bottom"/>
            <w:gridSpan w:val="3"/>
            <w:shd w:val="clear" w:color="auto" w:fill="0000FF"/>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r>
      <w:tr>
        <w:trPr>
          <w:trHeight w:val="340"/>
        </w:trPr>
        <w:tc>
          <w:tcPr>
            <w:tcW w:w="108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rPr>
              <w:t>101.INS*</w:t>
            </w:r>
          </w:p>
        </w:tc>
        <w:tc>
          <w:tcPr>
            <w:tcW w:w="98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XBRL Instance Document - The instance document does not appear in the interactive data files because its XBRL tags are embedded</w:t>
            </w:r>
          </w:p>
        </w:tc>
      </w:tr>
      <w:tr>
        <w:trPr>
          <w:trHeight w:val="234"/>
        </w:trPr>
        <w:tc>
          <w:tcPr>
            <w:tcW w:w="1080" w:type="dxa"/>
            <w:vAlign w:val="bottom"/>
          </w:tcPr>
          <w:p>
            <w:pPr>
              <w:spacing w:after="0"/>
              <w:rPr>
                <w:sz w:val="20"/>
                <w:szCs w:val="20"/>
                <w:color w:val="auto"/>
              </w:rPr>
            </w:pPr>
          </w:p>
        </w:tc>
        <w:tc>
          <w:tcPr>
            <w:tcW w:w="98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r>
      <w:tr>
        <w:trPr>
          <w:trHeight w:val="338"/>
        </w:trPr>
        <w:tc>
          <w:tcPr>
            <w:tcW w:w="108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7"/>
              </w:rPr>
              <w:t>101.SCH*</w:t>
            </w:r>
          </w:p>
        </w:tc>
        <w:tc>
          <w:tcPr>
            <w:tcW w:w="98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r>
      <w:tr>
        <w:trPr>
          <w:trHeight w:val="338"/>
        </w:trPr>
        <w:tc>
          <w:tcPr>
            <w:tcW w:w="108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rPr>
              <w:t>101.CAL*</w:t>
            </w:r>
          </w:p>
        </w:tc>
        <w:tc>
          <w:tcPr>
            <w:tcW w:w="98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r>
      <w:tr>
        <w:trPr>
          <w:trHeight w:val="338"/>
        </w:trPr>
        <w:tc>
          <w:tcPr>
            <w:tcW w:w="108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9"/>
              </w:rPr>
              <w:t>101.DEF*</w:t>
            </w:r>
          </w:p>
        </w:tc>
        <w:tc>
          <w:tcPr>
            <w:tcW w:w="98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r>
      <w:tr>
        <w:trPr>
          <w:trHeight w:val="338"/>
        </w:trPr>
        <w:tc>
          <w:tcPr>
            <w:tcW w:w="108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rPr>
              <w:t>101.LAB*</w:t>
            </w:r>
          </w:p>
        </w:tc>
        <w:tc>
          <w:tcPr>
            <w:tcW w:w="98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r>
      <w:tr>
        <w:trPr>
          <w:trHeight w:val="338"/>
        </w:trPr>
        <w:tc>
          <w:tcPr>
            <w:tcW w:w="108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rPr>
              <w:t>101.PRE*</w:t>
            </w:r>
          </w:p>
        </w:tc>
        <w:tc>
          <w:tcPr>
            <w:tcW w:w="98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r>
      <w:tr>
        <w:trPr>
          <w:trHeight w:val="331"/>
        </w:trPr>
        <w:tc>
          <w:tcPr>
            <w:tcW w:w="1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104*</w:t>
            </w:r>
          </w:p>
        </w:tc>
        <w:tc>
          <w:tcPr>
            <w:tcW w:w="98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 contained in Exhibit 101)</w:t>
            </w:r>
          </w:p>
        </w:tc>
      </w:tr>
    </w:tbl>
    <w:p>
      <w:pPr>
        <w:ind w:left="1240" w:hanging="731"/>
        <w:spacing w:after="0"/>
        <w:tabs>
          <w:tab w:leader="none" w:pos="124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Filed herewith., except Exhibits 32.1 and 32.2, which are furnished herewith.</w:t>
      </w:r>
    </w:p>
    <w:p>
      <w:pPr>
        <w:spacing w:after="0" w:line="192" w:lineRule="exact"/>
        <w:rPr>
          <w:rFonts w:ascii="Times New Roman" w:cs="Times New Roman" w:eastAsia="Times New Roman" w:hAnsi="Times New Roman"/>
          <w:sz w:val="18"/>
          <w:szCs w:val="18"/>
          <w:u w:val="single" w:color="auto"/>
          <w:color w:val="0000FF"/>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-45085</wp:posOffset>
            </wp:positionH>
            <wp:positionV relativeFrom="paragraph">
              <wp:posOffset>227330</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80" w:top="765" w:right="37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12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67"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UPBOUND GROUP, INC.</w:t>
      </w:r>
    </w:p>
    <w:p>
      <w:pPr>
        <w:spacing w:after="0" w:line="225" w:lineRule="exact"/>
        <w:rPr>
          <w:sz w:val="20"/>
          <w:szCs w:val="20"/>
          <w:color w:val="auto"/>
        </w:rPr>
      </w:pPr>
    </w:p>
    <w:tbl>
      <w:tblPr>
        <w:tblLayout w:type="fixed"/>
        <w:tblInd w:w="5760" w:type="dxa"/>
        <w:tblCellMar>
          <w:top w:w="0" w:type="dxa"/>
          <w:left w:w="0" w:type="dxa"/>
          <w:bottom w:w="0" w:type="dxa"/>
          <w:right w:w="0" w:type="dxa"/>
        </w:tblCellMar>
      </w:tblPr>
      <w:tr>
        <w:trPr>
          <w:trHeight w:val="234"/>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w:t>
            </w:r>
          </w:p>
        </w:tc>
        <w:tc>
          <w:tcPr>
            <w:tcW w:w="4440" w:type="dxa"/>
            <w:vAlign w:val="bottom"/>
          </w:tcPr>
          <w:p>
            <w:pPr>
              <w:jc w:val="center"/>
              <w:ind w:right="670"/>
              <w:spacing w:after="0"/>
              <w:rPr>
                <w:sz w:val="20"/>
                <w:szCs w:val="20"/>
                <w:color w:val="auto"/>
              </w:rPr>
            </w:pPr>
            <w:r>
              <w:rPr>
                <w:rFonts w:ascii="Times New Roman" w:cs="Times New Roman" w:eastAsia="Times New Roman" w:hAnsi="Times New Roman"/>
                <w:sz w:val="18"/>
                <w:szCs w:val="18"/>
                <w:color w:val="auto"/>
                <w:w w:val="99"/>
              </w:rPr>
              <w:t>/S/ HAL KHOURI</w:t>
            </w:r>
          </w:p>
        </w:tc>
      </w:tr>
      <w:tr>
        <w:trPr>
          <w:trHeight w:val="189"/>
        </w:trPr>
        <w:tc>
          <w:tcPr>
            <w:tcW w:w="260" w:type="dxa"/>
            <w:vAlign w:val="bottom"/>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4440" w:type="dxa"/>
            <w:vAlign w:val="bottom"/>
            <w:tcBorders>
              <w:top w:val="single" w:sz="8" w:color="auto"/>
            </w:tcBorders>
          </w:tcPr>
          <w:p>
            <w:pPr>
              <w:jc w:val="center"/>
              <w:ind w:right="690"/>
              <w:spacing w:after="0" w:line="189" w:lineRule="exact"/>
              <w:rPr>
                <w:sz w:val="20"/>
                <w:szCs w:val="20"/>
                <w:color w:val="auto"/>
              </w:rPr>
            </w:pPr>
            <w:r>
              <w:rPr>
                <w:rFonts w:ascii="Times New Roman" w:cs="Times New Roman" w:eastAsia="Times New Roman" w:hAnsi="Times New Roman"/>
                <w:sz w:val="18"/>
                <w:szCs w:val="18"/>
                <w:color w:val="auto"/>
              </w:rPr>
              <w:t>Hal Khouri</w:t>
            </w:r>
          </w:p>
        </w:tc>
      </w:tr>
      <w:tr>
        <w:trPr>
          <w:trHeight w:val="236"/>
        </w:trPr>
        <w:tc>
          <w:tcPr>
            <w:tcW w:w="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440" w:type="dxa"/>
            <w:vAlign w:val="bottom"/>
          </w:tcPr>
          <w:p>
            <w:pPr>
              <w:jc w:val="center"/>
              <w:ind w:right="690"/>
              <w:spacing w:after="0"/>
              <w:rPr>
                <w:sz w:val="20"/>
                <w:szCs w:val="20"/>
                <w:color w:val="auto"/>
              </w:rPr>
            </w:pPr>
            <w:r>
              <w:rPr>
                <w:rFonts w:ascii="Times New Roman" w:cs="Times New Roman" w:eastAsia="Times New Roman" w:hAnsi="Times New Roman"/>
                <w:sz w:val="18"/>
                <w:szCs w:val="18"/>
                <w:i w:val="1"/>
                <w:iCs w:val="1"/>
                <w:color w:val="auto"/>
                <w:w w:val="99"/>
              </w:rPr>
              <w:t>EVP, Chief Financial Officer</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29, 2026</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22"/>
          <w:szCs w:val="22"/>
          <w:u w:val="single" w:color="auto"/>
          <w:color w:val="auto"/>
        </w:rPr>
        <w:t>Exhibit 31.1</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Fahmi Karam, certify that:</w:t>
      </w:r>
    </w:p>
    <w:p>
      <w:pPr>
        <w:spacing w:after="0" w:line="225" w:lineRule="exact"/>
        <w:rPr>
          <w:sz w:val="20"/>
          <w:szCs w:val="20"/>
          <w:color w:val="auto"/>
        </w:rPr>
      </w:pPr>
    </w:p>
    <w:p>
      <w:pPr>
        <w:ind w:left="1120" w:hanging="363"/>
        <w:spacing w:after="0"/>
        <w:tabs>
          <w:tab w:leader="none" w:pos="11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Upbound Group, Inc.;</w:t>
      </w:r>
    </w:p>
    <w:p>
      <w:pPr>
        <w:spacing w:after="0" w:line="225" w:lineRule="exact"/>
        <w:rPr>
          <w:rFonts w:ascii="Times New Roman" w:cs="Times New Roman" w:eastAsia="Times New Roman" w:hAnsi="Times New Roman"/>
          <w:sz w:val="18"/>
          <w:szCs w:val="18"/>
          <w:color w:val="auto"/>
        </w:rPr>
      </w:pPr>
    </w:p>
    <w:p>
      <w:pPr>
        <w:jc w:val="both"/>
        <w:ind w:firstLine="757"/>
        <w:spacing w:after="0" w:line="266" w:lineRule="auto"/>
        <w:tabs>
          <w:tab w:leader="none" w:pos="1109"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right="40" w:firstLine="757"/>
        <w:spacing w:after="0" w:line="282" w:lineRule="auto"/>
        <w:tabs>
          <w:tab w:leader="none" w:pos="1109"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firstLine="757"/>
        <w:spacing w:after="0" w:line="261" w:lineRule="auto"/>
        <w:tabs>
          <w:tab w:leader="none" w:pos="1109"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15d-15(f)) for the registrant and have:</w:t>
      </w:r>
    </w:p>
    <w:p>
      <w:pPr>
        <w:spacing w:after="0" w:line="207" w:lineRule="exact"/>
        <w:rPr>
          <w:sz w:val="20"/>
          <w:szCs w:val="20"/>
          <w:color w:val="auto"/>
        </w:rPr>
      </w:pPr>
    </w:p>
    <w:p>
      <w:pPr>
        <w:jc w:val="both"/>
        <w:ind w:left="760" w:right="20" w:hanging="3"/>
        <w:spacing w:after="0" w:line="266" w:lineRule="auto"/>
        <w:tabs>
          <w:tab w:leader="none" w:pos="11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760" w:right="20" w:hanging="3"/>
        <w:spacing w:after="0" w:line="266" w:lineRule="auto"/>
        <w:tabs>
          <w:tab w:leader="none" w:pos="11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760" w:right="20" w:hanging="3"/>
        <w:spacing w:after="0" w:line="282" w:lineRule="auto"/>
        <w:tabs>
          <w:tab w:leader="none" w:pos="11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760" w:hanging="3"/>
        <w:spacing w:after="0" w:line="266" w:lineRule="auto"/>
        <w:tabs>
          <w:tab w:leader="none" w:pos="11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sz w:val="20"/>
          <w:szCs w:val="20"/>
          <w:color w:val="auto"/>
        </w:rPr>
      </w:pPr>
    </w:p>
    <w:p>
      <w:pPr>
        <w:ind w:right="20" w:firstLine="757"/>
        <w:spacing w:after="0" w:line="282" w:lineRule="auto"/>
        <w:tabs>
          <w:tab w:leader="none" w:pos="1109"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sz w:val="20"/>
          <w:szCs w:val="20"/>
          <w:color w:val="auto"/>
        </w:rPr>
      </w:pPr>
    </w:p>
    <w:p>
      <w:pPr>
        <w:ind w:left="760" w:right="40" w:hanging="3"/>
        <w:spacing w:after="0" w:line="282" w:lineRule="auto"/>
        <w:tabs>
          <w:tab w:leader="none" w:pos="11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760" w:right="20" w:hanging="3"/>
        <w:spacing w:after="0" w:line="282" w:lineRule="auto"/>
        <w:tabs>
          <w:tab w:leader="none" w:pos="11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29,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Fahmi Karam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6616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6">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Fahmi Karam</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 and Director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1021715</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22"/>
          <w:szCs w:val="22"/>
          <w:u w:val="single" w:color="auto"/>
          <w:color w:val="auto"/>
        </w:rPr>
        <w:t>Exhibit 31.2</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Hal Khouri, certify that:</w:t>
      </w:r>
    </w:p>
    <w:p>
      <w:pPr>
        <w:spacing w:after="0" w:line="225" w:lineRule="exact"/>
        <w:rPr>
          <w:sz w:val="20"/>
          <w:szCs w:val="20"/>
          <w:color w:val="auto"/>
        </w:rPr>
      </w:pPr>
    </w:p>
    <w:p>
      <w:pPr>
        <w:ind w:left="1120" w:hanging="363"/>
        <w:spacing w:after="0"/>
        <w:tabs>
          <w:tab w:leader="none" w:pos="11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Upbound Group, Inc.;</w:t>
      </w:r>
    </w:p>
    <w:p>
      <w:pPr>
        <w:spacing w:after="0" w:line="225" w:lineRule="exact"/>
        <w:rPr>
          <w:rFonts w:ascii="Times New Roman" w:cs="Times New Roman" w:eastAsia="Times New Roman" w:hAnsi="Times New Roman"/>
          <w:sz w:val="18"/>
          <w:szCs w:val="18"/>
          <w:color w:val="auto"/>
        </w:rPr>
      </w:pPr>
    </w:p>
    <w:p>
      <w:pPr>
        <w:jc w:val="both"/>
        <w:ind w:firstLine="757"/>
        <w:spacing w:after="0" w:line="266" w:lineRule="auto"/>
        <w:tabs>
          <w:tab w:leader="none" w:pos="1109"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right="40" w:firstLine="757"/>
        <w:spacing w:after="0" w:line="282" w:lineRule="auto"/>
        <w:tabs>
          <w:tab w:leader="none" w:pos="1109"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firstLine="757"/>
        <w:spacing w:after="0" w:line="261" w:lineRule="auto"/>
        <w:tabs>
          <w:tab w:leader="none" w:pos="1109"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15d-15(f)) for the registrant and have:</w:t>
      </w:r>
    </w:p>
    <w:p>
      <w:pPr>
        <w:spacing w:after="0" w:line="207" w:lineRule="exact"/>
        <w:rPr>
          <w:sz w:val="20"/>
          <w:szCs w:val="20"/>
          <w:color w:val="auto"/>
        </w:rPr>
      </w:pPr>
    </w:p>
    <w:p>
      <w:pPr>
        <w:jc w:val="both"/>
        <w:ind w:left="760" w:right="20" w:hanging="3"/>
        <w:spacing w:after="0" w:line="266" w:lineRule="auto"/>
        <w:tabs>
          <w:tab w:leader="none" w:pos="11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760" w:right="20" w:hanging="3"/>
        <w:spacing w:after="0" w:line="266" w:lineRule="auto"/>
        <w:tabs>
          <w:tab w:leader="none" w:pos="11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760" w:right="20" w:hanging="3"/>
        <w:spacing w:after="0" w:line="282" w:lineRule="auto"/>
        <w:tabs>
          <w:tab w:leader="none" w:pos="11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760" w:hanging="3"/>
        <w:spacing w:after="0" w:line="266" w:lineRule="auto"/>
        <w:tabs>
          <w:tab w:leader="none" w:pos="11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sz w:val="20"/>
          <w:szCs w:val="20"/>
          <w:color w:val="auto"/>
        </w:rPr>
      </w:pPr>
    </w:p>
    <w:p>
      <w:pPr>
        <w:ind w:right="20" w:firstLine="757"/>
        <w:spacing w:after="0" w:line="282" w:lineRule="auto"/>
        <w:tabs>
          <w:tab w:leader="none" w:pos="1109"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sz w:val="20"/>
          <w:szCs w:val="20"/>
          <w:color w:val="auto"/>
        </w:rPr>
      </w:pPr>
    </w:p>
    <w:p>
      <w:pPr>
        <w:ind w:left="760" w:right="40" w:hanging="3"/>
        <w:spacing w:after="0" w:line="282" w:lineRule="auto"/>
        <w:tabs>
          <w:tab w:leader="none" w:pos="11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760" w:right="20" w:hanging="3"/>
        <w:spacing w:after="0" w:line="282" w:lineRule="auto"/>
        <w:tabs>
          <w:tab w:leader="none" w:pos="11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29,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Hal Khouri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6616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8">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Hal Khouri</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EVP, 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1021715</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22"/>
          <w:szCs w:val="22"/>
          <w:u w:val="single" w:color="auto"/>
          <w:color w:val="auto"/>
        </w:rPr>
        <w:t>Exhibit 32.1</w:t>
      </w:r>
    </w:p>
    <w:p>
      <w:pPr>
        <w:spacing w:after="0" w:line="20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CERTIFICATION PURSUANT TO</w:t>
      </w:r>
    </w:p>
    <w:p>
      <w:pPr>
        <w:spacing w:after="0" w:line="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18 U.S.C. SECTION 1350,</w:t>
      </w:r>
    </w:p>
    <w:p>
      <w:pPr>
        <w:jc w:val="center"/>
        <w:ind w:right="60"/>
        <w:spacing w:after="0" w:line="230" w:lineRule="auto"/>
        <w:rPr>
          <w:sz w:val="20"/>
          <w:szCs w:val="20"/>
          <w:color w:val="auto"/>
        </w:rPr>
      </w:pPr>
      <w:r>
        <w:rPr>
          <w:rFonts w:ascii="Times New Roman" w:cs="Times New Roman" w:eastAsia="Times New Roman" w:hAnsi="Times New Roman"/>
          <w:sz w:val="22"/>
          <w:szCs w:val="22"/>
          <w:color w:val="auto"/>
        </w:rPr>
        <w:t>AS ADOPTED PURSUANT TO</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SECTION 906 OF THE SARBANES-OXLEY ACT OF 2002</w:t>
      </w:r>
    </w:p>
    <w:p>
      <w:pPr>
        <w:spacing w:after="0" w:line="176"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2"/>
          <w:szCs w:val="22"/>
          <w:color w:val="auto"/>
        </w:rPr>
        <w:t>In connection with the Quarterly Report on Form 10-Q of Upbound Group, Inc. (the "</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for the period ended September 30, 2026, as filed with the Securities and Exchange Commission on the date hereof (the "</w:t>
      </w:r>
      <w:r>
        <w:rPr>
          <w:rFonts w:ascii="Times New Roman" w:cs="Times New Roman" w:eastAsia="Times New Roman" w:hAnsi="Times New Roman"/>
          <w:sz w:val="22"/>
          <w:szCs w:val="22"/>
          <w:b w:val="1"/>
          <w:bCs w:val="1"/>
          <w:i w:val="1"/>
          <w:iCs w:val="1"/>
          <w:color w:val="auto"/>
        </w:rPr>
        <w:t>Report</w:t>
      </w:r>
      <w:r>
        <w:rPr>
          <w:rFonts w:ascii="Times New Roman" w:cs="Times New Roman" w:eastAsia="Times New Roman" w:hAnsi="Times New Roman"/>
          <w:sz w:val="22"/>
          <w:szCs w:val="22"/>
          <w:color w:val="auto"/>
        </w:rPr>
        <w:t>"), I, Fahmi Karam, Chief Executive Officer and Director of the Company, hereby certify, pursuant to 18 U.S.C. Section 1350, as adopted pursuant to Section 906 of the Sarbanes-Oxley Act of 2002, that, to the best of my knowledge:</w:t>
      </w:r>
    </w:p>
    <w:p>
      <w:pPr>
        <w:spacing w:after="0" w:line="178" w:lineRule="exact"/>
        <w:rPr>
          <w:sz w:val="20"/>
          <w:szCs w:val="20"/>
          <w:color w:val="auto"/>
        </w:rPr>
      </w:pPr>
    </w:p>
    <w:p>
      <w:pPr>
        <w:ind w:left="360" w:hanging="352"/>
        <w:spacing w:after="0"/>
        <w:tabs>
          <w:tab w:leader="none" w:pos="360"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Report fully complies with the requirements of Section 13(a) or 15(d) of the Securities Exchange Act of 1934; and</w:t>
      </w:r>
    </w:p>
    <w:p>
      <w:pPr>
        <w:spacing w:after="0" w:line="206" w:lineRule="exact"/>
        <w:rPr>
          <w:rFonts w:ascii="Times New Roman" w:cs="Times New Roman" w:eastAsia="Times New Roman" w:hAnsi="Times New Roman"/>
          <w:sz w:val="22"/>
          <w:szCs w:val="22"/>
          <w:color w:val="auto"/>
        </w:rPr>
      </w:pPr>
    </w:p>
    <w:p>
      <w:pPr>
        <w:ind w:left="360" w:hanging="352"/>
        <w:spacing w:after="0" w:line="258" w:lineRule="auto"/>
        <w:tabs>
          <w:tab w:leader="none" w:pos="360"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information contained in the Report fairly presents, in all material respects, the financial condition and results of operations of the Company.</w:t>
      </w:r>
    </w:p>
    <w:p>
      <w:pPr>
        <w:spacing w:after="0" w:line="26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u w:val="single" w:color="auto"/>
          <w:color w:val="auto"/>
        </w:rPr>
        <w:t>/s/ Fahmi Karam</w:t>
      </w:r>
    </w:p>
    <w:p>
      <w:pPr>
        <w:spacing w:after="0" w:line="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Fahmi Karam</w:t>
      </w:r>
    </w:p>
    <w:p>
      <w:pPr>
        <w:ind w:left="1500"/>
        <w:spacing w:after="0"/>
        <w:rPr>
          <w:sz w:val="20"/>
          <w:szCs w:val="20"/>
          <w:color w:val="auto"/>
        </w:rPr>
      </w:pPr>
      <w:r>
        <w:rPr>
          <w:rFonts w:ascii="Times New Roman" w:cs="Times New Roman" w:eastAsia="Times New Roman" w:hAnsi="Times New Roman"/>
          <w:sz w:val="22"/>
          <w:szCs w:val="22"/>
          <w:color w:val="auto"/>
        </w:rPr>
        <w:t>Chief Executive Officer and Director</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Dated: October 29, 2026</w:t>
      </w:r>
    </w:p>
    <w:p>
      <w:pPr>
        <w:spacing w:after="0" w:line="31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A signed original of this written statement required by Section 906 has been provided to Upbound Group, Inc. and will be retained by Upbound Group, Inc. and furnished to the Securities and Exchange Commission or its staff upon request. The foregoing certification is being furnished solely pursuant to 18 U.S.C. Section 1350 and is not being filed as part of the Report or as a separate disclosure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873760</wp:posOffset>
            </wp:positionV>
            <wp:extent cx="715772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47" w:name="page48"/>
    <w:bookmarkEnd w:id="47"/>
    <w:p>
      <w:pPr>
        <w:jc w:val="right"/>
        <w:spacing w:after="0"/>
        <w:rPr>
          <w:sz w:val="20"/>
          <w:szCs w:val="20"/>
          <w:color w:val="auto"/>
        </w:rPr>
      </w:pPr>
      <w:r>
        <w:rPr>
          <w:rFonts w:ascii="Times New Roman" w:cs="Times New Roman" w:eastAsia="Times New Roman" w:hAnsi="Times New Roman"/>
          <w:sz w:val="22"/>
          <w:szCs w:val="22"/>
          <w:u w:val="single" w:color="auto"/>
          <w:color w:val="auto"/>
        </w:rPr>
        <w:t>Exhibit 32.2</w:t>
      </w:r>
    </w:p>
    <w:p>
      <w:pPr>
        <w:spacing w:after="0" w:line="20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CERTIFICATION PURSUANT TO</w:t>
      </w:r>
    </w:p>
    <w:p>
      <w:pPr>
        <w:spacing w:after="0" w:line="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18 U.S.C. SECTION 1350,</w:t>
      </w:r>
    </w:p>
    <w:p>
      <w:pPr>
        <w:jc w:val="center"/>
        <w:ind w:right="60"/>
        <w:spacing w:after="0" w:line="230" w:lineRule="auto"/>
        <w:rPr>
          <w:sz w:val="20"/>
          <w:szCs w:val="20"/>
          <w:color w:val="auto"/>
        </w:rPr>
      </w:pPr>
      <w:r>
        <w:rPr>
          <w:rFonts w:ascii="Times New Roman" w:cs="Times New Roman" w:eastAsia="Times New Roman" w:hAnsi="Times New Roman"/>
          <w:sz w:val="22"/>
          <w:szCs w:val="22"/>
          <w:color w:val="auto"/>
        </w:rPr>
        <w:t>AS ADOPTED PURSUANT TO</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SECTION 906 OF THE SARBANES-OXLEY ACT OF 2002</w:t>
      </w:r>
    </w:p>
    <w:p>
      <w:pPr>
        <w:spacing w:after="0" w:line="176"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2"/>
          <w:szCs w:val="22"/>
          <w:color w:val="auto"/>
        </w:rPr>
        <w:t>In connection with the Quarterly Report on Form 10-Q of Upbound Group, Inc. (the "</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for the period ended September 30, 2026, as filed with the Securities and Exchange Commission on the date hereof (the "</w:t>
      </w:r>
      <w:r>
        <w:rPr>
          <w:rFonts w:ascii="Times New Roman" w:cs="Times New Roman" w:eastAsia="Times New Roman" w:hAnsi="Times New Roman"/>
          <w:sz w:val="22"/>
          <w:szCs w:val="22"/>
          <w:b w:val="1"/>
          <w:bCs w:val="1"/>
          <w:i w:val="1"/>
          <w:iCs w:val="1"/>
          <w:color w:val="auto"/>
        </w:rPr>
        <w:t>Report</w:t>
      </w:r>
      <w:r>
        <w:rPr>
          <w:rFonts w:ascii="Times New Roman" w:cs="Times New Roman" w:eastAsia="Times New Roman" w:hAnsi="Times New Roman"/>
          <w:sz w:val="22"/>
          <w:szCs w:val="22"/>
          <w:color w:val="auto"/>
        </w:rPr>
        <w:t>"), I, Hal Khouri, Chief Financial Officer of the Company, hereby certify, pursuant to 18 U.S.C. Section 1350, as adopted pursuant to Section 906 of the Sarbanes-Oxley Act of 2002, that, to the best of my knowledge:</w:t>
      </w:r>
    </w:p>
    <w:p>
      <w:pPr>
        <w:spacing w:after="0" w:line="178" w:lineRule="exact"/>
        <w:rPr>
          <w:sz w:val="20"/>
          <w:szCs w:val="20"/>
          <w:color w:val="auto"/>
        </w:rPr>
      </w:pPr>
    </w:p>
    <w:p>
      <w:pPr>
        <w:ind w:left="360" w:hanging="352"/>
        <w:spacing w:after="0"/>
        <w:tabs>
          <w:tab w:leader="none" w:pos="360"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Report fully complies with the requirements of Section 13(a) or 15(d) of the Securities Exchange Act of 1934; and</w:t>
      </w:r>
    </w:p>
    <w:p>
      <w:pPr>
        <w:spacing w:after="0" w:line="206" w:lineRule="exact"/>
        <w:rPr>
          <w:rFonts w:ascii="Times New Roman" w:cs="Times New Roman" w:eastAsia="Times New Roman" w:hAnsi="Times New Roman"/>
          <w:sz w:val="22"/>
          <w:szCs w:val="22"/>
          <w:color w:val="auto"/>
        </w:rPr>
      </w:pPr>
    </w:p>
    <w:p>
      <w:pPr>
        <w:ind w:left="360" w:hanging="352"/>
        <w:spacing w:after="0" w:line="258" w:lineRule="auto"/>
        <w:tabs>
          <w:tab w:leader="none" w:pos="360"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information contained in the Report fairly presents, in all material respects, the financial condition and results of operations of the Company.</w:t>
      </w:r>
    </w:p>
    <w:p>
      <w:pPr>
        <w:spacing w:after="0" w:line="26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u w:val="single" w:color="auto"/>
          <w:color w:val="auto"/>
        </w:rPr>
        <w:t>/s/ Hal Khouri</w:t>
      </w:r>
    </w:p>
    <w:p>
      <w:pPr>
        <w:spacing w:after="0" w:line="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Hal Khouri</w:t>
      </w:r>
    </w:p>
    <w:p>
      <w:pPr>
        <w:ind w:left="1500"/>
        <w:spacing w:after="0"/>
        <w:rPr>
          <w:sz w:val="20"/>
          <w:szCs w:val="20"/>
          <w:color w:val="auto"/>
        </w:rPr>
      </w:pPr>
      <w:r>
        <w:rPr>
          <w:rFonts w:ascii="Times New Roman" w:cs="Times New Roman" w:eastAsia="Times New Roman" w:hAnsi="Times New Roman"/>
          <w:sz w:val="22"/>
          <w:szCs w:val="22"/>
          <w:color w:val="auto"/>
        </w:rPr>
        <w:t>EVP, Chief Financial Officer</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Dated: October 29, 2026</w:t>
      </w:r>
    </w:p>
    <w:p>
      <w:pPr>
        <w:spacing w:after="0" w:line="31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A signed original of this written statement required by Section 906 has been provided to Upbound Group, Inc. and will be retained by Upbound Group, Inc. and furnished to the Securities and Exchange Commission or its staff upon request. The foregoing certification is being furnished solely pursuant to 18 U.S.C. Section 1350 and is not being filed as part of the Report or as a separate disclosure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873760</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48" w:name="page49"/>
    <w:bookmarkEnd w:id="4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F2DBA31"/>
    <w:multiLevelType w:val="hybridMultilevel"/>
    <w:lvl w:ilvl="0">
      <w:lvlJc w:val="left"/>
      <w:lvlText w:val="☒"/>
      <w:numFmt w:val="bullet"/>
      <w:start w:val="1"/>
    </w:lvl>
  </w:abstractNum>
  <w:abstractNum w:abstractNumId="1">
    <w:nsid w:val="7C83E458"/>
    <w:multiLevelType w:val="hybridMultilevel"/>
    <w:lvl w:ilvl="0">
      <w:lvlJc w:val="left"/>
      <w:lvlText w:val="☐"/>
      <w:numFmt w:val="bullet"/>
      <w:start w:val="1"/>
    </w:lvl>
  </w:abstractNum>
  <w:abstractNum w:abstractNumId="2">
    <w:nsid w:val="257130A3"/>
    <w:multiLevelType w:val="hybridMultilevel"/>
    <w:lvl w:ilvl="0">
      <w:lvlJc w:val="left"/>
      <w:lvlText w:val="(%1)"/>
      <w:numFmt w:val="decimal"/>
      <w:start w:val="1"/>
    </w:lvl>
  </w:abstractNum>
  <w:abstractNum w:abstractNumId="3">
    <w:nsid w:val="62BBD95A"/>
    <w:multiLevelType w:val="hybridMultilevel"/>
    <w:lvl w:ilvl="0">
      <w:lvlJc w:val="left"/>
      <w:lvlText w:val="(%1)"/>
      <w:numFmt w:val="decimal"/>
      <w:start w:val="1"/>
    </w:lvl>
  </w:abstractNum>
  <w:abstractNum w:abstractNumId="4">
    <w:nsid w:val="436C6125"/>
    <w:multiLevelType w:val="hybridMultilevel"/>
    <w:lvl w:ilvl="0">
      <w:lvlJc w:val="left"/>
      <w:lvlText w:val="(%1)"/>
      <w:numFmt w:val="decimal"/>
      <w:start w:val="1"/>
    </w:lvl>
  </w:abstractNum>
  <w:abstractNum w:abstractNumId="5">
    <w:nsid w:val="628C895D"/>
    <w:multiLevelType w:val="hybridMultilevel"/>
    <w:lvl w:ilvl="0">
      <w:lvlJc w:val="left"/>
      <w:lvlText w:val="(%1)"/>
      <w:numFmt w:val="decimal"/>
      <w:start w:val="1"/>
    </w:lvl>
  </w:abstractNum>
  <w:abstractNum w:abstractNumId="6">
    <w:nsid w:val="333AB105"/>
    <w:multiLevelType w:val="hybridMultilevel"/>
    <w:lvl w:ilvl="0">
      <w:lvlJc w:val="left"/>
      <w:lvlText w:val="(%1)"/>
      <w:numFmt w:val="decimal"/>
      <w:start w:val="1"/>
    </w:lvl>
  </w:abstractNum>
  <w:abstractNum w:abstractNumId="7">
    <w:nsid w:val="721DA317"/>
    <w:multiLevelType w:val="hybridMultilevel"/>
    <w:lvl w:ilvl="0">
      <w:lvlJc w:val="left"/>
      <w:lvlText w:val="(%1)"/>
      <w:numFmt w:val="decimal"/>
      <w:start w:val="1"/>
    </w:lvl>
  </w:abstractNum>
  <w:abstractNum w:abstractNumId="8">
    <w:nsid w:val="2443A858"/>
    <w:multiLevelType w:val="hybridMultilevel"/>
    <w:lvl w:ilvl="0">
      <w:lvlJc w:val="left"/>
      <w:lvlText w:val="(%1)"/>
      <w:numFmt w:val="decimal"/>
      <w:start w:val="1"/>
    </w:lvl>
  </w:abstractNum>
  <w:abstractNum w:abstractNumId="9">
    <w:nsid w:val="2D1D5AE9"/>
    <w:multiLevelType w:val="hybridMultilevel"/>
    <w:lvl w:ilvl="0">
      <w:lvlJc w:val="left"/>
      <w:lvlText w:val="(%1)"/>
      <w:numFmt w:val="decimal"/>
      <w:start w:val="1"/>
    </w:lvl>
  </w:abstractNum>
  <w:abstractNum w:abstractNumId="10">
    <w:nsid w:val="6763845E"/>
    <w:multiLevelType w:val="hybridMultilevel"/>
    <w:lvl w:ilvl="0">
      <w:lvlJc w:val="left"/>
      <w:lvlText w:val="(%1)"/>
      <w:numFmt w:val="decimal"/>
      <w:start w:val="1"/>
    </w:lvl>
  </w:abstractNum>
  <w:abstractNum w:abstractNumId="11">
    <w:nsid w:val="75A2A8D4"/>
    <w:multiLevelType w:val="hybridMultilevel"/>
    <w:lvl w:ilvl="0">
      <w:lvlJc w:val="left"/>
      <w:lvlText w:val="(%1)"/>
      <w:numFmt w:val="decimal"/>
      <w:start w:val="1"/>
    </w:lvl>
  </w:abstractNum>
  <w:abstractNum w:abstractNumId="12">
    <w:nsid w:val="8EDBDAB"/>
    <w:multiLevelType w:val="hybridMultilevel"/>
    <w:lvl w:ilvl="0">
      <w:lvlJc w:val="left"/>
      <w:lvlText w:val="(%1)"/>
      <w:numFmt w:val="decimal"/>
      <w:start w:val="1"/>
    </w:lvl>
  </w:abstractNum>
  <w:abstractNum w:abstractNumId="13">
    <w:nsid w:val="79838CB2"/>
    <w:multiLevelType w:val="hybridMultilevel"/>
    <w:lvl w:ilvl="0">
      <w:lvlJc w:val="left"/>
      <w:lvlText w:val="(%1)"/>
      <w:numFmt w:val="decimal"/>
      <w:start w:val="1"/>
    </w:lvl>
  </w:abstractNum>
  <w:abstractNum w:abstractNumId="14">
    <w:nsid w:val="4353D0CD"/>
    <w:multiLevelType w:val="hybridMultilevel"/>
    <w:lvl w:ilvl="0">
      <w:lvlJc w:val="left"/>
      <w:lvlText w:val="(%1)"/>
      <w:numFmt w:val="decimal"/>
      <w:start w:val="1"/>
    </w:lvl>
  </w:abstractNum>
  <w:abstractNum w:abstractNumId="15">
    <w:nsid w:val="B03E0C6"/>
    <w:multiLevelType w:val="hybridMultilevel"/>
    <w:lvl w:ilvl="0">
      <w:lvlJc w:val="left"/>
      <w:lvlText w:val="•"/>
      <w:numFmt w:val="bullet"/>
      <w:start w:val="1"/>
    </w:lvl>
  </w:abstractNum>
  <w:abstractNum w:abstractNumId="16">
    <w:nsid w:val="189A769B"/>
    <w:multiLevelType w:val="hybridMultilevel"/>
    <w:lvl w:ilvl="0">
      <w:lvlJc w:val="left"/>
      <w:lvlText w:val="•"/>
      <w:numFmt w:val="bullet"/>
      <w:start w:val="1"/>
    </w:lvl>
  </w:abstractNum>
  <w:abstractNum w:abstractNumId="17">
    <w:nsid w:val="54E49EB4"/>
    <w:multiLevelType w:val="hybridMultilevel"/>
    <w:lvl w:ilvl="0">
      <w:lvlJc w:val="left"/>
      <w:lvlText w:val="•"/>
      <w:numFmt w:val="bullet"/>
      <w:start w:val="1"/>
    </w:lvl>
  </w:abstractNum>
  <w:abstractNum w:abstractNumId="18">
    <w:nsid w:val="71F32454"/>
    <w:multiLevelType w:val="hybridMultilevel"/>
    <w:lvl w:ilvl="0">
      <w:lvlJc w:val="left"/>
      <w:lvlText w:val="•"/>
      <w:numFmt w:val="bullet"/>
      <w:start w:val="1"/>
    </w:lvl>
  </w:abstractNum>
  <w:abstractNum w:abstractNumId="19">
    <w:nsid w:val="2CA88611"/>
    <w:multiLevelType w:val="hybridMultilevel"/>
    <w:lvl w:ilvl="0">
      <w:lvlJc w:val="left"/>
      <w:lvlText w:val="(%1)"/>
      <w:numFmt w:val="decimal"/>
      <w:start w:val="1"/>
    </w:lvl>
  </w:abstractNum>
  <w:abstractNum w:abstractNumId="20">
    <w:nsid w:val="836C40E"/>
    <w:multiLevelType w:val="hybridMultilevel"/>
    <w:lvl w:ilvl="0">
      <w:lvlJc w:val="left"/>
      <w:lvlText w:val="(%1)"/>
      <w:numFmt w:val="decimal"/>
      <w:start w:val="1"/>
    </w:lvl>
  </w:abstractNum>
  <w:abstractNum w:abstractNumId="21">
    <w:nsid w:val="2901D82"/>
    <w:multiLevelType w:val="hybridMultilevel"/>
    <w:lvl w:ilvl="0">
      <w:lvlJc w:val="left"/>
      <w:lvlText w:val="(%1)"/>
      <w:numFmt w:val="decimal"/>
      <w:start w:val="1"/>
    </w:lvl>
  </w:abstractNum>
  <w:abstractNum w:abstractNumId="22">
    <w:nsid w:val="3A95F874"/>
    <w:multiLevelType w:val="hybridMultilevel"/>
    <w:lvl w:ilvl="0">
      <w:lvlJc w:val="left"/>
      <w:lvlText w:val="(%1)"/>
      <w:numFmt w:val="decimal"/>
      <w:start w:val="1"/>
    </w:lvl>
  </w:abstractNum>
  <w:abstractNum w:abstractNumId="23">
    <w:nsid w:val="8138641"/>
    <w:multiLevelType w:val="hybridMultilevel"/>
    <w:lvl w:ilvl="0">
      <w:lvlJc w:val="left"/>
      <w:lvlText w:val="(%1)"/>
      <w:numFmt w:val="decimal"/>
      <w:start w:val="1"/>
    </w:lvl>
  </w:abstractNum>
  <w:abstractNum w:abstractNumId="24">
    <w:nsid w:val="1E7FF521"/>
    <w:multiLevelType w:val="hybridMultilevel"/>
    <w:lvl w:ilvl="0">
      <w:lvlJc w:val="left"/>
      <w:lvlText w:val="(%1)"/>
      <w:numFmt w:val="decimal"/>
      <w:start w:val="1"/>
    </w:lvl>
  </w:abstractNum>
  <w:abstractNum w:abstractNumId="25">
    <w:nsid w:val="7C3DBD3D"/>
    <w:multiLevelType w:val="hybridMultilevel"/>
    <w:lvl w:ilvl="0">
      <w:lvlJc w:val="left"/>
      <w:lvlText w:val="*"/>
      <w:numFmt w:val="bullet"/>
      <w:start w:val="1"/>
    </w:lvl>
  </w:abstractNum>
  <w:abstractNum w:abstractNumId="26">
    <w:nsid w:val="737B8DDC"/>
    <w:multiLevelType w:val="hybridMultilevel"/>
    <w:lvl w:ilvl="0">
      <w:lvlJc w:val="left"/>
      <w:lvlText w:val="%1."/>
      <w:numFmt w:val="decimal"/>
      <w:start w:val="1"/>
    </w:lvl>
  </w:abstractNum>
  <w:abstractNum w:abstractNumId="27">
    <w:nsid w:val="6CEAF087"/>
    <w:multiLevelType w:val="hybridMultilevel"/>
    <w:lvl w:ilvl="0">
      <w:lvlJc w:val="left"/>
      <w:lvlText w:val="%1."/>
      <w:numFmt w:val="lowerLetter"/>
      <w:start w:val="1"/>
    </w:lvl>
  </w:abstractNum>
  <w:abstractNum w:abstractNumId="28">
    <w:nsid w:val="22221A70"/>
    <w:multiLevelType w:val="hybridMultilevel"/>
    <w:lvl w:ilvl="0">
      <w:lvlJc w:val="left"/>
      <w:lvlText w:val="%1."/>
      <w:numFmt w:val="decimal"/>
      <w:start w:val="5"/>
    </w:lvl>
  </w:abstractNum>
  <w:abstractNum w:abstractNumId="29">
    <w:nsid w:val="4516DDE9"/>
    <w:multiLevelType w:val="hybridMultilevel"/>
    <w:lvl w:ilvl="0">
      <w:lvlJc w:val="left"/>
      <w:lvlText w:val="%1."/>
      <w:numFmt w:val="lowerLetter"/>
      <w:start w:val="1"/>
    </w:lvl>
  </w:abstractNum>
  <w:abstractNum w:abstractNumId="30">
    <w:nsid w:val="3006C83E"/>
    <w:multiLevelType w:val="hybridMultilevel"/>
    <w:lvl w:ilvl="0">
      <w:lvlJc w:val="left"/>
      <w:lvlText w:val="%1."/>
      <w:numFmt w:val="decimal"/>
      <w:start w:val="1"/>
    </w:lvl>
  </w:abstractNum>
  <w:abstractNum w:abstractNumId="31">
    <w:nsid w:val="614FD4A1"/>
    <w:multiLevelType w:val="hybridMultilevel"/>
    <w:lvl w:ilvl="0">
      <w:lvlJc w:val="left"/>
      <w:lvlText w:val="%1."/>
      <w:numFmt w:val="lowerLetter"/>
      <w:start w:val="1"/>
    </w:lvl>
  </w:abstractNum>
  <w:abstractNum w:abstractNumId="32">
    <w:nsid w:val="419AC241"/>
    <w:multiLevelType w:val="hybridMultilevel"/>
    <w:lvl w:ilvl="0">
      <w:lvlJc w:val="left"/>
      <w:lvlText w:val="%1."/>
      <w:numFmt w:val="decimal"/>
      <w:start w:val="5"/>
    </w:lvl>
  </w:abstractNum>
  <w:abstractNum w:abstractNumId="33">
    <w:nsid w:val="5577F8E1"/>
    <w:multiLevelType w:val="hybridMultilevel"/>
    <w:lvl w:ilvl="0">
      <w:lvlJc w:val="left"/>
      <w:lvlText w:val="%1."/>
      <w:numFmt w:val="lowerLetter"/>
      <w:start w:val="1"/>
    </w:lvl>
  </w:abstractNum>
  <w:abstractNum w:abstractNumId="34">
    <w:nsid w:val="440BADFC"/>
    <w:multiLevelType w:val="hybridMultilevel"/>
    <w:lvl w:ilvl="0">
      <w:lvlJc w:val="left"/>
      <w:lvlText w:val="(%1)"/>
      <w:numFmt w:val="decimal"/>
      <w:start w:val="1"/>
    </w:lvl>
  </w:abstractNum>
  <w:abstractNum w:abstractNumId="35">
    <w:nsid w:val="507236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2" Type="http://schemas.openxmlformats.org/officeDocument/2006/relationships/image" Target="media/image224.png"/><Relationship Id="rId233" Type="http://schemas.openxmlformats.org/officeDocument/2006/relationships/image" Target="media/image225.png"/><Relationship Id="rId235" Type="http://schemas.openxmlformats.org/officeDocument/2006/relationships/image" Target="media/image226.png"/><Relationship Id="rId236" Type="http://schemas.openxmlformats.org/officeDocument/2006/relationships/image" Target="media/image227.png"/><Relationship Id="rId238" Type="http://schemas.openxmlformats.org/officeDocument/2006/relationships/image" Target="media/image228.png"/><Relationship Id="rId239" Type="http://schemas.openxmlformats.org/officeDocument/2006/relationships/image" Target="media/image229.png"/><Relationship Id="rId241" Type="http://schemas.openxmlformats.org/officeDocument/2006/relationships/image" Target="media/image230.png"/><Relationship Id="rId242" Type="http://schemas.openxmlformats.org/officeDocument/2006/relationships/image" Target="media/image231.png"/><Relationship Id="rId244" Type="http://schemas.openxmlformats.org/officeDocument/2006/relationships/image" Target="media/image232.png"/><Relationship Id="rId245" Type="http://schemas.openxmlformats.org/officeDocument/2006/relationships/image" Target="media/image233.png"/><Relationship Id="rId247" Type="http://schemas.openxmlformats.org/officeDocument/2006/relationships/image" Target="media/image234.png"/><Relationship Id="rId248" Type="http://schemas.openxmlformats.org/officeDocument/2006/relationships/image" Target="media/image235.png"/><Relationship Id="rId249" Type="http://schemas.openxmlformats.org/officeDocument/2006/relationships/image" Target="media/image236.png"/><Relationship Id="rId251" Type="http://schemas.openxmlformats.org/officeDocument/2006/relationships/image" Target="media/image237.png"/><Relationship Id="rId252" Type="http://schemas.openxmlformats.org/officeDocument/2006/relationships/image" Target="media/image238.png"/><Relationship Id="rId253" Type="http://schemas.openxmlformats.org/officeDocument/2006/relationships/image" Target="media/image239.png"/><Relationship Id="rId254" Type="http://schemas.openxmlformats.org/officeDocument/2006/relationships/image" Target="media/image240.png"/><Relationship Id="rId255" Type="http://schemas.openxmlformats.org/officeDocument/2006/relationships/image" Target="media/image241.png"/><Relationship Id="rId256" Type="http://schemas.openxmlformats.org/officeDocument/2006/relationships/image" Target="media/image242.png"/><Relationship Id="rId257" Type="http://schemas.openxmlformats.org/officeDocument/2006/relationships/image" Target="media/image243.png"/><Relationship Id="rId258" Type="http://schemas.openxmlformats.org/officeDocument/2006/relationships/image" Target="media/image244.png"/><Relationship Id="rId259" Type="http://schemas.openxmlformats.org/officeDocument/2006/relationships/image" Target="media/image245.png"/><Relationship Id="rId260" Type="http://schemas.openxmlformats.org/officeDocument/2006/relationships/image" Target="media/image246.png"/><Relationship Id="rId261" Type="http://schemas.openxmlformats.org/officeDocument/2006/relationships/image" Target="media/image247.png"/><Relationship Id="rId231" Type="http://schemas.openxmlformats.org/officeDocument/2006/relationships/hyperlink" Target="https://www.sec.gov/Archives/edgar/data/933036/000110465925015482/tm256884d2_ex3-1.htm" TargetMode="External"/><Relationship Id="rId234" Type="http://schemas.openxmlformats.org/officeDocument/2006/relationships/hyperlink" Target="https://www.sec.gov/Archives/edgar/data/933036/000110465924068516/tm2415591d1_10-3.htm" TargetMode="External"/><Relationship Id="rId237" Type="http://schemas.openxmlformats.org/officeDocument/2006/relationships/hyperlink" Target="https://www.sec.gov/Archives/edgar/data/933036/000110465924068516/tm2415591d1_10-2.htm" TargetMode="External"/><Relationship Id="rId240" Type="http://schemas.openxmlformats.org/officeDocument/2006/relationships/hyperlink" Target="https://www.sec.gov/Archives/edgar/data/933036/000110465925015482/tm256884d2_ex4-1.htm" TargetMode="External"/><Relationship Id="rId243" Type="http://schemas.openxmlformats.org/officeDocument/2006/relationships/hyperlink" Target="https://www.sec.gov/Archives/edgar/data/933036/000110465923068936/tm2316186d1_ex4-6.htm" TargetMode="External"/><Relationship Id="rId246" Type="http://schemas.openxmlformats.org/officeDocument/2006/relationships/hyperlink" Target="https://www.sec.gov/Archives/edgar/data/933036/000110465921024846/tm216741d1_ex4-1.htm" TargetMode="External"/><Relationship Id="rId250" Type="http://schemas.openxmlformats.org/officeDocument/2006/relationships/hyperlink" Target="https://www.sec.gov/Archives/edgar/data/933036/000119312526326420/upbd-ex10_6.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2026-10-30T05:10:33Z</dcterms:created>
  <dcterms:modified xsi:type="dcterms:W3CDTF">2026-10-30T05:10:33Z</dcterms:modified>
</cp:coreProperties>
</file>