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001-38047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Rent-A-Center,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84" w:right="339" w:bottom="1440" w:gutter="0" w:footer="0" w:header="0"/>
        </w:sectPr>
      </w:pPr>
    </w:p>
    <w:p>
      <w:pPr>
        <w:spacing w:after="0" w:line="30"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45-0491516</w:t>
      </w:r>
    </w:p>
    <w:p>
      <w:pPr>
        <w:spacing w:after="0" w:line="50" w:lineRule="exact"/>
        <w:rPr>
          <w:sz w:val="24"/>
          <w:szCs w:val="24"/>
          <w:color w:val="auto"/>
        </w:rPr>
      </w:pPr>
    </w:p>
    <w:p>
      <w:pPr>
        <w:sectPr>
          <w:pgSz w:w="11900" w:h="16838" w:orient="portrait"/>
          <w:cols w:equalWidth="0" w:num="2">
            <w:col w:w="7300" w:space="720"/>
            <w:col w:w="3220"/>
          </w:cols>
          <w:pgMar w:left="320" w:top="1084" w:right="33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30"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25" w:lineRule="exact"/>
        <w:rPr>
          <w:sz w:val="24"/>
          <w:szCs w:val="24"/>
          <w:color w:val="auto"/>
        </w:rPr>
      </w:pPr>
    </w:p>
    <w:p>
      <w:pPr>
        <w:sectPr>
          <w:pgSz w:w="11900" w:h="16838" w:orient="portrait"/>
          <w:cols w:equalWidth="0" w:num="2">
            <w:col w:w="7160" w:space="720"/>
            <w:col w:w="3360"/>
          </w:cols>
          <w:pgMar w:left="320" w:top="1084"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5501 Headquarters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Plano, Texas 75024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registrant’s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972-801-1100</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084" w:right="339" w:bottom="1440" w:gutter="0" w:footer="0" w:header="0"/>
          <w:type w:val="continuous"/>
        </w:sectPr>
      </w:pPr>
    </w:p>
    <w:p>
      <w:pPr>
        <w:spacing w:after="0" w:line="50"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RCII</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The Nasdaq Stock Market</w:t>
      </w:r>
    </w:p>
    <w:p>
      <w:pPr>
        <w:spacing w:after="0" w:line="200" w:lineRule="exact"/>
        <w:rPr>
          <w:sz w:val="24"/>
          <w:szCs w:val="24"/>
          <w:color w:val="auto"/>
        </w:rPr>
      </w:pPr>
    </w:p>
    <w:p>
      <w:pPr>
        <w:sectPr>
          <w:pgSz w:w="11900" w:h="16838" w:orient="portrait"/>
          <w:cols w:equalWidth="0" w:num="3">
            <w:col w:w="4260" w:space="720"/>
            <w:col w:w="1620" w:space="720"/>
            <w:col w:w="3920"/>
          </w:cols>
          <w:pgMar w:left="320" w:top="1084" w:right="339" w:bottom="1440" w:gutter="0" w:footer="0" w:header="0"/>
          <w:type w:val="continuous"/>
        </w:sectPr>
      </w:pPr>
    </w:p>
    <w:p>
      <w:pPr>
        <w:spacing w:after="0" w:line="2" w:lineRule="exact"/>
        <w:rPr>
          <w:sz w:val="24"/>
          <w:szCs w:val="24"/>
          <w:color w:val="auto"/>
        </w:rPr>
      </w:pPr>
    </w:p>
    <w:p>
      <w:pPr>
        <w:ind w:right="3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1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5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43"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w:t>
      </w:r>
    </w:p>
    <w:tbl>
      <w:tblPr>
        <w:tblLayout w:type="fixed"/>
        <w:tblInd w:w="0" w:type="dxa"/>
        <w:tblCellMar>
          <w:top w:w="0" w:type="dxa"/>
          <w:left w:w="0" w:type="dxa"/>
          <w:bottom w:w="0" w:type="dxa"/>
          <w:right w:w="0" w:type="dxa"/>
        </w:tblCellMar>
      </w:tblPr>
      <w:tr>
        <w:trPr>
          <w:trHeight w:val="254"/>
        </w:trPr>
        <w:tc>
          <w:tcPr>
            <w:tcW w:w="7700" w:type="dxa"/>
            <w:vAlign w:val="bottom"/>
          </w:tcPr>
          <w:p>
            <w:pPr>
              <w:ind w:left="2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3540" w:type="dxa"/>
            <w:vAlign w:val="bottom"/>
          </w:tcPr>
          <w:p>
            <w:pPr>
              <w:ind w:left="3120"/>
              <w:spacing w:after="0" w:line="161" w:lineRule="exact"/>
              <w:rPr>
                <w:sz w:val="20"/>
                <w:szCs w:val="20"/>
                <w:color w:val="auto"/>
              </w:rPr>
            </w:pPr>
            <w:r>
              <w:rPr>
                <w:rFonts w:ascii="MS PGothic" w:cs="MS PGothic" w:eastAsia="MS PGothic" w:hAnsi="MS PGothic"/>
                <w:sz w:val="16"/>
                <w:szCs w:val="16"/>
                <w:color w:val="auto"/>
              </w:rPr>
              <w:t>☐</w:t>
            </w:r>
          </w:p>
        </w:tc>
      </w:tr>
      <w:tr>
        <w:trPr>
          <w:trHeight w:val="194"/>
        </w:trPr>
        <w:tc>
          <w:tcPr>
            <w:tcW w:w="7700" w:type="dxa"/>
            <w:vAlign w:val="bottom"/>
          </w:tcPr>
          <w:p>
            <w:pPr>
              <w:spacing w:after="0"/>
              <w:rPr>
                <w:sz w:val="20"/>
                <w:szCs w:val="20"/>
                <w:color w:val="auto"/>
              </w:rPr>
            </w:pPr>
            <w:r>
              <w:rPr>
                <w:rFonts w:ascii="Arial" w:cs="Arial" w:eastAsia="Arial" w:hAnsi="Arial"/>
                <w:sz w:val="16"/>
                <w:szCs w:val="16"/>
                <w:color w:val="auto"/>
                <w:w w:val="96"/>
              </w:rPr>
              <w:t>Indicate by check mark whether the registrant is a shell company (as defined in Rule 12b-2 of the Exchange Act).</w:t>
            </w:r>
          </w:p>
        </w:tc>
        <w:tc>
          <w:tcPr>
            <w:tcW w:w="3540" w:type="dxa"/>
            <w:vAlign w:val="bottom"/>
          </w:tcPr>
          <w:p>
            <w:pPr>
              <w:spacing w:after="0"/>
              <w:rPr>
                <w:sz w:val="16"/>
                <w:szCs w:val="16"/>
                <w:color w:val="auto"/>
              </w:rPr>
            </w:pPr>
          </w:p>
        </w:tc>
      </w:tr>
      <w:tr>
        <w:trPr>
          <w:trHeight w:val="254"/>
        </w:trPr>
        <w:tc>
          <w:tcPr>
            <w:tcW w:w="770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3540" w:type="dxa"/>
            <w:vAlign w:val="bottom"/>
          </w:tcPr>
          <w:p>
            <w:pPr>
              <w:spacing w:after="0"/>
              <w:rPr>
                <w:sz w:val="22"/>
                <w:szCs w:val="22"/>
                <w:color w:val="auto"/>
              </w:rPr>
            </w:pPr>
          </w:p>
        </w:tc>
      </w:tr>
      <w:tr>
        <w:trPr>
          <w:trHeight w:val="279"/>
        </w:trPr>
        <w:tc>
          <w:tcPr>
            <w:tcW w:w="7700" w:type="dxa"/>
            <w:vAlign w:val="bottom"/>
          </w:tcPr>
          <w:p>
            <w:pPr>
              <w:spacing w:after="0"/>
              <w:rPr>
                <w:sz w:val="20"/>
                <w:szCs w:val="20"/>
                <w:color w:val="auto"/>
              </w:rPr>
            </w:pPr>
            <w:r>
              <w:rPr>
                <w:rFonts w:ascii="Arial" w:cs="Arial" w:eastAsia="Arial" w:hAnsi="Arial"/>
                <w:sz w:val="16"/>
                <w:szCs w:val="16"/>
                <w:color w:val="auto"/>
                <w:w w:val="96"/>
              </w:rPr>
              <w:t>Indicate the number of shares outstanding of each of the issuer’s classes of common stock, as of April 27, 2022:</w:t>
            </w:r>
          </w:p>
        </w:tc>
        <w:tc>
          <w:tcPr>
            <w:tcW w:w="3540" w:type="dxa"/>
            <w:vAlign w:val="bottom"/>
          </w:tcPr>
          <w:p>
            <w:pPr>
              <w:spacing w:after="0"/>
              <w:rPr>
                <w:sz w:val="24"/>
                <w:szCs w:val="24"/>
                <w:color w:val="auto"/>
              </w:rPr>
            </w:pPr>
          </w:p>
        </w:tc>
      </w:tr>
      <w:tr>
        <w:trPr>
          <w:trHeight w:val="230"/>
        </w:trPr>
        <w:tc>
          <w:tcPr>
            <w:tcW w:w="7700" w:type="dxa"/>
            <w:vAlign w:val="bottom"/>
          </w:tcPr>
          <w:p>
            <w:pPr>
              <w:ind w:left="2600"/>
              <w:spacing w:after="0"/>
              <w:rPr>
                <w:sz w:val="20"/>
                <w:szCs w:val="20"/>
                <w:color w:val="auto"/>
              </w:rPr>
            </w:pPr>
            <w:r>
              <w:rPr>
                <w:rFonts w:ascii="Arial" w:cs="Arial" w:eastAsia="Arial" w:hAnsi="Arial"/>
                <w:sz w:val="16"/>
                <w:szCs w:val="16"/>
                <w:color w:val="auto"/>
              </w:rPr>
              <w:t>Class</w:t>
            </w:r>
          </w:p>
        </w:tc>
        <w:tc>
          <w:tcPr>
            <w:tcW w:w="3540" w:type="dxa"/>
            <w:vAlign w:val="bottom"/>
          </w:tcPr>
          <w:p>
            <w:pPr>
              <w:jc w:val="center"/>
              <w:ind w:right="1979"/>
              <w:spacing w:after="0"/>
              <w:rPr>
                <w:sz w:val="20"/>
                <w:szCs w:val="20"/>
                <w:color w:val="auto"/>
              </w:rPr>
            </w:pPr>
            <w:r>
              <w:rPr>
                <w:rFonts w:ascii="Arial" w:cs="Arial" w:eastAsia="Arial" w:hAnsi="Arial"/>
                <w:sz w:val="16"/>
                <w:szCs w:val="16"/>
                <w:color w:val="auto"/>
                <w:w w:val="92"/>
              </w:rPr>
              <w:t>Outstanding</w:t>
            </w:r>
          </w:p>
        </w:tc>
      </w:tr>
      <w:tr>
        <w:trPr>
          <w:trHeight w:val="216"/>
        </w:trPr>
        <w:tc>
          <w:tcPr>
            <w:tcW w:w="7700" w:type="dxa"/>
            <w:vAlign w:val="bottom"/>
          </w:tcPr>
          <w:p>
            <w:pPr>
              <w:ind w:left="1780"/>
              <w:spacing w:after="0"/>
              <w:rPr>
                <w:sz w:val="20"/>
                <w:szCs w:val="20"/>
                <w:color w:val="auto"/>
              </w:rPr>
            </w:pPr>
            <w:r>
              <w:rPr>
                <w:rFonts w:ascii="Arial" w:cs="Arial" w:eastAsia="Arial" w:hAnsi="Arial"/>
                <w:sz w:val="16"/>
                <w:szCs w:val="16"/>
                <w:color w:val="auto"/>
              </w:rPr>
              <w:t>Common stock, $.01 par value</w:t>
            </w:r>
          </w:p>
        </w:tc>
        <w:tc>
          <w:tcPr>
            <w:tcW w:w="3540" w:type="dxa"/>
            <w:vAlign w:val="bottom"/>
          </w:tcPr>
          <w:p>
            <w:pPr>
              <w:jc w:val="right"/>
              <w:ind w:right="2359"/>
              <w:spacing w:after="0"/>
              <w:rPr>
                <w:sz w:val="20"/>
                <w:szCs w:val="20"/>
                <w:color w:val="auto"/>
              </w:rPr>
            </w:pPr>
            <w:r>
              <w:rPr>
                <w:rFonts w:ascii="Arial" w:cs="Arial" w:eastAsia="Arial" w:hAnsi="Arial"/>
                <w:sz w:val="16"/>
                <w:szCs w:val="16"/>
                <w:color w:val="auto"/>
              </w:rPr>
              <w:t>59,143,046</w:t>
            </w:r>
          </w:p>
        </w:tc>
      </w:tr>
      <w:tr>
        <w:trPr>
          <w:trHeight w:val="1350"/>
        </w:trPr>
        <w:tc>
          <w:tcPr>
            <w:tcW w:w="77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9440" w:type="dxa"/>
            <w:vAlign w:val="bottom"/>
          </w:tcPr>
          <w:p>
            <w:pPr>
              <w:spacing w:after="0"/>
              <w:rPr>
                <w:sz w:val="16"/>
                <w:szCs w:val="16"/>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16"/>
        </w:trPr>
        <w:tc>
          <w:tcPr>
            <w:tcW w:w="900" w:type="dxa"/>
            <w:vAlign w:val="bottom"/>
          </w:tcPr>
          <w:p>
            <w:pPr>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9440" w:type="dxa"/>
            <w:vAlign w:val="bottom"/>
          </w:tcPr>
          <w:p>
            <w:pPr>
              <w:ind w:left="20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FINANCIAL INFORMATION</w:t>
              </w:r>
            </w:hyperlink>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2">
              <w:r>
                <w:rPr>
                  <w:rFonts w:ascii="Arial" w:cs="Arial" w:eastAsia="Arial" w:hAnsi="Arial"/>
                  <w:sz w:val="18"/>
                  <w:szCs w:val="18"/>
                  <w:color w:val="auto"/>
                </w:rPr>
                <w:t>Item 1.</w:t>
              </w:r>
            </w:hyperlink>
          </w:p>
        </w:tc>
        <w:tc>
          <w:tcPr>
            <w:tcW w:w="9440" w:type="dxa"/>
            <w:vAlign w:val="bottom"/>
          </w:tcPr>
          <w:p>
            <w:pPr>
              <w:ind w:left="200"/>
              <w:spacing w:after="0"/>
              <w:rPr>
                <w:rFonts w:ascii="Arial" w:cs="Arial" w:eastAsia="Arial" w:hAnsi="Arial"/>
                <w:sz w:val="18"/>
                <w:szCs w:val="18"/>
                <w:color w:val="auto"/>
              </w:rPr>
            </w:pPr>
            <w:hyperlink w:anchor="page2">
              <w:r>
                <w:rPr>
                  <w:rFonts w:ascii="Arial" w:cs="Arial" w:eastAsia="Arial" w:hAnsi="Arial"/>
                  <w:sz w:val="18"/>
                  <w:szCs w:val="18"/>
                  <w:color w:val="auto"/>
                </w:rPr>
                <w:t>Condensed Consolidated Financial Statements</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Condensed Consolidated Statements of Operations for the </w:t>
              </w:r>
            </w:hyperlink>
            <w:r>
              <w:rPr>
                <w:rFonts w:ascii="Arial" w:cs="Arial" w:eastAsia="Arial" w:hAnsi="Arial"/>
                <w:sz w:val="18"/>
                <w:szCs w:val="18"/>
                <w:color w:val="auto"/>
              </w:rPr>
              <w:t xml:space="preserve">three-month </w:t>
            </w:r>
            <w:hyperlink w:anchor="page3">
              <w:r>
                <w:rPr>
                  <w:rFonts w:ascii="Arial" w:cs="Arial" w:eastAsia="Arial" w:hAnsi="Arial"/>
                  <w:sz w:val="18"/>
                  <w:szCs w:val="18"/>
                  <w:color w:val="auto"/>
                </w:rPr>
                <w:t xml:space="preserve">periods ended </w:t>
              </w:r>
            </w:hyperlink>
            <w:r>
              <w:rPr>
                <w:rFonts w:ascii="Arial" w:cs="Arial" w:eastAsia="Arial" w:hAnsi="Arial"/>
                <w:sz w:val="18"/>
                <w:szCs w:val="18"/>
                <w:color w:val="auto"/>
              </w:rPr>
              <w:t xml:space="preserve">March 31, 2022 </w:t>
            </w: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2021</w:t>
            </w:r>
          </w:p>
        </w:tc>
        <w:tc>
          <w:tcPr>
            <w:tcW w:w="8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440" w:type="dxa"/>
            <w:vAlign w:val="bottom"/>
          </w:tcPr>
          <w:p>
            <w:pPr>
              <w:ind w:left="200"/>
              <w:spacing w:after="0"/>
              <w:rPr>
                <w:rFonts w:ascii="Arial" w:cs="Arial" w:eastAsia="Arial" w:hAnsi="Arial"/>
                <w:sz w:val="18"/>
                <w:szCs w:val="18"/>
                <w:color w:val="auto"/>
                <w:w w:val="91"/>
              </w:rPr>
            </w:pPr>
            <w:hyperlink w:anchor="page3">
              <w:r>
                <w:rPr>
                  <w:rFonts w:ascii="Arial" w:cs="Arial" w:eastAsia="Arial" w:hAnsi="Arial"/>
                  <w:sz w:val="18"/>
                  <w:szCs w:val="18"/>
                  <w:color w:val="auto"/>
                  <w:w w:val="91"/>
                </w:rPr>
                <w:t xml:space="preserve">Condensed Consolidated Statements of Comprehensive </w:t>
              </w:r>
            </w:hyperlink>
            <w:r>
              <w:rPr>
                <w:rFonts w:ascii="Arial" w:cs="Arial" w:eastAsia="Arial" w:hAnsi="Arial"/>
                <w:sz w:val="18"/>
                <w:szCs w:val="18"/>
                <w:color w:val="auto"/>
                <w:w w:val="91"/>
              </w:rPr>
              <w:t xml:space="preserve">(Loss) </w:t>
            </w:r>
            <w:hyperlink w:anchor="page3">
              <w:r>
                <w:rPr>
                  <w:rFonts w:ascii="Arial" w:cs="Arial" w:eastAsia="Arial" w:hAnsi="Arial"/>
                  <w:sz w:val="18"/>
                  <w:szCs w:val="18"/>
                  <w:color w:val="auto"/>
                  <w:w w:val="91"/>
                </w:rPr>
                <w:t xml:space="preserve">Income for the </w:t>
              </w:r>
            </w:hyperlink>
            <w:r>
              <w:rPr>
                <w:rFonts w:ascii="Arial" w:cs="Arial" w:eastAsia="Arial" w:hAnsi="Arial"/>
                <w:sz w:val="18"/>
                <w:szCs w:val="18"/>
                <w:color w:val="auto"/>
                <w:w w:val="91"/>
              </w:rPr>
              <w:t xml:space="preserve">three-month </w:t>
            </w:r>
            <w:hyperlink w:anchor="page3">
              <w:r>
                <w:rPr>
                  <w:rFonts w:ascii="Arial" w:cs="Arial" w:eastAsia="Arial" w:hAnsi="Arial"/>
                  <w:sz w:val="18"/>
                  <w:szCs w:val="18"/>
                  <w:color w:val="auto"/>
                  <w:w w:val="91"/>
                </w:rPr>
                <w:t xml:space="preserve">periods ended </w:t>
              </w:r>
            </w:hyperlink>
            <w:r>
              <w:rPr>
                <w:rFonts w:ascii="Arial" w:cs="Arial" w:eastAsia="Arial" w:hAnsi="Arial"/>
                <w:sz w:val="18"/>
                <w:szCs w:val="18"/>
                <w:color w:val="auto"/>
                <w:w w:val="91"/>
              </w:rPr>
              <w:t xml:space="preserve">March 31, 2022 </w:t>
            </w:r>
            <w:hyperlink w:anchor="page3">
              <w:r>
                <w:rPr>
                  <w:rFonts w:ascii="Arial" w:cs="Arial" w:eastAsia="Arial" w:hAnsi="Arial"/>
                  <w:sz w:val="18"/>
                  <w:szCs w:val="18"/>
                  <w:color w:val="auto"/>
                  <w:w w:val="91"/>
                </w:rPr>
                <w:t>and</w:t>
              </w:r>
            </w:hyperlink>
          </w:p>
        </w:tc>
        <w:tc>
          <w:tcPr>
            <w:tcW w:w="88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440" w:type="dxa"/>
            <w:vAlign w:val="bottom"/>
          </w:tcPr>
          <w:p>
            <w:pPr>
              <w:ind w:left="200"/>
              <w:spacing w:after="0"/>
              <w:rPr>
                <w:sz w:val="20"/>
                <w:szCs w:val="20"/>
                <w:color w:val="auto"/>
              </w:rPr>
            </w:pPr>
            <w:r>
              <w:rPr>
                <w:rFonts w:ascii="Arial" w:cs="Arial" w:eastAsia="Arial" w:hAnsi="Arial"/>
                <w:sz w:val="18"/>
                <w:szCs w:val="18"/>
                <w:color w:val="auto"/>
              </w:rPr>
              <w:t>2021</w:t>
            </w: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Condensed Consolidated Balance Sheets as of </w:t>
              </w:r>
            </w:hyperlink>
            <w:r>
              <w:rPr>
                <w:rFonts w:ascii="Arial" w:cs="Arial" w:eastAsia="Arial" w:hAnsi="Arial"/>
                <w:sz w:val="18"/>
                <w:szCs w:val="18"/>
                <w:color w:val="auto"/>
              </w:rPr>
              <w:t xml:space="preserve">March 31, 2022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December 31, 2021</w:t>
            </w:r>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w w:val="95"/>
              </w:rPr>
            </w:pPr>
            <w:hyperlink w:anchor="page5">
              <w:r>
                <w:rPr>
                  <w:rFonts w:ascii="Arial" w:cs="Arial" w:eastAsia="Arial" w:hAnsi="Arial"/>
                  <w:sz w:val="18"/>
                  <w:szCs w:val="18"/>
                  <w:color w:val="auto"/>
                  <w:w w:val="95"/>
                </w:rPr>
                <w:t xml:space="preserve">Condensed Consolidated Statement of Stockholders' Equity for the </w:t>
              </w:r>
            </w:hyperlink>
            <w:r>
              <w:rPr>
                <w:rFonts w:ascii="Arial" w:cs="Arial" w:eastAsia="Arial" w:hAnsi="Arial"/>
                <w:sz w:val="18"/>
                <w:szCs w:val="18"/>
                <w:color w:val="auto"/>
                <w:w w:val="95"/>
              </w:rPr>
              <w:t xml:space="preserve">three-month </w:t>
            </w:r>
            <w:hyperlink w:anchor="page5">
              <w:r>
                <w:rPr>
                  <w:rFonts w:ascii="Arial" w:cs="Arial" w:eastAsia="Arial" w:hAnsi="Arial"/>
                  <w:sz w:val="18"/>
                  <w:szCs w:val="18"/>
                  <w:color w:val="auto"/>
                  <w:w w:val="95"/>
                </w:rPr>
                <w:t xml:space="preserve">periods ending </w:t>
              </w:r>
            </w:hyperlink>
            <w:r>
              <w:rPr>
                <w:rFonts w:ascii="Arial" w:cs="Arial" w:eastAsia="Arial" w:hAnsi="Arial"/>
                <w:sz w:val="18"/>
                <w:szCs w:val="18"/>
                <w:color w:val="auto"/>
                <w:w w:val="95"/>
              </w:rPr>
              <w:t xml:space="preserve">March 31, 2022 </w:t>
            </w:r>
            <w:hyperlink w:anchor="page5">
              <w:r>
                <w:rPr>
                  <w:rFonts w:ascii="Arial" w:cs="Arial" w:eastAsia="Arial" w:hAnsi="Arial"/>
                  <w:sz w:val="18"/>
                  <w:szCs w:val="18"/>
                  <w:color w:val="auto"/>
                  <w:w w:val="95"/>
                </w:rPr>
                <w:t xml:space="preserve">and </w:t>
              </w:r>
            </w:hyperlink>
            <w:r>
              <w:rPr>
                <w:rFonts w:ascii="Arial" w:cs="Arial" w:eastAsia="Arial" w:hAnsi="Arial"/>
                <w:sz w:val="18"/>
                <w:szCs w:val="18"/>
                <w:color w:val="auto"/>
                <w:w w:val="95"/>
              </w:rPr>
              <w:t>2021</w:t>
            </w:r>
          </w:p>
        </w:tc>
        <w:tc>
          <w:tcPr>
            <w:tcW w:w="8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Condensed Consolidated Statements of Cash Flows for the </w:t>
              </w:r>
            </w:hyperlink>
            <w:r>
              <w:rPr>
                <w:rFonts w:ascii="Arial" w:cs="Arial" w:eastAsia="Arial" w:hAnsi="Arial"/>
                <w:sz w:val="18"/>
                <w:szCs w:val="18"/>
                <w:color w:val="auto"/>
              </w:rPr>
              <w:t xml:space="preserve">three-month </w:t>
            </w:r>
            <w:hyperlink w:anchor="page6">
              <w:r>
                <w:rPr>
                  <w:rFonts w:ascii="Arial" w:cs="Arial" w:eastAsia="Arial" w:hAnsi="Arial"/>
                  <w:sz w:val="18"/>
                  <w:szCs w:val="18"/>
                  <w:color w:val="auto"/>
                </w:rPr>
                <w:t xml:space="preserve">periods ended </w:t>
              </w:r>
            </w:hyperlink>
            <w:r>
              <w:rPr>
                <w:rFonts w:ascii="Arial" w:cs="Arial" w:eastAsia="Arial" w:hAnsi="Arial"/>
                <w:sz w:val="18"/>
                <w:szCs w:val="18"/>
                <w:color w:val="auto"/>
              </w:rPr>
              <w:t xml:space="preserve">March 31, 2022 </w:t>
            </w:r>
            <w:hyperlink w:anchor="page6">
              <w:r>
                <w:rPr>
                  <w:rFonts w:ascii="Arial" w:cs="Arial" w:eastAsia="Arial" w:hAnsi="Arial"/>
                  <w:sz w:val="18"/>
                  <w:szCs w:val="18"/>
                  <w:color w:val="auto"/>
                </w:rPr>
                <w:t xml:space="preserve">and </w:t>
              </w:r>
            </w:hyperlink>
            <w:r>
              <w:rPr>
                <w:rFonts w:ascii="Arial" w:cs="Arial" w:eastAsia="Arial" w:hAnsi="Arial"/>
                <w:sz w:val="18"/>
                <w:szCs w:val="18"/>
                <w:color w:val="auto"/>
              </w:rPr>
              <w:t>2021</w:t>
            </w:r>
          </w:p>
        </w:tc>
        <w:tc>
          <w:tcPr>
            <w:tcW w:w="8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w:t>
              </w:r>
            </w:hyperlink>
          </w:p>
        </w:tc>
        <w:tc>
          <w:tcPr>
            <w:tcW w:w="8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23">
              <w:r>
                <w:rPr>
                  <w:rFonts w:ascii="Arial" w:cs="Arial" w:eastAsia="Arial" w:hAnsi="Arial"/>
                  <w:sz w:val="18"/>
                  <w:szCs w:val="18"/>
                  <w:color w:val="auto"/>
                </w:rPr>
                <w:t>Item 2.</w:t>
              </w:r>
            </w:hyperlink>
          </w:p>
        </w:tc>
        <w:tc>
          <w:tcPr>
            <w:tcW w:w="9440" w:type="dxa"/>
            <w:vAlign w:val="bottom"/>
          </w:tcPr>
          <w:p>
            <w:pPr>
              <w:ind w:left="200"/>
              <w:spacing w:after="0"/>
              <w:rPr>
                <w:rFonts w:ascii="Arial" w:cs="Arial" w:eastAsia="Arial" w:hAnsi="Arial"/>
                <w:sz w:val="18"/>
                <w:szCs w:val="18"/>
                <w:color w:val="auto"/>
              </w:rPr>
            </w:pPr>
            <w:hyperlink w:anchor="page23">
              <w:r>
                <w:rPr>
                  <w:rFonts w:ascii="Arial" w:cs="Arial" w:eastAsia="Arial" w:hAnsi="Arial"/>
                  <w:sz w:val="18"/>
                  <w:szCs w:val="18"/>
                  <w:color w:val="auto"/>
                </w:rPr>
                <w:t>Management's Discussion and Analysis of Financial Condition and Results of Operations</w:t>
              </w:r>
            </w:hyperlink>
          </w:p>
        </w:tc>
        <w:tc>
          <w:tcPr>
            <w:tcW w:w="8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4">
              <w:r>
                <w:rPr>
                  <w:rFonts w:ascii="Arial" w:cs="Arial" w:eastAsia="Arial" w:hAnsi="Arial"/>
                  <w:sz w:val="18"/>
                  <w:szCs w:val="18"/>
                  <w:color w:val="auto"/>
                </w:rPr>
                <w:t>Item 3.</w:t>
              </w:r>
            </w:hyperlink>
          </w:p>
        </w:tc>
        <w:tc>
          <w:tcPr>
            <w:tcW w:w="9440" w:type="dxa"/>
            <w:vAlign w:val="bottom"/>
          </w:tcPr>
          <w:p>
            <w:pPr>
              <w:ind w:left="200"/>
              <w:spacing w:after="0"/>
              <w:rPr>
                <w:rFonts w:ascii="Arial" w:cs="Arial" w:eastAsia="Arial" w:hAnsi="Arial"/>
                <w:sz w:val="18"/>
                <w:szCs w:val="18"/>
                <w:color w:val="auto"/>
              </w:rPr>
            </w:pPr>
            <w:hyperlink w:anchor="page34">
              <w:r>
                <w:rPr>
                  <w:rFonts w:ascii="Arial" w:cs="Arial" w:eastAsia="Arial" w:hAnsi="Arial"/>
                  <w:sz w:val="18"/>
                  <w:szCs w:val="18"/>
                  <w:color w:val="auto"/>
                </w:rPr>
                <w:t>Quantitative and Qualitative Disclosures About Market Risk</w:t>
              </w:r>
            </w:hyperlink>
          </w:p>
        </w:tc>
        <w:tc>
          <w:tcPr>
            <w:tcW w:w="8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9440" w:type="dxa"/>
            <w:vAlign w:val="bottom"/>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Controls and Procedures</w:t>
              </w:r>
            </w:hyperlink>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PART II.</w:t>
              </w:r>
            </w:hyperlink>
          </w:p>
        </w:tc>
        <w:tc>
          <w:tcPr>
            <w:tcW w:w="9440" w:type="dxa"/>
            <w:vAlign w:val="bottom"/>
          </w:tcPr>
          <w:p>
            <w:pPr>
              <w:ind w:left="20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OTHER INFORMATION</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1.</w:t>
              </w:r>
            </w:hyperlink>
          </w:p>
        </w:tc>
        <w:tc>
          <w:tcPr>
            <w:tcW w:w="9440" w:type="dxa"/>
            <w:vAlign w:val="bottom"/>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Legal Proceedings</w:t>
              </w:r>
            </w:hyperlink>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1A.</w:t>
              </w:r>
            </w:hyperlink>
          </w:p>
        </w:tc>
        <w:tc>
          <w:tcPr>
            <w:tcW w:w="9440" w:type="dxa"/>
            <w:vAlign w:val="bottom"/>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Risk Factors</w:t>
              </w:r>
            </w:hyperlink>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2.</w:t>
              </w:r>
            </w:hyperlink>
          </w:p>
        </w:tc>
        <w:tc>
          <w:tcPr>
            <w:tcW w:w="9440" w:type="dxa"/>
            <w:vAlign w:val="bottom"/>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Unregistered Sales of Equity Securities and Use of Proceeds</w:t>
              </w:r>
            </w:hyperlink>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445"/>
        </w:trPr>
        <w:tc>
          <w:tcPr>
            <w:tcW w:w="90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9440" w:type="dxa"/>
            <w:vAlign w:val="bottom"/>
          </w:tcPr>
          <w:p>
            <w:pPr>
              <w:ind w:left="200"/>
              <w:spacing w:after="0"/>
              <w:rPr>
                <w:rFonts w:ascii="Arial" w:cs="Arial" w:eastAsia="Arial" w:hAnsi="Arial"/>
                <w:sz w:val="18"/>
                <w:szCs w:val="18"/>
                <w:color w:val="auto"/>
              </w:rPr>
            </w:pPr>
            <w:hyperlink w:anchor="page35">
              <w:r>
                <w:rPr>
                  <w:rFonts w:ascii="Arial" w:cs="Arial" w:eastAsia="Arial" w:hAnsi="Arial"/>
                  <w:sz w:val="18"/>
                  <w:szCs w:val="18"/>
                  <w:color w:val="auto"/>
                </w:rPr>
                <w:t>Defaults Upon Senior Securities</w:t>
              </w:r>
            </w:hyperlink>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84"/>
        </w:trPr>
        <w:tc>
          <w:tcPr>
            <w:tcW w:w="90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4.</w:t>
              </w:r>
            </w:hyperlink>
          </w:p>
        </w:tc>
        <w:tc>
          <w:tcPr>
            <w:tcW w:w="9440" w:type="dxa"/>
            <w:vAlign w:val="bottom"/>
          </w:tcPr>
          <w:p>
            <w:pPr>
              <w:ind w:left="200"/>
              <w:spacing w:after="0"/>
              <w:rPr>
                <w:rFonts w:ascii="Arial" w:cs="Arial" w:eastAsia="Arial" w:hAnsi="Arial"/>
                <w:sz w:val="18"/>
                <w:szCs w:val="18"/>
                <w:color w:val="auto"/>
              </w:rPr>
            </w:pPr>
            <w:hyperlink w:anchor="page36">
              <w:r>
                <w:rPr>
                  <w:rFonts w:ascii="Arial" w:cs="Arial" w:eastAsia="Arial" w:hAnsi="Arial"/>
                  <w:sz w:val="18"/>
                  <w:szCs w:val="18"/>
                  <w:color w:val="auto"/>
                </w:rPr>
                <w:t>Mine Safety Disclosures</w:t>
              </w:r>
            </w:hyperlink>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5.</w:t>
              </w:r>
            </w:hyperlink>
          </w:p>
        </w:tc>
        <w:tc>
          <w:tcPr>
            <w:tcW w:w="9440" w:type="dxa"/>
            <w:vAlign w:val="bottom"/>
          </w:tcPr>
          <w:p>
            <w:pPr>
              <w:ind w:left="200"/>
              <w:spacing w:after="0"/>
              <w:rPr>
                <w:rFonts w:ascii="Arial" w:cs="Arial" w:eastAsia="Arial" w:hAnsi="Arial"/>
                <w:sz w:val="18"/>
                <w:szCs w:val="18"/>
                <w:color w:val="auto"/>
              </w:rPr>
            </w:pPr>
            <w:hyperlink w:anchor="page36">
              <w:r>
                <w:rPr>
                  <w:rFonts w:ascii="Arial" w:cs="Arial" w:eastAsia="Arial" w:hAnsi="Arial"/>
                  <w:sz w:val="18"/>
                  <w:szCs w:val="18"/>
                  <w:color w:val="auto"/>
                </w:rPr>
                <w:t>Other Information</w:t>
              </w:r>
            </w:hyperlink>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83"/>
        </w:trPr>
        <w:tc>
          <w:tcPr>
            <w:tcW w:w="90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6.</w:t>
              </w:r>
            </w:hyperlink>
          </w:p>
        </w:tc>
        <w:tc>
          <w:tcPr>
            <w:tcW w:w="9440" w:type="dxa"/>
            <w:vAlign w:val="bottom"/>
          </w:tcPr>
          <w:p>
            <w:pPr>
              <w:ind w:left="200"/>
              <w:spacing w:after="0"/>
              <w:rPr>
                <w:rFonts w:ascii="Arial" w:cs="Arial" w:eastAsia="Arial" w:hAnsi="Arial"/>
                <w:sz w:val="18"/>
                <w:szCs w:val="18"/>
                <w:color w:val="auto"/>
              </w:rPr>
            </w:pPr>
            <w:hyperlink w:anchor="page36">
              <w:r>
                <w:rPr>
                  <w:rFonts w:ascii="Arial" w:cs="Arial" w:eastAsia="Arial" w:hAnsi="Arial"/>
                  <w:sz w:val="18"/>
                  <w:szCs w:val="18"/>
                  <w:color w:val="auto"/>
                </w:rPr>
                <w:t>Exhibits</w:t>
              </w:r>
            </w:hyperlink>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67"/>
        </w:trPr>
        <w:tc>
          <w:tcPr>
            <w:tcW w:w="67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Arial" w:cs="Arial" w:eastAsia="Arial" w:hAnsi="Arial"/>
                <w:sz w:val="18"/>
                <w:szCs w:val="18"/>
                <w:color w:val="auto"/>
              </w:rPr>
              <w:t>Store</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Rentals and fees</w:t>
            </w: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883,047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745,534</w:t>
            </w:r>
          </w:p>
        </w:tc>
        <w:tc>
          <w:tcPr>
            <w:tcW w:w="0" w:type="dxa"/>
            <w:vAlign w:val="bottom"/>
          </w:tcPr>
          <w:p>
            <w:pPr>
              <w:spacing w:after="0"/>
              <w:rPr>
                <w:sz w:val="1"/>
                <w:szCs w:val="1"/>
                <w:color w:val="auto"/>
              </w:rPr>
            </w:pPr>
          </w:p>
        </w:tc>
      </w:tr>
      <w:tr>
        <w:trPr>
          <w:trHeight w:val="229"/>
        </w:trPr>
        <w:tc>
          <w:tcPr>
            <w:tcW w:w="6760" w:type="dxa"/>
            <w:vAlign w:val="bottom"/>
          </w:tcPr>
          <w:p>
            <w:pPr>
              <w:ind w:left="680"/>
              <w:spacing w:after="0"/>
              <w:rPr>
                <w:sz w:val="20"/>
                <w:szCs w:val="20"/>
                <w:color w:val="auto"/>
              </w:rPr>
            </w:pPr>
            <w:r>
              <w:rPr>
                <w:rFonts w:ascii="Arial" w:cs="Arial" w:eastAsia="Arial" w:hAnsi="Arial"/>
                <w:sz w:val="18"/>
                <w:szCs w:val="18"/>
                <w:color w:val="auto"/>
              </w:rPr>
              <w:t>Merchandise sales</w:t>
            </w:r>
          </w:p>
        </w:tc>
        <w:tc>
          <w:tcPr>
            <w:tcW w:w="1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232,881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232,793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Installment sales</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17,773</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store revenues</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1,134,307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997,018</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Franchise</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Merchandise sales</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33,055</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Royalty income and fees</w:t>
            </w: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revenues</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1,159,722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1,036,782</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Store</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680"/>
              <w:spacing w:after="0"/>
              <w:rPr>
                <w:sz w:val="20"/>
                <w:szCs w:val="20"/>
                <w:color w:val="auto"/>
              </w:rPr>
            </w:pPr>
            <w:r>
              <w:rPr>
                <w:rFonts w:ascii="Arial" w:cs="Arial" w:eastAsia="Arial" w:hAnsi="Arial"/>
                <w:sz w:val="18"/>
                <w:szCs w:val="18"/>
                <w:color w:val="auto"/>
              </w:rPr>
              <w:t>Cost of rentals and fees</w:t>
            </w:r>
          </w:p>
        </w:tc>
        <w:tc>
          <w:tcPr>
            <w:tcW w:w="1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338,633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247,035</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Cost of merchandise sold</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250,331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240,106</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Cost of installment sales</w:t>
            </w: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cost of store revenues</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594,885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493,182</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Franchise cost of merchandise sold</w:t>
            </w: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18,742</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33,077</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cost of revenues</w:t>
            </w:r>
          </w:p>
        </w:tc>
        <w:tc>
          <w:tcPr>
            <w:tcW w:w="1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613,627</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526,259</w:t>
            </w:r>
          </w:p>
        </w:tc>
        <w:tc>
          <w:tcPr>
            <w:tcW w:w="0" w:type="dxa"/>
            <w:vAlign w:val="bottom"/>
          </w:tcPr>
          <w:p>
            <w:pPr>
              <w:spacing w:after="0"/>
              <w:rPr>
                <w:sz w:val="1"/>
                <w:szCs w:val="1"/>
                <w:color w:val="auto"/>
              </w:rPr>
            </w:pPr>
          </w:p>
        </w:tc>
      </w:tr>
      <w:tr>
        <w:trPr>
          <w:trHeight w:val="223"/>
        </w:trPr>
        <w:tc>
          <w:tcPr>
            <w:tcW w:w="6760" w:type="dxa"/>
            <w:vAlign w:val="bottom"/>
          </w:tcPr>
          <w:p>
            <w:pPr>
              <w:ind w:left="680"/>
              <w:spacing w:after="0"/>
              <w:rPr>
                <w:sz w:val="20"/>
                <w:szCs w:val="20"/>
                <w:color w:val="auto"/>
              </w:rPr>
            </w:pPr>
            <w:r>
              <w:rPr>
                <w:rFonts w:ascii="Arial" w:cs="Arial" w:eastAsia="Arial" w:hAnsi="Arial"/>
                <w:sz w:val="18"/>
                <w:szCs w:val="18"/>
                <w:color w:val="auto"/>
              </w:rPr>
              <w:t>Gross profit</w:t>
            </w:r>
          </w:p>
        </w:tc>
        <w:tc>
          <w:tcPr>
            <w:tcW w:w="1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546,095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510,523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Arial" w:cs="Arial" w:eastAsia="Arial" w:hAnsi="Arial"/>
                <w:sz w:val="18"/>
                <w:szCs w:val="18"/>
                <w:color w:val="auto"/>
              </w:rPr>
              <w:t>Store expenses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Labor</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156,707</w:t>
            </w:r>
          </w:p>
        </w:tc>
        <w:tc>
          <w:tcPr>
            <w:tcW w:w="0" w:type="dxa"/>
            <w:vAlign w:val="bottom"/>
          </w:tcPr>
          <w:p>
            <w:pPr>
              <w:spacing w:after="0"/>
              <w:rPr>
                <w:sz w:val="1"/>
                <w:szCs w:val="1"/>
                <w:color w:val="auto"/>
              </w:rPr>
            </w:pPr>
          </w:p>
        </w:tc>
      </w:tr>
      <w:tr>
        <w:trPr>
          <w:trHeight w:val="230"/>
        </w:trPr>
        <w:tc>
          <w:tcPr>
            <w:tcW w:w="6760" w:type="dxa"/>
            <w:vAlign w:val="bottom"/>
          </w:tcPr>
          <w:p>
            <w:pPr>
              <w:ind w:left="680"/>
              <w:spacing w:after="0"/>
              <w:rPr>
                <w:sz w:val="20"/>
                <w:szCs w:val="20"/>
                <w:color w:val="auto"/>
              </w:rPr>
            </w:pPr>
            <w:r>
              <w:rPr>
                <w:rFonts w:ascii="Arial" w:cs="Arial" w:eastAsia="Arial" w:hAnsi="Arial"/>
                <w:sz w:val="18"/>
                <w:szCs w:val="18"/>
                <w:color w:val="auto"/>
              </w:rPr>
              <w:t>Other store expenses</w:t>
            </w:r>
          </w:p>
        </w:tc>
        <w:tc>
          <w:tcPr>
            <w:tcW w:w="1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227,369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170,133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49,125</w:t>
            </w: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14,529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13,393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1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70,148</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51,119</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535,052</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440,477</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profit</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70,046</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Debt refinancing charges</w:t>
            </w:r>
          </w:p>
        </w:tc>
        <w:tc>
          <w:tcPr>
            <w:tcW w:w="1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8,743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 income</w:t>
            </w: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earnings before income taxes</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49,387</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(loss) earnings</w:t>
            </w:r>
          </w:p>
        </w:tc>
        <w:tc>
          <w:tcPr>
            <w:tcW w:w="1240" w:type="dxa"/>
            <w:vAlign w:val="bottom"/>
            <w:tcBorders>
              <w:bottom w:val="single" w:sz="8" w:color="auto"/>
            </w:tcBorders>
            <w:shd w:val="clear" w:color="auto" w:fill="CCEEFF"/>
          </w:tcPr>
          <w:p>
            <w:pPr>
              <w:jc w:val="right"/>
              <w:ind w:right="105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(loss) earnings per common share</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ind w:right="1053"/>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5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earnings per common share</w:t>
            </w:r>
          </w:p>
        </w:tc>
        <w:tc>
          <w:tcPr>
            <w:tcW w:w="1240" w:type="dxa"/>
            <w:vAlign w:val="bottom"/>
            <w:tcBorders>
              <w:bottom w:val="single" w:sz="8" w:color="auto"/>
            </w:tcBorders>
            <w:shd w:val="clear" w:color="auto" w:fill="CCEEFF"/>
          </w:tcPr>
          <w:p>
            <w:pPr>
              <w:jc w:val="right"/>
              <w:ind w:right="105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ind w:right="1053"/>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5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67"/>
        </w:trPr>
        <w:tc>
          <w:tcPr>
            <w:tcW w:w="6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42,552</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Foreign currency translation adjustments, net of tax of $176 and $(227) for the three</w:t>
            </w:r>
          </w:p>
        </w:tc>
        <w:tc>
          <w:tcPr>
            <w:tcW w:w="1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months ended March 31, 2022 and 2021, respectively</w:t>
            </w:r>
          </w:p>
        </w:tc>
        <w:tc>
          <w:tcPr>
            <w:tcW w:w="1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other comprehensive income (loss)</w:t>
            </w: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Comprehensive (loss) income</w:t>
            </w: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69"/>
        </w:trPr>
        <w:tc>
          <w:tcPr>
            <w:tcW w:w="79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par value data)</w:t>
            </w: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95,684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108,333</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Receivables, net of allowance for doubtful accounts of $8,826 and $8,479 in 2022 and 2021, respectively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126,378</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47,460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63,468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On rent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1,017,485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1,173,024</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Held for rent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132,984</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Merchandise held for installment sale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Property assets, net of accumulated depreciation of $573,669 and $557,453 in 2022 and 2021, respectively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308,098</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299,109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291,338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68,391</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289,761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289,750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425,158</w:t>
            </w: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2,777,121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2,993,327</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130,715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135,666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362,708</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301,047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296,535</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113,943</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Senior debt, net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964,113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1,135,207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435,992</w:t>
            </w: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2,254,063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2,480,051</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20"/>
              <w:spacing w:after="0" w:line="176" w:lineRule="exact"/>
              <w:rPr>
                <w:sz w:val="20"/>
                <w:szCs w:val="20"/>
                <w:color w:val="auto"/>
              </w:rPr>
            </w:pPr>
            <w:r>
              <w:rPr>
                <w:rFonts w:ascii="Arial" w:cs="Arial" w:eastAsia="Arial" w:hAnsi="Arial"/>
                <w:sz w:val="18"/>
                <w:szCs w:val="18"/>
                <w:color w:val="auto"/>
                <w:w w:val="89"/>
              </w:rPr>
              <w:t>Common stock, $0.01 par value; 250,000,000 shares authorized; 124,844,162 and 124,398,373 shares issued</w:t>
            </w:r>
          </w:p>
        </w:tc>
        <w:tc>
          <w:tcPr>
            <w:tcW w:w="2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in March 31, 2022 and December 31, 2021, respectively</w:t>
            </w:r>
          </w:p>
        </w:tc>
        <w:tc>
          <w:tcPr>
            <w:tcW w:w="2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1,146,509</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1,119,347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1,143,647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at cost, 65,790,667 shares in March 31, 2022 and December 31, 2021</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(1,765,574)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(1,765,574)</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513,276</w:t>
            </w:r>
          </w:p>
        </w:tc>
        <w:tc>
          <w:tcPr>
            <w:tcW w:w="0" w:type="dxa"/>
            <w:vAlign w:val="bottom"/>
          </w:tcPr>
          <w:p>
            <w:pPr>
              <w:spacing w:after="0"/>
              <w:rPr>
                <w:sz w:val="1"/>
                <w:szCs w:val="1"/>
                <w:color w:val="auto"/>
              </w:rPr>
            </w:pPr>
          </w:p>
        </w:tc>
      </w:tr>
      <w:tr>
        <w:trPr>
          <w:trHeight w:val="223"/>
        </w:trPr>
        <w:tc>
          <w:tcPr>
            <w:tcW w:w="7940" w:type="dxa"/>
            <w:vAlign w:val="bottom"/>
          </w:tcPr>
          <w:p>
            <w:pPr>
              <w:ind w:left="10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2,777,121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2,993,327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00" w:type="dxa"/>
            <w:vAlign w:val="bottom"/>
          </w:tcPr>
          <w:p>
            <w:pPr>
              <w:spacing w:after="0"/>
              <w:rPr>
                <w:sz w:val="17"/>
                <w:szCs w:val="17"/>
                <w:color w:val="auto"/>
              </w:rPr>
            </w:pPr>
          </w:p>
        </w:tc>
        <w:tc>
          <w:tcPr>
            <w:tcW w:w="19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000" w:type="dxa"/>
            <w:vAlign w:val="bottom"/>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04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0"/>
                <w:szCs w:val="10"/>
                <w:color w:val="auto"/>
              </w:rPr>
            </w:pPr>
          </w:p>
        </w:tc>
        <w:tc>
          <w:tcPr>
            <w:tcW w:w="1080" w:type="dxa"/>
            <w:vAlign w:val="bottom"/>
            <w:gridSpan w:val="2"/>
          </w:tcPr>
          <w:p>
            <w:pPr>
              <w:jc w:val="center"/>
              <w:ind w:right="320"/>
              <w:spacing w:after="0" w:line="11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220" w:type="dxa"/>
            <w:vAlign w:val="bottom"/>
          </w:tcPr>
          <w:p>
            <w:pPr>
              <w:spacing w:after="0"/>
              <w:rPr>
                <w:sz w:val="10"/>
                <w:szCs w:val="10"/>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(Loss) Income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1,143,647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(1,765,574)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513,276</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(4,237)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Vesting of restricted share units, net of</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for employee taxes</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00" w:type="dxa"/>
            <w:vAlign w:val="bottom"/>
          </w:tcPr>
          <w:p>
            <w:pPr>
              <w:ind w:left="140"/>
              <w:spacing w:after="0" w:line="166" w:lineRule="exact"/>
              <w:rPr>
                <w:sz w:val="20"/>
                <w:szCs w:val="20"/>
                <w:color w:val="auto"/>
              </w:rPr>
            </w:pPr>
            <w:r>
              <w:rPr>
                <w:rFonts w:ascii="Arial" w:cs="Arial" w:eastAsia="Arial" w:hAnsi="Arial"/>
                <w:sz w:val="16"/>
                <w:szCs w:val="16"/>
                <w:color w:val="auto"/>
              </w:rPr>
              <w:t>Tax effect of stock awards vested and</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(8,466)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(8,466)</w:t>
            </w:r>
          </w:p>
        </w:tc>
        <w:tc>
          <w:tcPr>
            <w:tcW w:w="0" w:type="dxa"/>
            <w:vAlign w:val="bottom"/>
          </w:tcPr>
          <w:p>
            <w:pPr>
              <w:spacing w:after="0"/>
              <w:rPr>
                <w:sz w:val="1"/>
                <w:szCs w:val="1"/>
                <w:color w:val="auto"/>
              </w:rPr>
            </w:pPr>
          </w:p>
        </w:tc>
      </w:tr>
      <w:tr>
        <w:trPr>
          <w:trHeight w:val="209"/>
        </w:trPr>
        <w:tc>
          <w:tcPr>
            <w:tcW w:w="3000" w:type="dxa"/>
            <w:vAlign w:val="bottom"/>
          </w:tcPr>
          <w:p>
            <w:pPr>
              <w:ind w:left="140"/>
              <w:spacing w:after="0"/>
              <w:rPr>
                <w:sz w:val="20"/>
                <w:szCs w:val="20"/>
                <w:color w:val="auto"/>
              </w:rPr>
            </w:pPr>
            <w:r>
              <w:rPr>
                <w:rFonts w:ascii="Arial" w:cs="Arial" w:eastAsia="Arial" w:hAnsi="Arial"/>
                <w:sz w:val="16"/>
                <w:szCs w:val="16"/>
                <w:color w:val="auto"/>
              </w:rPr>
              <w:t>options exercised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41,410</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(20,063)</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124,844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1,179,925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1,119,347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92"/>
              </w:rPr>
              <w:t>(1,765,574)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523,058</w:t>
            </w:r>
          </w:p>
        </w:tc>
        <w:tc>
          <w:tcPr>
            <w:tcW w:w="0" w:type="dxa"/>
            <w:vAlign w:val="bottom"/>
          </w:tcPr>
          <w:p>
            <w:pPr>
              <w:spacing w:after="0"/>
              <w:rPr>
                <w:sz w:val="1"/>
                <w:szCs w:val="1"/>
                <w:color w:val="auto"/>
              </w:rPr>
            </w:pPr>
          </w:p>
        </w:tc>
      </w:tr>
      <w:tr>
        <w:trPr>
          <w:trHeight w:val="608"/>
        </w:trPr>
        <w:tc>
          <w:tcPr>
            <w:tcW w:w="3000" w:type="dxa"/>
            <w:vAlign w:val="bottom"/>
          </w:tcPr>
          <w:p>
            <w:pPr>
              <w:spacing w:after="0"/>
              <w:rPr>
                <w:sz w:val="24"/>
                <w:szCs w:val="24"/>
                <w:color w:val="auto"/>
              </w:rPr>
            </w:pPr>
          </w:p>
        </w:tc>
        <w:tc>
          <w:tcPr>
            <w:tcW w:w="19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0" w:type="dxa"/>
            <w:vAlign w:val="bottom"/>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04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0"/>
                <w:szCs w:val="10"/>
                <w:color w:val="auto"/>
              </w:rPr>
            </w:pPr>
          </w:p>
        </w:tc>
        <w:tc>
          <w:tcPr>
            <w:tcW w:w="1080" w:type="dxa"/>
            <w:vAlign w:val="bottom"/>
            <w:gridSpan w:val="2"/>
          </w:tcPr>
          <w:p>
            <w:pPr>
              <w:jc w:val="center"/>
              <w:ind w:right="320"/>
              <w:spacing w:after="0" w:line="11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220" w:type="dxa"/>
            <w:vAlign w:val="bottom"/>
          </w:tcPr>
          <w:p>
            <w:pPr>
              <w:spacing w:after="0"/>
              <w:rPr>
                <w:sz w:val="10"/>
                <w:szCs w:val="10"/>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112,181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(1,375,541)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592,080</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42,552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42,552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8,944</w:t>
            </w:r>
          </w:p>
        </w:tc>
        <w:tc>
          <w:tcPr>
            <w:tcW w:w="0" w:type="dxa"/>
            <w:vAlign w:val="bottom"/>
          </w:tcPr>
          <w:p>
            <w:pPr>
              <w:spacing w:after="0"/>
              <w:rPr>
                <w:sz w:val="1"/>
                <w:szCs w:val="1"/>
                <w:color w:val="auto"/>
              </w:rPr>
            </w:pPr>
          </w:p>
        </w:tc>
      </w:tr>
      <w:tr>
        <w:trPr>
          <w:trHeight w:val="165"/>
        </w:trPr>
        <w:tc>
          <w:tcPr>
            <w:tcW w:w="300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Vesting of restricted share units, net of</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902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(20,903)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shares withheld for employee taxes</w:t>
            </w:r>
            <w:r>
              <w:rPr>
                <w:rFonts w:ascii="Arial" w:cs="Arial" w:eastAsia="Arial" w:hAnsi="Arial"/>
                <w:sz w:val="21"/>
                <w:szCs w:val="21"/>
                <w:color w:val="auto"/>
                <w:vertAlign w:val="superscript"/>
              </w:rPr>
              <w:t>(1)</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20,148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(20,722)</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Acima acquisition</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10,780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120,914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120,941</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124,193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1,015,995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1,112,840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92"/>
              </w:rPr>
              <w:t>(1,375,541)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742,187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Includes shares released from escrow related to the 2019 Merchant's Preferred acquisition.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8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167"/>
        </w:trPr>
        <w:tc>
          <w:tcPr>
            <w:tcW w:w="8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Net (loss)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42,552</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earnings to 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Depreciation of rental merchandise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237,636</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Bad debt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20,148</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of property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14,459</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Loss on sale or disposal of property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14,192</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Amortization of financing fees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1,117</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Write-off of debt financing fees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3,852</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net of acquired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Rental merchandise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(165,303)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(222,054)</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9,932</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 right-of-use assets and lease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Accounts payable – trade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(22,152)</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26,448</w:t>
            </w:r>
          </w:p>
        </w:tc>
      </w:tr>
      <w:tr>
        <w:trPr>
          <w:trHeight w:val="223"/>
        </w:trPr>
        <w:tc>
          <w:tcPr>
            <w:tcW w:w="816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135,793</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Purchase of property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(11,388)</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Acquisitions of businesses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(1,267,903)</w:t>
            </w:r>
          </w:p>
        </w:tc>
      </w:tr>
      <w:tr>
        <w:trPr>
          <w:trHeight w:val="223"/>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(1,279,291)</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Shares withheld for payment of employee tax withholdings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(20,903)</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(46,085)</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Proceeds from debt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1,490,000</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debt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(307,500)</w:t>
            </w:r>
          </w:p>
        </w:tc>
      </w:tr>
      <w:tr>
        <w:trPr>
          <w:trHeight w:val="230"/>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Dividends paid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(17,116)</w:t>
            </w:r>
          </w:p>
        </w:tc>
      </w:tr>
      <w:tr>
        <w:trPr>
          <w:trHeight w:val="223"/>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1,107,340</w:t>
            </w:r>
          </w:p>
        </w:tc>
      </w:tr>
      <w:tr>
        <w:trPr>
          <w:trHeight w:val="230"/>
        </w:trPr>
        <w:tc>
          <w:tcPr>
            <w:tcW w:w="81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r>
      <w:tr>
        <w:trPr>
          <w:trHeight w:val="223"/>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(36,430)</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159,449</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123,019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condensed consolidated financial statements of Rent-A-Center,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2021.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future unknown impacts of the COVID-19 pandemic may affect certain estimates and assumptions inherent in the financial reporting process, which may impact reported amounts of assets and liabilities in future periods and cause actual results to differ from those estimates.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Nature of Operations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financial statements included herein include the accounts of Rent-A-Center, Inc. and its direct and indirect subsidiaries. All intercompany accounts and transactions have been eliminated. Unless the context indicates otherwise, references to “Rent-A-Center” refer only to Rent-A-Center, Inc., the parent, and references to the “Company”, “we,” “us” and “our” refer to the consolidated business operations of Rent-A-Center and any or all of its direct and indirect subsidiaries. We report four operating segments: Rent-A-Center Business, Acima (formerly Preferred Lease), Mexico, and Franchising.</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Rent-A-Center Business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Business segment operates through our company-owned stores and e-commerce platform through rentacenter.com.</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Acima segment, which operates in the United States and Puerto Rico, generally offers the lease-to-own transaction to consumers who do not qualify for financing from the traditional retailer through kiosks located within such retailer’s locations, including staffed options and unstaffed or virtual options. Virtual locations employ a virtual solution where customers, either directly or with the assistance of a representative of the third-party retailer, initiate the lease-to-own transaction online in the retailers’ locations using our virtual solutions.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Mexico segment consists of our company-owned lease-to-own stores in Mexico that lease household durable goods to customers on a lease-to-own basis.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Rent-A-Center Franchising International, Inc., an indirect wholly-owned subsidiary of Rent-A-Center, is a franchisor of lease-to-own stores.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 and Divestitures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17, 2021, we completed the acquisition of Acima Holdings, LLC (“Acima Holdings”). Acima Holdings is a leading platform offering customers virtual lease-to-own solutions at the point-of-sale via web and mobile technology.</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the agreement and plan of merger entered into in connection with the transaction (the “Merger Agreement”), we issued to the former owners of Acima Holdings an aggregate of 10,779,923 shares of our common stock (the “Aggregate Stock Consideration”) and paid to them aggregate cash consideration of $1.3 billion (the “Aggregate Cash Consideration”). In accordance with the terms of the Merger Agreement, the portion of the Aggregate Stock Consideration issued to employee former owners of Acima Holdings is subject to restricted stock agreements providing vesting conditions over a 36-month period that began upon closing of the transaction. The portion of the Aggregate Stock Consideration issued to nonemployee former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owners of Acima Holdings is subject to the terms of an 18-month lockup agreement, pursuant to which one-third of the aggregate shares of our common stock received by a non-employee former owner in the transaction becomes transferable after each six-month period following the closing of the transaction. We entered into a Registration Rights Agreement at the closing of the transaction pursuant to which certain former owners of Acima are entitled to registration rights in respect of the portion of the Aggregate Stock Consideration received by them in the transaction.</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aggregate purchase price was approximately $1.4 billion, including the Aggregate Cash Consideration, and the 2,683,328 shares of the Aggregate Stock Consideration issued to non-employee former owners of Acima Holdings, valued at $51.14 per share, as of the closing date and discounted for lack of marketability on account of the transfer restrictions described above. The Aggregate Cash Consideration for the acquisition was financed with a combination of cash on hand, borrowings under our ABL Credit Facility and proceeds from issuances under our Term Loan Facility, as defined in Note 7, in addition to proceeds from the issuance of new unsecured senior notes. See Note 7 and Note 8 for additional information.</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purchase price excludes the remaining 8,096,595 shares of the Aggregate Stock Consideration issued to employee former owners of Acima Holdings. Such shares were valued at $414.1 million, based on the per share price of $51.14 as of the date of closing. These shares are instead being recognized as stock-based compensation expense subject to ASC Topic 718, “Stock-based Compensation”, over the required vesting period, and recorded to Other charges in our unaudited Condensed Consolidated Statements of Operations.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Assets acquired and liabilities assumed in connection with the acquisition have been recorded at their fair values. The following table provides the estimated fair values of the identifiable assets acquired and liabilities assumed as of the acquisition date: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February 17, 2021</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cash consideration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1,273,263</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Aggregate stock consideration, subject to lockup agreements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120,929</w:t>
            </w:r>
          </w:p>
        </w:tc>
      </w:tr>
      <w:tr>
        <w:trPr>
          <w:trHeight w:val="223"/>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1,394,192</w:t>
            </w:r>
          </w:p>
        </w:tc>
      </w:tr>
      <w:tr>
        <w:trPr>
          <w:trHeight w:val="210"/>
        </w:trPr>
        <w:tc>
          <w:tcPr>
            <w:tcW w:w="9480" w:type="dxa"/>
            <w:vAlign w:val="bottom"/>
          </w:tcPr>
          <w:p>
            <w:pPr>
              <w:ind w:left="3920"/>
              <w:spacing w:after="0"/>
              <w:rPr>
                <w:sz w:val="20"/>
                <w:szCs w:val="20"/>
                <w:color w:val="auto"/>
              </w:rPr>
            </w:pPr>
            <w:r>
              <w:rPr>
                <w:rFonts w:ascii="Arial" w:cs="Arial" w:eastAsia="Arial" w:hAnsi="Arial"/>
                <w:sz w:val="18"/>
                <w:szCs w:val="18"/>
                <w:color w:val="auto"/>
              </w:rPr>
              <w:t>ASSETS ACQUIRED</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9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Receivables, net</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25,255</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9480" w:type="dxa"/>
            <w:vAlign w:val="bottom"/>
          </w:tcPr>
          <w:p>
            <w:pPr>
              <w:ind w:left="240"/>
              <w:spacing w:after="0"/>
              <w:rPr>
                <w:sz w:val="20"/>
                <w:szCs w:val="20"/>
                <w:color w:val="auto"/>
              </w:rPr>
            </w:pPr>
            <w:r>
              <w:rPr>
                <w:rFonts w:ascii="Arial" w:cs="Arial" w:eastAsia="Arial" w:hAnsi="Arial"/>
                <w:sz w:val="18"/>
                <w:szCs w:val="18"/>
                <w:color w:val="auto"/>
              </w:rPr>
              <w:t>On rent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340,575</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assets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171,455</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9,136</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28,559</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219,530</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w:t>
            </w:r>
          </w:p>
        </w:tc>
      </w:tr>
      <w:tr>
        <w:trPr>
          <w:trHeight w:val="223"/>
        </w:trPr>
        <w:tc>
          <w:tcPr>
            <w:tcW w:w="9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1,315,210</w:t>
            </w:r>
          </w:p>
        </w:tc>
      </w:tr>
      <w:tr>
        <w:trPr>
          <w:trHeight w:val="210"/>
        </w:trPr>
        <w:tc>
          <w:tcPr>
            <w:tcW w:w="9480" w:type="dxa"/>
            <w:vAlign w:val="bottom"/>
            <w:shd w:val="clear" w:color="auto" w:fill="CCEEFF"/>
          </w:tcPr>
          <w:p>
            <w:pPr>
              <w:ind w:left="3780"/>
              <w:spacing w:after="0"/>
              <w:rPr>
                <w:sz w:val="20"/>
                <w:szCs w:val="20"/>
                <w:color w:val="auto"/>
              </w:rPr>
            </w:pPr>
            <w:r>
              <w:rPr>
                <w:rFonts w:ascii="Arial" w:cs="Arial" w:eastAsia="Arial" w:hAnsi="Arial"/>
                <w:sz w:val="18"/>
                <w:szCs w:val="18"/>
                <w:color w:val="auto"/>
              </w:rPr>
              <w:t>LIABILITIES ASSUMED</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16,023</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9,689</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(116,410)</w:t>
            </w:r>
          </w:p>
        </w:tc>
      </w:tr>
      <w:tr>
        <w:trPr>
          <w:trHeight w:val="223"/>
        </w:trPr>
        <w:tc>
          <w:tcPr>
            <w:tcW w:w="9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(78,982)</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value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1,394,192</w:t>
            </w:r>
          </w:p>
        </w:tc>
      </w:tr>
    </w:tbl>
    <w:p>
      <w:pPr>
        <w:spacing w:after="0" w:line="57"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1"/>
          <w:szCs w:val="11"/>
          <w:color w:val="auto"/>
        </w:rPr>
        <w:t>Includes gross contractual receivables of $61.6 million related to merchandise lease contracts, of which $34.7 million were estimated to be uncollectible.</w:t>
      </w:r>
    </w:p>
    <w:p>
      <w:pPr>
        <w:spacing w:after="0" w:line="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Carrying value for assets and liabilities assumed as part of the acquisition, including receivables, prepaid expenses and other assets, accounts payable and accrued liabilities were recorded as fair value, as of the date of acquisition, due to the short term nature of these balances. Operating lease right-of-use assets and liabilities were recorded as the discounted value of future obligations in accordance with ASC Topic 842, “Leases”. The fair value measurements for acquired intangible assets and developed technology were primarily based on significant unobservable inputs (Level 3) developed using company-specific information. Certain fair value estimates were determined based on an independent valuation of the net assets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including $340.6 million of rental merchandise and $520 million of identifiable intangible assets with an estimated weighted average useful life of 8 years,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3000"/>
              <w:spacing w:after="0"/>
              <w:rPr>
                <w:sz w:val="20"/>
                <w:szCs w:val="20"/>
                <w:color w:val="auto"/>
              </w:rPr>
            </w:pPr>
            <w:r>
              <w:rPr>
                <w:rFonts w:ascii="Arial" w:cs="Arial" w:eastAsia="Arial" w:hAnsi="Arial"/>
                <w:sz w:val="14"/>
                <w:szCs w:val="14"/>
                <w:b w:val="1"/>
                <w:bCs w:val="1"/>
                <w:color w:val="auto"/>
              </w:rPr>
              <w:t>Asset Class</w:t>
            </w:r>
          </w:p>
        </w:tc>
        <w:tc>
          <w:tcPr>
            <w:tcW w:w="1780" w:type="dxa"/>
            <w:vAlign w:val="bottom"/>
          </w:tcPr>
          <w:p>
            <w:pPr>
              <w:spacing w:after="0"/>
              <w:rPr>
                <w:sz w:val="14"/>
                <w:szCs w:val="14"/>
                <w:color w:val="auto"/>
              </w:rPr>
            </w:pPr>
          </w:p>
        </w:tc>
        <w:tc>
          <w:tcPr>
            <w:tcW w:w="1960" w:type="dxa"/>
            <w:vAlign w:val="bottom"/>
          </w:tcPr>
          <w:p>
            <w:pPr>
              <w:jc w:val="right"/>
              <w:ind w:right="376"/>
              <w:spacing w:after="0"/>
              <w:rPr>
                <w:sz w:val="20"/>
                <w:szCs w:val="20"/>
                <w:color w:val="auto"/>
              </w:rPr>
            </w:pPr>
            <w:r>
              <w:rPr>
                <w:rFonts w:ascii="Arial" w:cs="Arial" w:eastAsia="Arial" w:hAnsi="Arial"/>
                <w:sz w:val="14"/>
                <w:szCs w:val="14"/>
                <w:b w:val="1"/>
                <w:bCs w:val="1"/>
                <w:color w:val="auto"/>
              </w:rPr>
              <w:t>Estimated Fair Value</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auto"/>
                <w:w w:val="94"/>
              </w:rPr>
              <w:t>Estimated Remaining Useful Life (in</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1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Relationship with existing lessees</w:t>
            </w:r>
          </w:p>
        </w:tc>
        <w:tc>
          <w:tcPr>
            <w:tcW w:w="17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60,000</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7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7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40,000</w:t>
            </w:r>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Developed technology, included in Property assets, net, in line with our accounting policies, was also acquired with a value of $170.0 million and an estimated remaining useful life of 10 years. The fair value for these intangible and property assets were estimated using common industry valuation methods for similar asset types, based primarily on cost inputs and projected cash flows.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recorded goodwill of $219.5 million in our Acima operating segment, which consists of the excess of the net purchase price over the fair value of the net assets acquired. Goodwill represents expected cost and revenue synergies and other benefits expected to result within our retail partner business from the acquisition of Acima Holdings. The total value of goodwill for tax purposes, differs from recorded goodwill as a result of the Aggregate Stock Consideration subject to restricted stock agreements, differences in value assigned to other purchased assets, and acquisition-related expenses. Tax goodwill will be amortized over 15 years.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Acima Holdings results of operations are reflected in our unaudited Condensed Consolidated Statements of Operations from the date of acquisition.</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Subsequent to the date of acquisition, we recorded certain adjustments to the purchase price allocation within the measurement period, including an adjustment to the fair value of rental merchandise decreasing the value of the acquired assets by approximately $17.1 million. The adjustment to the fair value of rental merchandise was based on further assessment of the carrying value of the assets and corresponding evaluation of related (Level 2) market inputs. Total cumulative measurement period adjustments resulted in a decrease to goodwill of approximately $(22.2) million. The purchase price allocation for the Acima Holdings acquisition was complete as of December 31, 2021.</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this acquisition, we incurred approximately $23.9 million in acquisition-related expenses including expenses related to legal, professional, and banking transaction fees, which are treated as an addition to goodwill for tax purposes. These costs were included in Other charges in our unaudited Condensed Consolidated Statements of Operations.</w:t>
      </w:r>
    </w:p>
    <w:p>
      <w:pPr>
        <w:spacing w:after="0" w:line="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following unaudited pro forma combined results of operations present our financial results as if the acquisition of Acima had been completed on January 1, 2020. These unaudited pro forma results may not necessarily reflect the actual results of operations that would have been achieved, nor are they necessarily indicative of future results of operations. The unaudited pro forma information reflects the step-up and step-down depreciation and amortization adjustments for the fair value of the assets acquired, adjustments to stock compensation expense as a result of Aggregate Stock Consideration subject to restricted stock awards, the adjustments in interest expense due to the elimination of historical debt and placement of the new debt, and the related adjustments to the income tax provision. In addition, the pro forma net income has been adjusted to include transaction expenses and other non-recurring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costs</w:t>
            </w:r>
          </w:p>
        </w:tc>
        <w:tc>
          <w:tcPr>
            <w:tcW w:w="540" w:type="dxa"/>
            <w:vAlign w:val="bottom"/>
          </w:tcPr>
          <w:p>
            <w:pPr>
              <w:ind w:left="200"/>
              <w:spacing w:after="0"/>
              <w:rPr>
                <w:sz w:val="20"/>
                <w:szCs w:val="20"/>
                <w:color w:val="auto"/>
              </w:rPr>
            </w:pPr>
            <w:r>
              <w:rPr>
                <w:rFonts w:ascii="Arial" w:cs="Arial" w:eastAsia="Arial" w:hAnsi="Arial"/>
                <w:sz w:val="18"/>
                <w:szCs w:val="18"/>
                <w:color w:val="auto"/>
              </w:rPr>
              <w:t>as</w:t>
            </w:r>
          </w:p>
        </w:tc>
        <w:tc>
          <w:tcPr>
            <w:tcW w:w="740" w:type="dxa"/>
            <w:vAlign w:val="bottom"/>
          </w:tcPr>
          <w:p>
            <w:pPr>
              <w:ind w:left="200"/>
              <w:spacing w:after="0"/>
              <w:rPr>
                <w:sz w:val="20"/>
                <w:szCs w:val="20"/>
                <w:color w:val="auto"/>
              </w:rPr>
            </w:pPr>
            <w:r>
              <w:rPr>
                <w:rFonts w:ascii="Arial" w:cs="Arial" w:eastAsia="Arial" w:hAnsi="Arial"/>
                <w:sz w:val="18"/>
                <w:szCs w:val="18"/>
                <w:color w:val="auto"/>
              </w:rPr>
              <w:t>of</w:t>
            </w:r>
          </w:p>
        </w:tc>
        <w:tc>
          <w:tcPr>
            <w:tcW w:w="760" w:type="dxa"/>
            <w:vAlign w:val="bottom"/>
          </w:tcPr>
          <w:p>
            <w:pPr>
              <w:spacing w:after="0"/>
              <w:rPr>
                <w:sz w:val="20"/>
                <w:szCs w:val="20"/>
                <w:color w:val="auto"/>
              </w:rPr>
            </w:pPr>
            <w:r>
              <w:rPr>
                <w:rFonts w:ascii="Arial" w:cs="Arial" w:eastAsia="Arial" w:hAnsi="Arial"/>
                <w:sz w:val="18"/>
                <w:szCs w:val="18"/>
                <w:color w:val="auto"/>
              </w:rPr>
              <w:t>January</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660" w:type="dxa"/>
            <w:vAlign w:val="bottom"/>
          </w:tcPr>
          <w:p>
            <w:pPr>
              <w:ind w:left="180"/>
              <w:spacing w:after="0"/>
              <w:rPr>
                <w:sz w:val="20"/>
                <w:szCs w:val="20"/>
                <w:color w:val="auto"/>
              </w:rPr>
            </w:pPr>
            <w:r>
              <w:rPr>
                <w:rFonts w:ascii="Arial" w:cs="Arial" w:eastAsia="Arial" w:hAnsi="Arial"/>
                <w:sz w:val="18"/>
                <w:szCs w:val="18"/>
                <w:color w:val="auto"/>
              </w:rPr>
              <w:t>The</w:t>
            </w:r>
          </w:p>
        </w:tc>
        <w:tc>
          <w:tcPr>
            <w:tcW w:w="1100" w:type="dxa"/>
            <w:vAlign w:val="bottom"/>
          </w:tcPr>
          <w:p>
            <w:pPr>
              <w:ind w:left="200"/>
              <w:spacing w:after="0"/>
              <w:rPr>
                <w:sz w:val="20"/>
                <w:szCs w:val="20"/>
                <w:color w:val="auto"/>
              </w:rPr>
            </w:pPr>
            <w:r>
              <w:rPr>
                <w:rFonts w:ascii="Arial" w:cs="Arial" w:eastAsia="Arial" w:hAnsi="Arial"/>
                <w:sz w:val="18"/>
                <w:szCs w:val="18"/>
                <w:color w:val="auto"/>
              </w:rPr>
              <w:t>unaudited</w:t>
            </w:r>
          </w:p>
        </w:tc>
        <w:tc>
          <w:tcPr>
            <w:tcW w:w="640" w:type="dxa"/>
            <w:vAlign w:val="bottom"/>
          </w:tcPr>
          <w:p>
            <w:pPr>
              <w:ind w:left="200"/>
              <w:spacing w:after="0"/>
              <w:rPr>
                <w:sz w:val="20"/>
                <w:szCs w:val="20"/>
                <w:color w:val="auto"/>
              </w:rPr>
            </w:pPr>
            <w:r>
              <w:rPr>
                <w:rFonts w:ascii="Arial" w:cs="Arial" w:eastAsia="Arial" w:hAnsi="Arial"/>
                <w:sz w:val="18"/>
                <w:szCs w:val="18"/>
                <w:color w:val="auto"/>
              </w:rPr>
              <w:t>pro</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forma</w:t>
            </w:r>
          </w:p>
        </w:tc>
        <w:tc>
          <w:tcPr>
            <w:tcW w:w="88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1380" w:type="dxa"/>
            <w:vAlign w:val="bottom"/>
            <w:gridSpan w:val="3"/>
          </w:tcPr>
          <w:p>
            <w:pPr>
              <w:jc w:val="right"/>
              <w:ind w:right="110"/>
              <w:spacing w:after="0"/>
              <w:rPr>
                <w:sz w:val="20"/>
                <w:szCs w:val="20"/>
                <w:color w:val="auto"/>
              </w:rPr>
            </w:pPr>
            <w:r>
              <w:rPr>
                <w:rFonts w:ascii="Arial" w:cs="Arial" w:eastAsia="Arial" w:hAnsi="Arial"/>
                <w:sz w:val="18"/>
                <w:szCs w:val="18"/>
                <w:color w:val="auto"/>
              </w:rPr>
              <w:t>information</w:t>
            </w:r>
          </w:p>
        </w:tc>
        <w:tc>
          <w:tcPr>
            <w:tcW w:w="520" w:type="dxa"/>
            <w:vAlign w:val="bottom"/>
          </w:tcPr>
          <w:p>
            <w:pPr>
              <w:ind w:left="180"/>
              <w:spacing w:after="0"/>
              <w:rPr>
                <w:sz w:val="20"/>
                <w:szCs w:val="20"/>
                <w:color w:val="auto"/>
              </w:rPr>
            </w:pPr>
            <w:r>
              <w:rPr>
                <w:rFonts w:ascii="Arial" w:cs="Arial" w:eastAsia="Arial" w:hAnsi="Arial"/>
                <w:sz w:val="18"/>
                <w:szCs w:val="18"/>
                <w:color w:val="auto"/>
              </w:rPr>
              <w:t>is</w:t>
            </w:r>
          </w:p>
        </w:tc>
        <w:tc>
          <w:tcPr>
            <w:tcW w:w="620" w:type="dxa"/>
            <w:vAlign w:val="bottom"/>
          </w:tcPr>
          <w:p>
            <w:pPr>
              <w:ind w:left="180"/>
              <w:spacing w:after="0"/>
              <w:rPr>
                <w:sz w:val="20"/>
                <w:szCs w:val="20"/>
                <w:color w:val="auto"/>
              </w:rPr>
            </w:pPr>
            <w:r>
              <w:rPr>
                <w:rFonts w:ascii="Arial" w:cs="Arial" w:eastAsia="Arial" w:hAnsi="Arial"/>
                <w:sz w:val="18"/>
                <w:szCs w:val="18"/>
                <w:color w:val="auto"/>
              </w:rPr>
              <w:t>as</w:t>
            </w:r>
          </w:p>
        </w:tc>
        <w:tc>
          <w:tcPr>
            <w:tcW w:w="680" w:type="dxa"/>
            <w:vAlign w:val="bottom"/>
          </w:tcPr>
          <w:p>
            <w:pPr>
              <w:ind w:left="100"/>
              <w:spacing w:after="0"/>
              <w:rPr>
                <w:sz w:val="20"/>
                <w:szCs w:val="20"/>
                <w:color w:val="auto"/>
              </w:rPr>
            </w:pPr>
            <w:r>
              <w:rPr>
                <w:rFonts w:ascii="Arial" w:cs="Arial" w:eastAsia="Arial" w:hAnsi="Arial"/>
                <w:sz w:val="18"/>
                <w:szCs w:val="18"/>
                <w:color w:val="auto"/>
                <w:w w:val="93"/>
              </w:rPr>
              <w:t>follows:</w:t>
            </w:r>
          </w:p>
        </w:tc>
      </w:tr>
      <w:tr>
        <w:trPr>
          <w:trHeight w:val="195"/>
        </w:trPr>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4"/>
              </w:rPr>
              <w:t>Three Months Ended March 31,</w:t>
            </w:r>
          </w:p>
        </w:tc>
        <w:tc>
          <w:tcPr>
            <w:tcW w:w="6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8"/>
        </w:trPr>
        <w:tc>
          <w:tcPr>
            <w:tcW w:w="1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2020</w:t>
            </w:r>
          </w:p>
        </w:tc>
        <w:tc>
          <w:tcPr>
            <w:tcW w:w="680" w:type="dxa"/>
            <w:vAlign w:val="bottom"/>
            <w:tcBorders>
              <w:bottom w:val="single" w:sz="8" w:color="auto"/>
            </w:tcBorders>
          </w:tcPr>
          <w:p>
            <w:pPr>
              <w:spacing w:after="0"/>
              <w:rPr>
                <w:sz w:val="16"/>
                <w:szCs w:val="16"/>
                <w:color w:val="auto"/>
              </w:rPr>
            </w:pPr>
          </w:p>
        </w:tc>
      </w:tr>
      <w:tr>
        <w:trPr>
          <w:trHeight w:val="224"/>
        </w:trPr>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(unaudited)</w:t>
            </w:r>
          </w:p>
        </w:tc>
        <w:tc>
          <w:tcPr>
            <w:tcW w:w="680" w:type="dxa"/>
            <w:vAlign w:val="bottom"/>
            <w:shd w:val="clear" w:color="auto" w:fill="CCEEFF"/>
          </w:tcPr>
          <w:p>
            <w:pPr>
              <w:spacing w:after="0"/>
              <w:rPr>
                <w:sz w:val="19"/>
                <w:szCs w:val="19"/>
                <w:color w:val="auto"/>
              </w:rPr>
            </w:pPr>
          </w:p>
        </w:tc>
      </w:tr>
      <w:tr>
        <w:trPr>
          <w:trHeight w:val="230"/>
        </w:trPr>
        <w:tc>
          <w:tcPr>
            <w:tcW w:w="1840" w:type="dxa"/>
            <w:vAlign w:val="bottom"/>
            <w:gridSpan w:val="3"/>
          </w:tcPr>
          <w:p>
            <w:pPr>
              <w:ind w:left="20"/>
              <w:spacing w:after="0"/>
              <w:rPr>
                <w:sz w:val="20"/>
                <w:szCs w:val="20"/>
                <w:color w:val="auto"/>
              </w:rPr>
            </w:pPr>
            <w:r>
              <w:rPr>
                <w:rFonts w:ascii="Arial" w:cs="Arial" w:eastAsia="Arial" w:hAnsi="Arial"/>
                <w:sz w:val="18"/>
                <w:szCs w:val="18"/>
                <w:color w:val="auto"/>
                <w:w w:val="88"/>
              </w:rPr>
              <w:t>Pro Forma total revenues</w:t>
            </w: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1,231,386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w w:val="98"/>
              </w:rPr>
              <w:t>986,747</w:t>
            </w:r>
          </w:p>
        </w:tc>
      </w:tr>
      <w:tr>
        <w:trPr>
          <w:trHeight w:val="229"/>
        </w:trPr>
        <w:tc>
          <w:tcPr>
            <w:tcW w:w="260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w w:val="99"/>
              </w:rPr>
              <w:t>Pro Forma net earnings (loss)</w:t>
            </w:r>
            <w:r>
              <w:rPr>
                <w:rFonts w:ascii="Arial" w:cs="Arial" w:eastAsia="Arial" w:hAnsi="Arial"/>
                <w:sz w:val="23"/>
                <w:szCs w:val="23"/>
                <w:color w:val="auto"/>
                <w:w w:val="99"/>
                <w:vertAlign w:val="superscript"/>
              </w:rPr>
              <w:t>(1)</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(12,687)</w:t>
            </w:r>
          </w:p>
        </w:tc>
      </w:tr>
    </w:tbl>
    <w:p>
      <w:pPr>
        <w:spacing w:after="0" w:line="5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vertAlign w:val="superscript"/>
        </w:rPr>
        <w:t>(1)</w:t>
      </w:r>
      <w:r>
        <w:rPr>
          <w:rFonts w:ascii="Arial" w:cs="Arial" w:eastAsia="Arial" w:hAnsi="Arial"/>
          <w:sz w:val="12"/>
          <w:szCs w:val="12"/>
          <w:color w:val="auto"/>
        </w:rPr>
        <w:t>Total pro forma adjustments to net earnings (loss) represented decreases of $13.2 million and $101.9 million for the three months ended March 31, 2021 and 2020, respectively. Pro forma adjustments to net loss in 2020 include retro-active impacts related to purchase price allocation adjustments recorded, subsequent to the date of acquisition, within the measurement period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amounts of revenue and earnings of Acima Holdings included in our Condensed Consolidated Statements of Operations from the acquisition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94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February 17, 2021 -</w:t>
            </w:r>
          </w:p>
        </w:tc>
        <w:tc>
          <w:tcPr>
            <w:tcW w:w="340" w:type="dxa"/>
            <w:vAlign w:val="bottom"/>
          </w:tcPr>
          <w:p>
            <w:pPr>
              <w:spacing w:after="0"/>
              <w:rPr>
                <w:sz w:val="14"/>
                <w:szCs w:val="14"/>
                <w:color w:val="auto"/>
              </w:rPr>
            </w:pPr>
          </w:p>
        </w:tc>
        <w:tc>
          <w:tcPr>
            <w:tcW w:w="196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February 17, 2020 -</w:t>
            </w:r>
          </w:p>
        </w:tc>
        <w:tc>
          <w:tcPr>
            <w:tcW w:w="0" w:type="dxa"/>
            <w:vAlign w:val="bottom"/>
          </w:tcPr>
          <w:p>
            <w:pPr>
              <w:spacing w:after="0"/>
              <w:rPr>
                <w:sz w:val="1"/>
                <w:szCs w:val="1"/>
                <w:color w:val="auto"/>
              </w:rPr>
            </w:pPr>
          </w:p>
        </w:tc>
      </w:tr>
      <w:tr>
        <w:trPr>
          <w:trHeight w:val="188"/>
        </w:trPr>
        <w:tc>
          <w:tcPr>
            <w:tcW w:w="66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6"/>
              </w:rPr>
              <w:t>March 31, 2021</w:t>
            </w: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224"/>
        </w:trPr>
        <w:tc>
          <w:tcPr>
            <w:tcW w:w="6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ind w:right="217"/>
              <w:spacing w:after="0"/>
              <w:rPr>
                <w:sz w:val="20"/>
                <w:szCs w:val="20"/>
                <w:color w:val="auto"/>
              </w:rPr>
            </w:pPr>
            <w:r>
              <w:rPr>
                <w:rFonts w:ascii="Arial" w:cs="Arial" w:eastAsia="Arial" w:hAnsi="Arial"/>
                <w:sz w:val="18"/>
                <w:szCs w:val="18"/>
                <w:color w:val="auto"/>
                <w:w w:val="92"/>
              </w:rPr>
              <w:t>(unaudited)</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right="237"/>
              <w:spacing w:after="0"/>
              <w:rPr>
                <w:sz w:val="20"/>
                <w:szCs w:val="20"/>
                <w:color w:val="auto"/>
              </w:rPr>
            </w:pPr>
            <w:r>
              <w:rPr>
                <w:rFonts w:ascii="Arial" w:cs="Arial" w:eastAsia="Arial" w:hAnsi="Arial"/>
                <w:sz w:val="18"/>
                <w:szCs w:val="18"/>
                <w:color w:val="auto"/>
                <w:w w:val="92"/>
              </w:rPr>
              <w:t>(unaudited)</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210,569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143,439</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earnings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19,006</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21,025</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Net earnings for the period February 17, 2021 - March 31, 2021 and 2020 includes amortization of intangible assets acquired upon closing of the Acima Holdings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our revenue for the periods ended March 31, 2022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5"/>
              </w:rPr>
              <w:t>Three Months Ended March 31, 2022</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Rent-A-Center</w:t>
            </w:r>
          </w:p>
        </w:tc>
        <w:tc>
          <w:tcPr>
            <w:tcW w:w="30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442,695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425,471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883,047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232,881</w:t>
            </w: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518,505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599,377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1,134,307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18,521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518,505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599,377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1,159,722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4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5"/>
              </w:rPr>
              <w:t>Three Months Ended March 31, 2021</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Rent-A-Center</w:t>
            </w:r>
          </w:p>
        </w:tc>
        <w:tc>
          <w:tcPr>
            <w:tcW w:w="30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1"/>
                <w:szCs w:val="2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429,301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302,526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13,707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745,534</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232,793</w:t>
            </w:r>
          </w:p>
        </w:tc>
        <w:tc>
          <w:tcPr>
            <w:tcW w:w="0" w:type="dxa"/>
            <w:vAlign w:val="bottom"/>
          </w:tcPr>
          <w:p>
            <w:pPr>
              <w:spacing w:after="0"/>
              <w:rPr>
                <w:sz w:val="1"/>
                <w:szCs w:val="1"/>
                <w:color w:val="auto"/>
              </w:rPr>
            </w:pP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17,773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997,018</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33,055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23"/>
        </w:trPr>
        <w:tc>
          <w:tcPr>
            <w:tcW w:w="404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524,866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39,969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1,036,782</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Purchase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Acima, and Mexico</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Rentals and Fees. </w:t>
      </w:r>
      <w:r>
        <w:rPr>
          <w:rFonts w:ascii="Arial" w:cs="Arial" w:eastAsia="Arial" w:hAnsi="Arial"/>
          <w:sz w:val="18"/>
          <w:szCs w:val="18"/>
          <w:color w:val="auto"/>
        </w:rPr>
        <w:t>Rental merchandise is leased to customers pursuant to rental purchase agreements, which provide for weekly, semi-monthly or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rental terms with non-refundable rental payments. At the expiration of each rental term, customers may renew the rental agreement for the next rental term. Generally, the customer has the right to acquire title of the merchandise either through a purchase option or through payment of all required rental terms. Customers can terminate the rental agreement at the end of any rental term without penalty. Therefore, rental transactions are accounted for as operating leases.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Rental payments received at our Rent-A-Center Business lease-to-own stores, certain Acima staffed locations formerly operating under the Preferred Lease brand, and Mexico stores must be prepaid in advance of the next rental term. Under the Acima Holdings business model, revenues may be earned prior to the rental payment due date, in which case revenue is accrued prior to receipt of the rental payment, net of estimated returns and uncollectible renewal payments. Under both models, rental revenue is recognized over the rental term. See Note 4 for additional information regarding accrued rental revenue.</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received for rental payments, including fees, prior to the period in which it should be recognized, is deferred and recognized according to the rental term. At March 31, 2022 and December 31, 2021, we had $36.3 million and $51.7 million, respectively, in deferred revenue included in accrued liabilities related to our rental purchase agreements. Revenue related to various payment, reinstatement or late fees is recognized when paid by the customer at the point service is provided. Rental merchandise in our Rent-A-Center Business, former Preferred Lease locations, and Mexico stores is depreciated using the income forecasting method and recognized in cost of sales over the rental term. Rental merchandise in Acima Holdings is depreciated over the rental term using a straight-line depreciation method.</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offer additional product plans along with our rental agreements which provide customers with liability protection against significant damage or loss of a product, and club membership benefits, including various discount programs and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Acima, and Mexico</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Merchandise Sales. </w:t>
      </w:r>
      <w:r>
        <w:rPr>
          <w:rFonts w:ascii="Arial" w:cs="Arial" w:eastAsia="Arial" w:hAnsi="Arial"/>
          <w:sz w:val="16"/>
          <w:szCs w:val="16"/>
          <w:color w:val="auto"/>
        </w:rPr>
        <w:t>Merchandise sales include payments received for the exercise of the early purchase option offered through our rental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merchandise sold through point of sale transactions. Revenue for merchandise sales is recognized when payment is received and ownership of the merchandise passes to the customer. The remaining net value of merchandise sold is recorded to cost of sales at the time of the transaction.</w:t>
      </w:r>
    </w:p>
    <w:p>
      <w:pPr>
        <w:spacing w:after="0" w:line="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Installment Sales. </w:t>
      </w:r>
      <w:r>
        <w:rPr>
          <w:rFonts w:ascii="Arial" w:cs="Arial" w:eastAsia="Arial" w:hAnsi="Arial"/>
          <w:sz w:val="16"/>
          <w:szCs w:val="16"/>
          <w:color w:val="auto"/>
        </w:rPr>
        <w:t>Revenue from the sale of merchandise in our retail installment stores is recognized when the installment note is signed and control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has passed to the customer. The cost of merchandise sold through installment agreements is recognized in cost of sales at the time of the transaction. We offer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March 31, 2022 and December 31, 2021, we had $2.4 million and $2.6 million in deferred revenue included in accrued liabilities related to extended service plans.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consists of revenue generated by other miscellaneous product plans offered to our rental and installment customers. Revenue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plans is recognized in accordance with the terms of the applicable plan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Merchandise Sales. </w:t>
      </w:r>
      <w:r>
        <w:rPr>
          <w:rFonts w:ascii="Arial" w:cs="Arial" w:eastAsia="Arial" w:hAnsi="Arial"/>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Royalty Income and Fees. </w:t>
      </w:r>
      <w:r>
        <w:rPr>
          <w:rFonts w:ascii="Arial" w:cs="Arial" w:eastAsia="Arial" w:hAnsi="Arial"/>
          <w:sz w:val="18"/>
          <w:szCs w:val="18"/>
          <w:color w:val="auto"/>
        </w:rPr>
        <w:t>Franchise royalties, including franchisee contributions to corporate advertising funds, represent sales-based royalties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both March 31, 2022 and December 31, 2021, we had $3.9 million and $4.1 million, respectively, in deferred revenue included in accrued liabilities related to franchise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and Allowance for Doubtful Accounts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Installment sales receivables consist primarily of receivables due from customers for the sale of merchandise in our retail installment stores. Installment sales receivable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makes a payment, generally on a monthly basis. Interest paid on installment agreements for each of the three months ended March 31, 2022 and 2021 was $3.1 million.</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Trade and notes receivables consist of amounts due from our rental customers for renewal and uncollected rental payments;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500" w:type="dxa"/>
            <w:vAlign w:val="bottom"/>
          </w:tcPr>
          <w:p>
            <w:pPr>
              <w:jc w:val="right"/>
              <w:ind w:right="181"/>
              <w:spacing w:after="0"/>
              <w:rPr>
                <w:sz w:val="20"/>
                <w:szCs w:val="20"/>
                <w:color w:val="auto"/>
              </w:rPr>
            </w:pPr>
            <w:r>
              <w:rPr>
                <w:rFonts w:ascii="Arial" w:cs="Arial" w:eastAsia="Arial" w:hAnsi="Arial"/>
                <w:sz w:val="14"/>
                <w:szCs w:val="14"/>
                <w:b w:val="1"/>
                <w:bCs w:val="1"/>
                <w:color w:val="auto"/>
                <w:w w:val="96"/>
              </w:rPr>
              <w:t>December 31, 2021</w:t>
            </w:r>
          </w:p>
        </w:tc>
      </w:tr>
      <w:tr>
        <w:trPr>
          <w:trHeight w:val="215"/>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Installment sales receivables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66,276</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and notes receivables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64,768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68,581</w:t>
            </w:r>
          </w:p>
        </w:tc>
      </w:tr>
      <w:tr>
        <w:trPr>
          <w:trHeight w:val="212"/>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receivables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134,857</w:t>
            </w:r>
          </w:p>
        </w:tc>
      </w:tr>
      <w:tr>
        <w:trPr>
          <w:trHeight w:val="21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allowance for doubtful accounts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(8,479)</w:t>
            </w:r>
          </w:p>
        </w:tc>
      </w:tr>
      <w:tr>
        <w:trPr>
          <w:trHeight w:val="238"/>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receivables, net of allowance for doubtful accounts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126,378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doubtful accounts related to trade and notes receivable was $0.8 million and $0.9 million, and the allowance for doubtful accounts related to installment sales receivable was $8.0 million and $7.6 million at March 31, 2022 and December 31, 2021,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allowance for doubtful accounts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March 31, 2022</w:t>
            </w:r>
          </w:p>
        </w:tc>
      </w:tr>
      <w:tr>
        <w:trPr>
          <w:trHeight w:val="215"/>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allowance for doubtful accounts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center"/>
              <w:ind w:left="861"/>
              <w:spacing w:after="0"/>
              <w:rPr>
                <w:sz w:val="20"/>
                <w:szCs w:val="20"/>
                <w:color w:val="auto"/>
              </w:rPr>
            </w:pPr>
            <w:r>
              <w:rPr>
                <w:rFonts w:ascii="Arial" w:cs="Arial" w:eastAsia="Arial" w:hAnsi="Arial"/>
                <w:sz w:val="16"/>
                <w:szCs w:val="16"/>
                <w:color w:val="auto"/>
                <w:w w:val="94"/>
              </w:rPr>
              <w:t>8,479</w:t>
            </w:r>
          </w:p>
        </w:tc>
      </w:tr>
      <w:tr>
        <w:trPr>
          <w:trHeight w:val="216"/>
        </w:trPr>
        <w:tc>
          <w:tcPr>
            <w:tcW w:w="9580" w:type="dxa"/>
            <w:vAlign w:val="bottom"/>
          </w:tcPr>
          <w:p>
            <w:pPr>
              <w:ind w:left="140"/>
              <w:spacing w:after="0" w:line="216" w:lineRule="exact"/>
              <w:rPr>
                <w:sz w:val="20"/>
                <w:szCs w:val="20"/>
                <w:color w:val="auto"/>
              </w:rPr>
            </w:pPr>
            <w:r>
              <w:rPr>
                <w:rFonts w:ascii="Arial" w:cs="Arial" w:eastAsia="Arial" w:hAnsi="Arial"/>
                <w:sz w:val="16"/>
                <w:szCs w:val="16"/>
                <w:color w:val="auto"/>
              </w:rPr>
              <w:t>Bad debt expense</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440" w:type="dxa"/>
            <w:vAlign w:val="bottom"/>
          </w:tcPr>
          <w:p>
            <w:pPr>
              <w:jc w:val="center"/>
              <w:ind w:left="861"/>
              <w:spacing w:after="0"/>
              <w:rPr>
                <w:sz w:val="20"/>
                <w:szCs w:val="20"/>
                <w:color w:val="auto"/>
              </w:rPr>
            </w:pPr>
            <w:r>
              <w:rPr>
                <w:rFonts w:ascii="Arial" w:cs="Arial" w:eastAsia="Arial" w:hAnsi="Arial"/>
                <w:sz w:val="16"/>
                <w:szCs w:val="16"/>
                <w:color w:val="auto"/>
                <w:w w:val="94"/>
              </w:rPr>
              <w:t>4,973</w:t>
            </w:r>
          </w:p>
        </w:tc>
      </w:tr>
      <w:tr>
        <w:trPr>
          <w:trHeight w:val="213"/>
        </w:trPr>
        <w:tc>
          <w:tcPr>
            <w:tcW w:w="9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written off, net of recoveries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left="841"/>
              <w:spacing w:after="0"/>
              <w:rPr>
                <w:sz w:val="20"/>
                <w:szCs w:val="20"/>
                <w:color w:val="auto"/>
              </w:rPr>
            </w:pPr>
            <w:r>
              <w:rPr>
                <w:rFonts w:ascii="Arial" w:cs="Arial" w:eastAsia="Arial" w:hAnsi="Arial"/>
                <w:sz w:val="16"/>
                <w:szCs w:val="16"/>
                <w:color w:val="auto"/>
                <w:w w:val="94"/>
              </w:rPr>
              <w:t>(4,626)</w:t>
            </w:r>
          </w:p>
        </w:tc>
      </w:tr>
      <w:tr>
        <w:trPr>
          <w:trHeight w:val="213"/>
        </w:trPr>
        <w:tc>
          <w:tcPr>
            <w:tcW w:w="9580" w:type="dxa"/>
            <w:vAlign w:val="bottom"/>
          </w:tcPr>
          <w:p>
            <w:pPr>
              <w:ind w:left="60"/>
              <w:spacing w:after="0"/>
              <w:rPr>
                <w:sz w:val="20"/>
                <w:szCs w:val="20"/>
                <w:color w:val="auto"/>
              </w:rPr>
            </w:pPr>
            <w:r>
              <w:rPr>
                <w:rFonts w:ascii="Arial" w:cs="Arial" w:eastAsia="Arial" w:hAnsi="Arial"/>
                <w:sz w:val="16"/>
                <w:szCs w:val="16"/>
                <w:color w:val="auto"/>
              </w:rPr>
              <w:t>Ending allowance for doubtful accounts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center"/>
              <w:ind w:left="861"/>
              <w:spacing w:after="0"/>
              <w:rPr>
                <w:sz w:val="20"/>
                <w:szCs w:val="20"/>
                <w:color w:val="auto"/>
              </w:rPr>
            </w:pPr>
            <w:r>
              <w:rPr>
                <w:rFonts w:ascii="Arial" w:cs="Arial" w:eastAsia="Arial" w:hAnsi="Arial"/>
                <w:sz w:val="16"/>
                <w:szCs w:val="16"/>
                <w:color w:val="auto"/>
                <w:w w:val="94"/>
              </w:rPr>
              <w:t>8,826</w:t>
            </w:r>
          </w:p>
        </w:tc>
      </w:tr>
      <w:tr>
        <w:trPr>
          <w:trHeight w:val="20"/>
        </w:trPr>
        <w:tc>
          <w:tcPr>
            <w:tcW w:w="9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5"/>
          <w:szCs w:val="15"/>
          <w:color w:val="auto"/>
          <w:vertAlign w:val="superscript"/>
        </w:rPr>
      </w:pPr>
      <w:r>
        <w:rPr>
          <w:rFonts w:ascii="Arial" w:cs="Arial" w:eastAsia="Arial" w:hAnsi="Arial"/>
          <w:sz w:val="12"/>
          <w:szCs w:val="12"/>
          <w:color w:val="auto"/>
        </w:rPr>
        <w:t>Uncollectible installment payments, franchisee obligations, and other corporate receivables are recognized in other store operating expenses in our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space for all of our Rent-A-Center Business and Mexico stores under operating leases expiring at various times through 2030. 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 upon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certain situations involving the sale of a Rent-A-Center Business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We also lease vehicles for all of our Mexico stores which have terms expiring at various times through 2026 with rental rates adjusted periodically for inflation. Finally, we have a minimal number of equipment leases, primarily related to temporary storage containers and certain back-office technology hardware assets.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calculation of operating lease right-of-use assets and operating lease liabilities we have elected not to separate the lease and non-lease components. Furthermore, operating lease right-of-use assets and operating lease liabilities are discounted using our incremental borrowing rate, since the implicit rate is not readily determinable. We do not currently have any financing leases.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are recorded on a straight-line basis within other store expenses in our Condensed Consolidated Statements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costs by expense type: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Pr>
          <w:p>
            <w:pPr>
              <w:spacing w:after="0"/>
              <w:rPr>
                <w:sz w:val="16"/>
                <w:szCs w:val="16"/>
                <w:color w:val="auto"/>
              </w:rPr>
            </w:pPr>
          </w:p>
        </w:tc>
        <w:tc>
          <w:tcPr>
            <w:tcW w:w="15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 2021</w:t>
            </w:r>
          </w:p>
        </w:tc>
      </w:tr>
      <w:tr>
        <w:trPr>
          <w:trHeight w:val="224"/>
        </w:trPr>
        <w:tc>
          <w:tcPr>
            <w:tcW w:w="76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Operating lease cost included in Other store expenses</w:t>
            </w:r>
            <w:r>
              <w:rPr>
                <w:rFonts w:ascii="Arial" w:cs="Arial" w:eastAsia="Arial" w:hAnsi="Arial"/>
                <w:sz w:val="23"/>
                <w:szCs w:val="23"/>
                <w:color w:val="auto"/>
                <w:vertAlign w:val="superscript"/>
              </w:rPr>
              <w:t>(1)(2)</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34,136</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Operating lease cost included in Other charges</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receipts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Total operating lease charges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30,953</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Includes short-term lease costs, which are not significant.</w:t>
      </w:r>
    </w:p>
    <w:p>
      <w:pPr>
        <w:spacing w:after="0" w:line="9" w:lineRule="exact"/>
        <w:rPr>
          <w:rFonts w:ascii="Arial" w:cs="Arial" w:eastAsia="Arial" w:hAnsi="Arial"/>
          <w:sz w:val="13"/>
          <w:szCs w:val="13"/>
          <w:color w:val="auto"/>
          <w:vertAlign w:val="superscript"/>
        </w:rPr>
      </w:pPr>
    </w:p>
    <w:p>
      <w:pPr>
        <w:ind w:left="140" w:hanging="132"/>
        <w:spacing w:after="0" w:line="195"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Excludes variable lease costs of $8.7 million and $8.5 million for the three months ended March 31, 2022 and 2021,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64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75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20" w:type="dxa"/>
            <w:vAlign w:val="bottom"/>
          </w:tcPr>
          <w:p>
            <w:pPr>
              <w:ind w:left="420"/>
              <w:spacing w:after="0"/>
              <w:rPr>
                <w:sz w:val="20"/>
                <w:szCs w:val="20"/>
                <w:color w:val="auto"/>
              </w:rPr>
            </w:pPr>
            <w:r>
              <w:rPr>
                <w:rFonts w:ascii="Arial" w:cs="Arial" w:eastAsia="Arial" w:hAnsi="Arial"/>
                <w:sz w:val="14"/>
                <w:szCs w:val="14"/>
                <w:b w:val="1"/>
                <w:bCs w:val="1"/>
                <w:color w:val="auto"/>
              </w:rPr>
              <w:t>March 31, 2022</w:t>
            </w:r>
          </w:p>
        </w:tc>
        <w:tc>
          <w:tcPr>
            <w:tcW w:w="1820" w:type="dxa"/>
            <w:vAlign w:val="bottom"/>
          </w:tcPr>
          <w:p>
            <w:pPr>
              <w:ind w:left="460"/>
              <w:spacing w:after="0"/>
              <w:rPr>
                <w:sz w:val="20"/>
                <w:szCs w:val="20"/>
                <w:color w:val="auto"/>
              </w:rPr>
            </w:pPr>
            <w:r>
              <w:rPr>
                <w:rFonts w:ascii="Arial" w:cs="Arial" w:eastAsia="Arial" w:hAnsi="Arial"/>
                <w:sz w:val="14"/>
                <w:szCs w:val="14"/>
                <w:b w:val="1"/>
                <w:bCs w:val="1"/>
                <w:color w:val="auto"/>
              </w:rPr>
              <w:t>March 31, 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operating lease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26,090</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26,572</w:t>
            </w:r>
          </w:p>
        </w:tc>
      </w:tr>
      <w:tr>
        <w:trPr>
          <w:trHeight w:val="22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Cash paid for short-term operating leases not included in operating lease liabilities</w:t>
            </w:r>
          </w:p>
        </w:tc>
        <w:tc>
          <w:tcPr>
            <w:tcW w:w="18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4,861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4,580</w:t>
            </w:r>
          </w:p>
        </w:tc>
      </w:tr>
      <w:tr>
        <w:trPr>
          <w:trHeight w:val="23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28,638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37,923</w:t>
            </w:r>
          </w:p>
        </w:tc>
      </w:tr>
      <w:tr>
        <w:trPr>
          <w:trHeight w:val="405"/>
        </w:trPr>
        <w:tc>
          <w:tcPr>
            <w:tcW w:w="7600" w:type="dxa"/>
            <w:vAlign w:val="bottom"/>
            <w:gridSpan w:val="2"/>
          </w:tcPr>
          <w:p>
            <w:pPr>
              <w:spacing w:after="0"/>
              <w:rPr>
                <w:sz w:val="20"/>
                <w:szCs w:val="20"/>
                <w:color w:val="auto"/>
              </w:rPr>
            </w:pPr>
            <w:r>
              <w:rPr>
                <w:rFonts w:ascii="Arial" w:cs="Arial" w:eastAsia="Arial" w:hAnsi="Arial"/>
                <w:sz w:val="18"/>
                <w:szCs w:val="18"/>
                <w:color w:val="auto"/>
              </w:rPr>
              <w:t>Weighted-average discount rate and weighted-average remaining lease term:</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0"/>
        </w:trPr>
        <w:tc>
          <w:tcPr>
            <w:tcW w:w="76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8"/>
                <w:szCs w:val="18"/>
                <w:color w:val="auto"/>
              </w:rPr>
            </w:pPr>
          </w:p>
        </w:tc>
        <w:tc>
          <w:tcPr>
            <w:tcW w:w="170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8"/>
                <w:szCs w:val="18"/>
                <w:color w:val="auto"/>
              </w:rPr>
            </w:pPr>
          </w:p>
        </w:tc>
        <w:tc>
          <w:tcPr>
            <w:tcW w:w="1600" w:type="dxa"/>
            <w:vAlign w:val="bottom"/>
          </w:tcPr>
          <w:p>
            <w:pPr>
              <w:jc w:val="right"/>
              <w:ind w:right="273"/>
              <w:spacing w:after="0"/>
              <w:rPr>
                <w:sz w:val="20"/>
                <w:szCs w:val="20"/>
                <w:color w:val="auto"/>
              </w:rPr>
            </w:pPr>
            <w:r>
              <w:rPr>
                <w:rFonts w:ascii="Arial" w:cs="Arial" w:eastAsia="Arial" w:hAnsi="Arial"/>
                <w:sz w:val="14"/>
                <w:szCs w:val="14"/>
                <w:b w:val="1"/>
                <w:bCs w:val="1"/>
                <w:color w:val="auto"/>
                <w:w w:val="96"/>
              </w:rPr>
              <w:t>December 31, 2021</w:t>
            </w:r>
          </w:p>
        </w:tc>
      </w:tr>
      <w:tr>
        <w:trPr>
          <w:trHeight w:val="229"/>
        </w:trPr>
        <w:tc>
          <w:tcPr>
            <w:tcW w:w="736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Weighted-average discount rate</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79"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The January 1, 2019 incremental borrowing rate was used for leases in existence at the time of adoption of ASU 2016-02.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undiscounted operating lease liabilities to the present value operating lease liabilities at March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b w:val="1"/>
                <w:bCs w:val="1"/>
                <w:color w:val="auto"/>
              </w:rPr>
              <w:t>Operating Leases</w:t>
            </w:r>
          </w:p>
        </w:tc>
      </w:tr>
      <w:tr>
        <w:trPr>
          <w:trHeight w:val="215"/>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80,947</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2023</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87,761</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69,225</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2025</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51,644</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27,356</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19,979</w:t>
            </w:r>
          </w:p>
        </w:tc>
      </w:tr>
      <w:tr>
        <w:trPr>
          <w:trHeight w:val="213"/>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undiscounted operating lease liabilities</w:t>
            </w:r>
          </w:p>
        </w:tc>
        <w:tc>
          <w:tcPr>
            <w:tcW w:w="5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336,912</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(35,865)</w:t>
            </w:r>
          </w:p>
        </w:tc>
      </w:tr>
      <w:tr>
        <w:trPr>
          <w:trHeight w:val="23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present value of operating lease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301,047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 tax rate was 46.2% for the three months ended March 31, 2022, compared to 13.8% for the corresponding period in 2021. The effective tax rate for the three months ended March 31, 2022 was impacted by the difference between recorded goodwill and goodwill recognized for tax purposes, primarily as a result of the Aggregate Stock Consideration from the Acima Holdings transaction subject to restricted stock agreements. The effective tax rate for the three months ended March 31, 2021 was impacted by the difference between recorded goodwill and goodwill recognized for tax purposes, primarily as a result of the Aggregate Stock Consideration subject to restricted stock agreement, partially offset by discrete income tax items related to excess tax benefits from the vesting of our annual restricted stock award grants and stock option exercises, and the release of domestic and foreign tax valuation allowances.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Debt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17, 2021, we entered into a credit agreement with JPMorgan Chase Bank, N.A., as administrative agent, and lenders party thereto, providing for a seven-year $875 million senior secured term loan facility (the “Term Loan Facility”) and an Asset Based Loan Credit Facility (the “ABL Credit Facility”)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bank financing fees and third party legal and other professional fees, of which $25.3 million was capitalized in accordance with ASC Topic 470, “Debt” and recorded as a reduction of our outstanding senior debt, net in our Condensed Consolidated Balance Sheets. Remaining debt issuance costs incurred of $4.9 million were expensed and recorded to Other charges in our Condensed Consolidated Statement of Operations.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21, 2021 we entered into a First Amendment (the “First Amendment”) to the Term Loan Facility, effective as of September 21, 2021. The amendment effected a repricing of the applicable margin under the Term Loan Facility by reducing the LIBOR floor by 25 basis points from 0.75% to 0.50%, and the applicable margin, with respect to any initial term loans, by 75 basis points from 4.00% to 3.25%.</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execution of the First Amendment, we incurred approximately $1.5 million in debt issuance costs, including third party arrangement and other professional fees, of which approximately $1.4 million were expensed as debt refinance charges in our Condensed Consolidated Statement of Operations, and approximately $0.1 million were capitalized and recorded as a reduction to our outstanding senior debt in our Condensed Consolidated Balance Sheets. In addition, in accordance with ASC Topic 470, “Debt”, we recorded approximately $5.4 million in write-offs of unamortized debt issuance costs and original issue discount previously capitalized upon the issuance of the Term Loan Facility on February 17, 2021. The write-offs were recorded as debt refinance charges in our Condensed Consolidated Statement of Operations.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2022, the total remaining balance of unamortized debt issuance costs and original issue discount related to our senior debt reported in the Condensed Consolidated Balance Sheets were approximately $19.3 million and $2.8 million, respectively. Remaining unamortized debt issuance costs and original issue discount will be amortized to interest expense over the remaining term of the Term Loan Facility.</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outstanding under the Term Loan Facility was $866.2 million at March 31, 2022. We had $120.0 million outstanding borrowings under our ABL Credit Facility at March 31, 2022 and borrowing capacity of $343.6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utilize the ABL Credit Facility for the issuance of letters of credit. As of March 31, 2022, we have issued letters of credit in the aggregate outstanding amount of $86.4 million primarily relating to workers compensation insurance claims.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borrowings under the Term Loan Facility is payable at a fluctuating rate of interest determined by reference to the eurodollar rate plus an applicable margin of 3.25%, subject to a 0.50% LIBOR floor. The total interest rate on the Term Loan Facility was 3.81% at March 31, 2022. Borrowings under the Term Loan Facility amortize in equal quarterly installments in an amount equal to 1.000% per annum of the original aggregate principal amount thereof, with the remaining balance due at final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Term Loan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These covenants are subject to a number of limitations and exceptions set forth in the documentation governing the Term Loan.</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Facility was fully drawn at the closing of the Acima Holdings acquisition to fund a portion of the Aggregate Cash Consideration payable in the transaction, repay certain of our outstanding indebtedness and that of our subsidiaries, repay all outstanding indebtedness of Acima Holdings and its subsidiaries and pay certain fees and expenses incurred in connection with the transaction. A portion of such proceeds were used to repay $197.5 million outstanding under the prior term loan facility, dated as of August 5, 2019, among us, JPMorgan Chase Bank, N.A., as administrative agent, and the lenders party thereto (the “Prior Term Loan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Agreement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ABL Credit Facility will mature on February 17, 2026.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certain reserves.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ABL Credit Facility bears interest at a fluctuating rate determined by reference to the eurodollar rate plus an applicable margin of 1.50% to 2.00%. The total interest rate on the ABL Credit Facility at March 31, 2022 was 2.250%. A commitment fee equal to 0.250% to 0.375% of the unused portion of the ABL Credit Facility fluctuates dependent upon average utilization for the prior month as defined by a pricing grid included in the documentation governing the ABL Credit Facility. The commitment fee at March 31, 2022 was 0.250%. We paid $0.6 million of commitment fees during the first quarter of 2022.</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Loans under the ABL Credit Facility may be borrowed, repaid and re-borrowed until February 17, 2026, at which time all amounts borrowed must be repaid. 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ABL Credit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ABL Credit Facility also requires the maintenance of a consolidated fixed charge coverage ratio of at least 1.10 to 1.00 at the end of each fiscal quarter only in the event either (i) certain specified events of default have occurred and are continuing or (ii) availability is less than or equal to the greater of $56.25 million and 15% of the line cap then in effect. These covenants are subject to a number of limitations and exceptions set forth in the documentation governing the ABL Credit Facility. The fixed charge coverage ratio as of March 31, 2022 was 0.94 to 1.00, however, neither of the conditions in (i) or (ii) described above were applicable. Therefore, the maintenance of the fixed charge coverage ratio as of March 31, 2022 was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documentation governing the ABL Credit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scheduled maturity dates of our outstanding debt at March 31, 2022 for each of the years ending December 31: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 Loan</w:t>
            </w:r>
          </w:p>
        </w:tc>
        <w:tc>
          <w:tcPr>
            <w:tcW w:w="18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ABL Credit</w:t>
            </w:r>
          </w:p>
        </w:tc>
        <w:tc>
          <w:tcPr>
            <w:tcW w:w="260" w:type="dxa"/>
            <w:vAlign w:val="bottom"/>
          </w:tcPr>
          <w:p>
            <w:pPr>
              <w:spacing w:after="0"/>
              <w:rPr>
                <w:sz w:val="14"/>
                <w:szCs w:val="14"/>
                <w:color w:val="auto"/>
              </w:rPr>
            </w:pPr>
          </w:p>
        </w:tc>
        <w:tc>
          <w:tcPr>
            <w:tcW w:w="9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128,750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824,687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824,687</w:t>
            </w:r>
          </w:p>
        </w:tc>
        <w:tc>
          <w:tcPr>
            <w:tcW w:w="0" w:type="dxa"/>
            <w:vAlign w:val="bottom"/>
          </w:tcPr>
          <w:p>
            <w:pPr>
              <w:spacing w:after="0"/>
              <w:rPr>
                <w:sz w:val="1"/>
                <w:szCs w:val="1"/>
                <w:color w:val="auto"/>
              </w:rPr>
            </w:pPr>
          </w:p>
        </w:tc>
      </w:tr>
      <w:tr>
        <w:trPr>
          <w:trHeight w:val="234"/>
        </w:trPr>
        <w:tc>
          <w:tcPr>
            <w:tcW w:w="7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senior debt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986,250</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8 -Senior Notes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17, 2021, we issued $450 million in senior unsecured notes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beginning on August 15, 2021.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March 31, 2022, the total remaining balance of unamortized debt issuance costs related to our senior notes reported in the Condensed Consolidated Balance Sheets was approximately $13.5 million.</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we will be required to offer to purchase the Notes at a price equal to 101% of the principal amount thereof plus accrued and unpaid interest.</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March 31, 2022 and December 31, 2021,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Notes is based on Level 1 inputs and was as follows at March 31,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65"/>
              <w:spacing w:after="0"/>
              <w:rPr>
                <w:sz w:val="20"/>
                <w:szCs w:val="20"/>
                <w:color w:val="auto"/>
              </w:rPr>
            </w:pPr>
            <w:r>
              <w:rPr>
                <w:rFonts w:ascii="Arial" w:cs="Arial" w:eastAsia="Arial" w:hAnsi="Arial"/>
                <w:sz w:val="14"/>
                <w:szCs w:val="14"/>
                <w:b w:val="1"/>
                <w:bCs w:val="1"/>
                <w:color w:val="auto"/>
                <w:w w:val="96"/>
              </w:rPr>
              <w:t>March 31, 2022</w:t>
            </w: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8"/>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b w:val="1"/>
                <w:bCs w:val="1"/>
                <w:color w:val="auto"/>
              </w:rPr>
              <w:t>Carrying Value</w:t>
            </w:r>
          </w:p>
        </w:tc>
        <w:tc>
          <w:tcPr>
            <w:tcW w:w="320" w:type="dxa"/>
            <w:vAlign w:val="bottom"/>
          </w:tcPr>
          <w:p>
            <w:pPr>
              <w:spacing w:after="0"/>
              <w:rPr>
                <w:sz w:val="16"/>
                <w:szCs w:val="16"/>
                <w:color w:val="auto"/>
              </w:rPr>
            </w:pPr>
          </w:p>
        </w:tc>
        <w:tc>
          <w:tcPr>
            <w:tcW w:w="1740" w:type="dxa"/>
            <w:vAlign w:val="bottom"/>
          </w:tcPr>
          <w:p>
            <w:pPr>
              <w:jc w:val="center"/>
              <w:ind w:right="265"/>
              <w:spacing w:after="0"/>
              <w:rPr>
                <w:sz w:val="20"/>
                <w:szCs w:val="20"/>
                <w:color w:val="auto"/>
              </w:rPr>
            </w:pPr>
            <w:r>
              <w:rPr>
                <w:rFonts w:ascii="Arial" w:cs="Arial" w:eastAsia="Arial" w:hAnsi="Arial"/>
                <w:sz w:val="14"/>
                <w:szCs w:val="14"/>
                <w:b w:val="1"/>
                <w:bCs w:val="1"/>
                <w:color w:val="auto"/>
                <w:w w:val="95"/>
              </w:rPr>
              <w:t>Fair Value</w:t>
            </w:r>
          </w:p>
        </w:tc>
        <w:tc>
          <w:tcPr>
            <w:tcW w:w="480" w:type="dxa"/>
            <w:vAlign w:val="bottom"/>
          </w:tcPr>
          <w:p>
            <w:pPr>
              <w:spacing w:after="0"/>
              <w:rPr>
                <w:sz w:val="16"/>
                <w:szCs w:val="16"/>
                <w:color w:val="auto"/>
              </w:rPr>
            </w:pPr>
          </w:p>
        </w:tc>
        <w:tc>
          <w:tcPr>
            <w:tcW w:w="1640" w:type="dxa"/>
            <w:vAlign w:val="bottom"/>
          </w:tcPr>
          <w:p>
            <w:pPr>
              <w:jc w:val="right"/>
              <w:ind w:right="624"/>
              <w:spacing w:after="0"/>
              <w:rPr>
                <w:sz w:val="20"/>
                <w:szCs w:val="20"/>
                <w:color w:val="auto"/>
              </w:rPr>
            </w:pPr>
            <w:r>
              <w:rPr>
                <w:rFonts w:ascii="Arial" w:cs="Arial" w:eastAsia="Arial" w:hAnsi="Arial"/>
                <w:sz w:val="14"/>
                <w:szCs w:val="14"/>
                <w:b w:val="1"/>
                <w:bCs w:val="1"/>
                <w:color w:val="auto"/>
              </w:rPr>
              <w:t>Difference</w:t>
            </w:r>
          </w:p>
        </w:tc>
      </w:tr>
      <w:tr>
        <w:trPr>
          <w:trHeight w:val="211"/>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411,030</w:t>
            </w:r>
          </w:p>
        </w:tc>
        <w:tc>
          <w:tcPr>
            <w:tcW w:w="4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(38,970)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Charges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Acima Holdings Acquisition. </w:t>
      </w:r>
      <w:r>
        <w:rPr>
          <w:rFonts w:ascii="Arial" w:cs="Arial" w:eastAsia="Arial" w:hAnsi="Arial"/>
          <w:sz w:val="18"/>
          <w:szCs w:val="18"/>
          <w:color w:val="auto"/>
        </w:rPr>
        <w:t>As described in Note 2, on February 17, 2021, we completed the acquisition of Acima Holdings, a leading provider of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lease-to-own solutions. Included in the aggregate consideration issued to the former owners of Acima Holdings were 8,096,595 common shares, valued at $414.1 million, subject to 36-month vesting conditions under restricted stock agreements, which will be recognized over the vesting term as stock compensation expense. During the three months ended March 31, 2022 and 2021, we recognized approximately $36.6 million and $15.9 million in stock compensation expense related to these restricted stock agreement, respectively.</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assets acquired as part of the transaction included $520 million in intangible assets and $170 million in developed technology. During the three months ended March 31, 2022 and 2021, we recognized approximately $22.1 million and $14.0 million in amortization expense and $4.0 million and $1.3 million in incremental depreciation expense related to these assets, respectively.</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during the three months ended March 31, 2022 and 2021, we recognized approximately $0.2 million and $16.4 million in transaction costs associated with the closing of the transaction, respectively.</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2021 we recognized approximately $3.2 million in post-acquisition integration costs, including $2.8 million in employee severance and $0.4 million in reorganization advisory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Activity with respect to Other charges for the three months ended March 31, 2022 is summarized in the below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Accrued Charges at</w:t>
            </w:r>
          </w:p>
        </w:tc>
        <w:tc>
          <w:tcPr>
            <w:tcW w:w="160" w:type="dxa"/>
            <w:vAlign w:val="bottom"/>
          </w:tcPr>
          <w:p>
            <w:pPr>
              <w:spacing w:after="0"/>
              <w:rPr>
                <w:sz w:val="14"/>
                <w:szCs w:val="14"/>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rPr>
              <w:t>Charges &amp;</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Payments &amp;</w:t>
            </w:r>
          </w:p>
        </w:tc>
        <w:tc>
          <w:tcPr>
            <w:tcW w:w="160" w:type="dxa"/>
            <w:vAlign w:val="bottom"/>
          </w:tcPr>
          <w:p>
            <w:pPr>
              <w:spacing w:after="0"/>
              <w:rPr>
                <w:sz w:val="14"/>
                <w:szCs w:val="14"/>
                <w:color w:val="auto"/>
              </w:rPr>
            </w:pPr>
          </w:p>
        </w:tc>
        <w:tc>
          <w:tcPr>
            <w:tcW w:w="15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Accrued Charges at</w:t>
            </w:r>
          </w:p>
        </w:tc>
        <w:tc>
          <w:tcPr>
            <w:tcW w:w="0" w:type="dxa"/>
            <w:vAlign w:val="bottom"/>
          </w:tcPr>
          <w:p>
            <w:pPr>
              <w:spacing w:after="0"/>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520" w:type="dxa"/>
            <w:vAlign w:val="bottom"/>
          </w:tcPr>
          <w:p>
            <w:pPr>
              <w:jc w:val="right"/>
              <w:ind w:right="276"/>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11"/>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charges:</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Acima Holdings transaction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Labor reduction costs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Other cash charges</w:t>
            </w: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charges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charges: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 Holdings restricted stock agreements</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line="230" w:lineRule="exact"/>
              <w:rPr>
                <w:sz w:val="20"/>
                <w:szCs w:val="20"/>
                <w:color w:val="auto"/>
              </w:rPr>
            </w:pPr>
            <w:r>
              <w:rPr>
                <w:rFonts w:ascii="Arial" w:cs="Arial" w:eastAsia="Arial" w:hAnsi="Arial"/>
                <w:sz w:val="18"/>
                <w:szCs w:val="18"/>
                <w:color w:val="auto"/>
              </w:rPr>
              <w:t>Depreciation and amortization of acquired assets</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charges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20" w:hanging="112"/>
        <w:spacing w:after="0"/>
        <w:tabs>
          <w:tab w:leader="none" w:pos="120" w:val="left"/>
        </w:tabs>
        <w:numPr>
          <w:ilvl w:val="0"/>
          <w:numId w:val="7"/>
        </w:numPr>
        <w:rPr>
          <w:rFonts w:ascii="Arial" w:cs="Arial" w:eastAsia="Arial" w:hAnsi="Arial"/>
          <w:sz w:val="13"/>
          <w:szCs w:val="13"/>
          <w:color w:val="auto"/>
          <w:vertAlign w:val="superscript"/>
        </w:rPr>
      </w:pPr>
      <w:r>
        <w:rPr>
          <w:rFonts w:ascii="Arial" w:cs="Arial" w:eastAsia="Arial" w:hAnsi="Arial"/>
          <w:sz w:val="10"/>
          <w:szCs w:val="10"/>
          <w:color w:val="auto"/>
        </w:rPr>
        <w:t>Represents charges incurred for employee severance.</w:t>
      </w:r>
    </w:p>
    <w:p>
      <w:pPr>
        <w:spacing w:after="0" w:line="9" w:lineRule="exact"/>
        <w:rPr>
          <w:rFonts w:ascii="Arial" w:cs="Arial" w:eastAsia="Arial" w:hAnsi="Arial"/>
          <w:sz w:val="13"/>
          <w:szCs w:val="13"/>
          <w:color w:val="auto"/>
          <w:vertAlign w:val="superscript"/>
        </w:rPr>
      </w:pPr>
    </w:p>
    <w:p>
      <w:pPr>
        <w:ind w:firstLine="8"/>
        <w:spacing w:after="0" w:line="229" w:lineRule="auto"/>
        <w:tabs>
          <w:tab w:leader="none" w:pos="131" w:val="left"/>
        </w:tabs>
        <w:numPr>
          <w:ilvl w:val="0"/>
          <w:numId w:val="7"/>
        </w:numPr>
        <w:rPr>
          <w:rFonts w:ascii="Arial" w:cs="Arial" w:eastAsia="Arial" w:hAnsi="Arial"/>
          <w:sz w:val="15"/>
          <w:szCs w:val="15"/>
          <w:color w:val="auto"/>
          <w:vertAlign w:val="superscript"/>
        </w:rPr>
      </w:pPr>
      <w:r>
        <w:rPr>
          <w:rFonts w:ascii="Arial" w:cs="Arial" w:eastAsia="Arial" w:hAnsi="Arial"/>
          <w:sz w:val="12"/>
          <w:szCs w:val="12"/>
          <w:color w:val="auto"/>
        </w:rPr>
        <w:t>Represents stock compensation expense related to common stock issued to Acima Holdings employees under restricted stock agreements as part of the acquisition proceeds subject to vesting restrictions, as described in Note 2 and Note 12.</w:t>
      </w:r>
    </w:p>
    <w:p>
      <w:pPr>
        <w:ind w:firstLine="8"/>
        <w:spacing w:after="0" w:line="247" w:lineRule="auto"/>
        <w:tabs>
          <w:tab w:leader="none" w:pos="128"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Represents amortization of the total fair value of acquired intangible assets and incremental depreciation related to the fair value increase over net book value of acquired software assets in connection with the acquisition of Acima Holdings as described in Note 2.</w:t>
      </w:r>
    </w:p>
    <w:p>
      <w:pPr>
        <w:spacing w:after="0" w:line="1" w:lineRule="exact"/>
        <w:rPr>
          <w:rFonts w:ascii="Arial" w:cs="Arial" w:eastAsia="Arial" w:hAnsi="Arial"/>
          <w:sz w:val="14"/>
          <w:szCs w:val="14"/>
          <w:color w:val="auto"/>
          <w:vertAlign w:val="superscript"/>
        </w:rPr>
      </w:pPr>
    </w:p>
    <w:p>
      <w:pPr>
        <w:ind w:left="140" w:hanging="132"/>
        <w:spacing w:after="0" w:line="195"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Primarily represents impairment of software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furniture, including mattresses, tires, consumer electronics, appliances, tools, handbags, computers, smartphones, and accessories.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as of and for the three months ended March 31, 2022 and 2021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338"/>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518,505</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524,866</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457,449</w:t>
            </w: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14,498</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39,969</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1,159,722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1,036,782</w:t>
            </w:r>
          </w:p>
        </w:tc>
      </w:tr>
      <w:tr>
        <w:trPr>
          <w:trHeight w:val="21"/>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284"/>
        </w:trPr>
        <w:tc>
          <w:tcPr>
            <w:tcW w:w="76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363,380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359,169</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134,250</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10,212</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gross profit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546,095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510,523</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100,176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121,277</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24,814</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1,954</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116,632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153,030</w:t>
            </w:r>
          </w:p>
        </w:tc>
      </w:tr>
      <w:tr>
        <w:trPr>
          <w:trHeight w:val="229"/>
        </w:trPr>
        <w:tc>
          <w:tcPr>
            <w:tcW w:w="76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(105,589)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(82,984)</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operating profit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70,046</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firstLine="8"/>
        <w:spacing w:after="0" w:line="298" w:lineRule="auto"/>
        <w:tabs>
          <w:tab w:leader="none" w:pos="115" w:val="left"/>
        </w:tabs>
        <w:numPr>
          <w:ilvl w:val="0"/>
          <w:numId w:val="8"/>
        </w:numPr>
        <w:rPr>
          <w:rFonts w:ascii="Arial" w:cs="Arial" w:eastAsia="Arial" w:hAnsi="Arial"/>
          <w:sz w:val="13"/>
          <w:szCs w:val="13"/>
          <w:color w:val="auto"/>
          <w:vertAlign w:val="superscript"/>
        </w:rPr>
      </w:pPr>
      <w:r>
        <w:rPr>
          <w:rFonts w:ascii="Arial" w:cs="Arial" w:eastAsia="Arial" w:hAnsi="Arial"/>
          <w:sz w:val="10"/>
          <w:szCs w:val="10"/>
          <w:color w:val="auto"/>
        </w:rPr>
        <w:t>Includes stock compensation expense of $36.6 million recognized for the three months ended March 31, 2021, related to common stock issued to Acima Holdings employees under restricted stock agreements as part of the acquisition consideration subject to vesting restrictions as described in Note 10.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6,413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4,577</w:t>
            </w:r>
          </w:p>
        </w:tc>
      </w:tr>
      <w:tr>
        <w:trPr>
          <w:trHeight w:val="229"/>
        </w:trPr>
        <w:tc>
          <w:tcPr>
            <w:tcW w:w="76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5,187</w:t>
            </w:r>
          </w:p>
        </w:tc>
      </w:tr>
      <w:tr>
        <w:trPr>
          <w:trHeight w:val="229"/>
        </w:trPr>
        <w:tc>
          <w:tcPr>
            <w:tcW w:w="76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(2)</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13,393</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Excludes amortization expense of approximately $22.1 million and $14.0 million for the three months ended March 31, 2022 and 2021, recorded to Other charges in the Condensed Consolidated Statement of Operations, related to intangible assets acquired upon closing of the Acima Holdings acquisition. See Note 10 for additional information.</w:t>
      </w:r>
    </w:p>
    <w:p>
      <w:pPr>
        <w:jc w:val="both"/>
        <w:spacing w:after="0" w:line="215" w:lineRule="auto"/>
        <w:rPr>
          <w:sz w:val="20"/>
          <w:szCs w:val="20"/>
          <w:color w:val="auto"/>
        </w:rPr>
      </w:pPr>
      <w:r>
        <w:rPr>
          <w:rFonts w:ascii="Arial" w:cs="Arial" w:eastAsia="Arial" w:hAnsi="Arial"/>
          <w:sz w:val="16"/>
          <w:szCs w:val="16"/>
          <w:color w:val="auto"/>
          <w:vertAlign w:val="superscript"/>
        </w:rPr>
        <w:t>(2)</w:t>
      </w:r>
      <w:r>
        <w:rPr>
          <w:rFonts w:ascii="Arial" w:cs="Arial" w:eastAsia="Arial" w:hAnsi="Arial"/>
          <w:sz w:val="13"/>
          <w:szCs w:val="13"/>
          <w:color w:val="auto"/>
        </w:rPr>
        <w:t>Excludes depreciation expense of approximately $4.0 million and $1.3 million for the three months ended March 31, 2022 and 2021, recorded to Other charges in the Condensed Consolidated Statement of Operations, related to software acquired upon closing of the Acima Holdings acquisition. See Note 10 for additional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13,408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6,257</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13,788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6,487</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capital expenditures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11,388</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98"/>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2022</w:t>
            </w:r>
          </w:p>
        </w:tc>
        <w:tc>
          <w:tcPr>
            <w:tcW w:w="200" w:type="dxa"/>
            <w:vAlign w:val="bottom"/>
          </w:tcPr>
          <w:p>
            <w:pPr>
              <w:spacing w:after="0"/>
              <w:rPr>
                <w:sz w:val="24"/>
                <w:szCs w:val="24"/>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December 31, 2021</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 rent rental merchandise, net</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455,828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477,901</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676,279</w:t>
            </w:r>
          </w:p>
        </w:tc>
      </w:tr>
      <w:tr>
        <w:trPr>
          <w:trHeight w:val="230"/>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18,844</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on rent rental merchandise,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1,017,485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1,173,024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79"/>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2022</w:t>
            </w:r>
          </w:p>
        </w:tc>
        <w:tc>
          <w:tcPr>
            <w:tcW w:w="200" w:type="dxa"/>
            <w:vAlign w:val="bottom"/>
          </w:tcPr>
          <w:p>
            <w:pPr>
              <w:spacing w:after="0"/>
              <w:rPr>
                <w:sz w:val="24"/>
                <w:szCs w:val="24"/>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December 31, 2021</w:t>
            </w:r>
          </w:p>
        </w:tc>
      </w:tr>
      <w:tr>
        <w:trPr>
          <w:trHeight w:val="215"/>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Held for rent rental merchandise, net</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117,617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123,111</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30"/>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held for rent rental merchandise,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132,984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2021</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by segment</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1,003,246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1,026,886</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1,287,869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1,476,752</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43,243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41,669</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15,412</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2,350,262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2,560,719</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432,608</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2,777,121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2,993,327</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Stock and Stock-Based Compensation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early December 2021, our Board of Directors authorized a new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No shares of our common stock were repurchased during the three months ended March 31, 2022 and 2021, respectively.</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$4.9 million and $4.3 million in compensation expense related to stock awards issued under the Rent-A-Center, Inc. 2021 Long-Term Incentive Plan (the “2021 Plan”) and 2016 Long-Term Incentive Plan (the “2016 Plan”) during the three months ended March 31, 2022 and 2021. During the three months ended March 31, 2022, we granted approximately 551,000 market-based performance units and 300,000 time-vesting units under the 2021 Plan.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three months ended March 31, 2022 was $25.55 and $30.92, respectively.</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described in Note 2, Aggregate Stock Consideration issued to the former owners of Acima Holdings included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are recognized as stock compensation expense over the vesting term in accordance with ASC Topic 718, “Stock-based Compensation”. We recognized $36.6 million in stock compensation expense related to these restricted stock agreements during the three months ended March 31, 2022, which was recorded to Other charges in our Condensed Consolidated Statements of Operations, as described in Note 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Contingencies</w:t>
      </w:r>
    </w:p>
    <w:p>
      <w:pPr>
        <w:spacing w:after="0" w:line="10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w:t>
      </w:r>
    </w:p>
    <w:p>
      <w:pPr>
        <w:spacing w:after="0" w:line="6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i w:val="1"/>
          <w:iCs w:val="1"/>
          <w:color w:val="auto"/>
        </w:rPr>
        <w:t xml:space="preserve">Unclaimed Property. </w:t>
      </w:r>
      <w:r>
        <w:rPr>
          <w:rFonts w:ascii="Arial" w:cs="Arial" w:eastAsia="Arial" w:hAnsi="Arial"/>
          <w:sz w:val="18"/>
          <w:szCs w:val="18"/>
          <w:color w:val="auto"/>
        </w:rPr>
        <w:t>We are subject to unclaimed property audits by states in the ordinary course of business. The property subject to review in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Acima Consumer Financial Protection Bureau investigation. </w:t>
      </w:r>
      <w:r>
        <w:rPr>
          <w:rFonts w:ascii="Arial" w:cs="Arial" w:eastAsia="Arial" w:hAnsi="Arial"/>
          <w:sz w:val="16"/>
          <w:szCs w:val="16"/>
          <w:color w:val="auto"/>
        </w:rPr>
        <w:t>Prior to the execution of the definitive agreement to acquire Acima Holdings, Acima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a Civil Investigative Demand dated October 1, 2020 (the “CID”) from the Consumer Financial Protection Bureau (the “CFPB”) requesting certain information, documents and data relating to Acima Holding’s products, services and practices for the period from January 1, 2015 to the date on which responses to the CID are provided in full. The purpose of the CID is to determine whether Acima Holdings extends credit, offers leases,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offers or provides a consumer financial product or service and whether Acima Holdings complies with certain consumer financial protection laws. We are fully cooperating with the CFPB investigation. The CFPB has not made any allegations in the investigation, and we are currently unable to predict the eventual scope, ultimate timing or outcome of the CFPB investigation.</w:t>
      </w:r>
    </w:p>
    <w:p>
      <w:pPr>
        <w:spacing w:after="0" w:line="6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the terms and subject to the conditions set forth in the definitive agreement to acquire Acima Holdings, the former owners of Acima Holdings have agreed to indemnify Rent-A-Center for certain losses arising after the consummation of the transaction with respect to the CID and certain pre-closing taxes. The indemnification obligations of the former owners of Acima Holdings are limited to an indemnity holdback in the aggregate amount of $50 million, which was escrowed at the closing of the transaction, and will be Rent-A-Center’s sole recourse against the former owners of Acima Holdings with respect to all of the indemnifiable claims under the definitive transaction agreement. Other than with respect to any pending or unresolved claims for indemnification submitted by Rent-A-Center prior to such time, and subject to other limited exceptions, the escrowed amount will be released to the former owners of Acima Holdings as follows: (i) in respect of the CID, on the earlier of February 17, 2024 and the date on which a final determination is entered providing for a resolution of the matters regarding the CID and (ii) in respect of certain pre-closing taxes, on August 18, 2022, the first business day following the date that is 18 months after the closing date of the transaction.</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There can be no assurance that the CID will be finally resolved prior to the release to the former owners of Acima Holdings of the escrowed funds reserved therefor, or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 Holdings’ business practices or operations that could materially and adversely affect our business, financial condition, results of operations or reputation.</w:t>
      </w:r>
    </w:p>
    <w:p>
      <w:pPr>
        <w:spacing w:after="0" w:line="6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California Attorney General. </w:t>
      </w:r>
      <w:r>
        <w:rPr>
          <w:rFonts w:ascii="Arial" w:cs="Arial" w:eastAsia="Arial" w:hAnsi="Arial"/>
          <w:sz w:val="18"/>
          <w:szCs w:val="18"/>
          <w:color w:val="auto"/>
        </w:rPr>
        <w:t>The California Attorney General (the “CAG”) issued an investigative subpoena in 2018 seeking information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Acceptance Now business practices (now part of the Acima segment). Since receiving such demand, we have cooperated with the CAG in connection with its investigation and made several productions of requested documents. In March 2020, the CAG put forth proposed settlement terms to address alleged violations of California law. The CAG’s allegations include those with respect to certain consumer fees, charges and communications in connection with our lease-to-own transactions. The CAG’s proposed settlement terms include civil penalties, disgorgement of certain revenues, additional training requirements, and changes to certain business practices. In November 2021, the parties reached an agreement in principle regarding the potential resolution of this matter. Final settlement remains subject to the negotiation and execution of applicable documentation. We are currently unable to predict the ultimate timing of entering binding settlement documentation, and it remains possible that the parties will be unable to agree on the settlement documentation.</w:t>
      </w:r>
    </w:p>
    <w:p>
      <w:pPr>
        <w:spacing w:after="0" w:line="7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i w:val="1"/>
          <w:iCs w:val="1"/>
          <w:color w:val="auto"/>
        </w:rPr>
        <w:t xml:space="preserve">Massachusetts Attorney General. </w:t>
      </w:r>
      <w:r>
        <w:rPr>
          <w:rFonts w:ascii="Arial" w:cs="Arial" w:eastAsia="Arial" w:hAnsi="Arial"/>
          <w:sz w:val="18"/>
          <w:szCs w:val="18"/>
          <w:color w:val="auto"/>
        </w:rPr>
        <w:t>The Massachusetts Attorney General (the “MAG”) issued a civil investigative demand in 2018 seeking information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certain of our business practices, including regarding account management and certain other business practices in connection with our lease-to-own transactions. Since receiving such demand, we have cooperated with the MAG in connection with its investigation. In June 2021, the MAG provided us with proposed settlement terms including a monetary payment, injunctive provisions regarding certain business practices and compliance requirements. We are continuing to cooperate and discuss resolution of the inquiry with the MAG. We are currently unable to predict the ultimate timing or outcome of the MAG investigation.</w:t>
      </w:r>
    </w:p>
    <w:p>
      <w:pPr>
        <w:spacing w:after="0" w:line="6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i w:val="1"/>
          <w:iCs w:val="1"/>
          <w:color w:val="auto"/>
        </w:rPr>
        <w:t xml:space="preserve">State Attorneys General Investigation. </w:t>
      </w:r>
      <w:r>
        <w:rPr>
          <w:rFonts w:ascii="Arial" w:cs="Arial" w:eastAsia="Arial" w:hAnsi="Arial"/>
          <w:sz w:val="18"/>
          <w:szCs w:val="18"/>
          <w:color w:val="auto"/>
        </w:rPr>
        <w:t>On November 1, 2021, Acima received a letter from the Nebraska Attorney General’s office stating that the Attorney</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with officials at the lead attorneys general offices and, based on those discussions, it is our understanding that the investigation is looking at business practices within the virtual lease-to-own industry and includes or will include multiple companies. Acima is cooperating with the investigation process. In April 2022, we received a request for information and documents. No specific allegations have been made against Acima pursuant to the investigation. We are currently unable to predict the eventual scope, timing or outcome of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(Loss)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basic and diluted (loss) earnings per common share were calculated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r>
      <w:tr>
        <w:trPr>
          <w:trHeight w:val="211"/>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480" w:type="dxa"/>
            <w:vAlign w:val="bottom"/>
          </w:tcPr>
          <w:p>
            <w:pPr>
              <w:ind w:left="220"/>
              <w:spacing w:after="0"/>
              <w:rPr>
                <w:sz w:val="20"/>
                <w:szCs w:val="20"/>
                <w:color w:val="auto"/>
              </w:rPr>
            </w:pPr>
            <w:r>
              <w:rPr>
                <w:rFonts w:ascii="Arial" w:cs="Arial" w:eastAsia="Arial" w:hAnsi="Arial"/>
                <w:sz w:val="18"/>
                <w:szCs w:val="18"/>
                <w:color w:val="auto"/>
              </w:rPr>
              <w:t>Net (loss) earnings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42,552</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7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7480" w:type="dxa"/>
            <w:vAlign w:val="bottom"/>
          </w:tcPr>
          <w:p>
            <w:pPr>
              <w:ind w:left="260"/>
              <w:spacing w:after="0" w:line="230" w:lineRule="exact"/>
              <w:rPr>
                <w:sz w:val="20"/>
                <w:szCs w:val="20"/>
                <w:color w:val="auto"/>
              </w:rPr>
            </w:pPr>
            <w:r>
              <w:rPr>
                <w:rFonts w:ascii="Arial" w:cs="Arial" w:eastAsia="Arial" w:hAnsi="Arial"/>
                <w:sz w:val="18"/>
                <w:szCs w:val="18"/>
                <w:color w:val="auto"/>
              </w:rPr>
              <w:t>Weighted-average shares outstanding</w:t>
            </w:r>
            <w:r>
              <w:rPr>
                <w:rFonts w:ascii="Arial" w:cs="Arial" w:eastAsia="Arial" w:hAnsi="Arial"/>
                <w:sz w:val="23"/>
                <w:szCs w:val="23"/>
                <w:color w:val="auto"/>
                <w:vertAlign w:val="superscript"/>
              </w:rPr>
              <w:t>(1)</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53,751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56,247</w:t>
            </w:r>
          </w:p>
        </w:tc>
      </w:tr>
      <w:tr>
        <w:trPr>
          <w:trHeight w:val="229"/>
        </w:trPr>
        <w:tc>
          <w:tcPr>
            <w:tcW w:w="74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Effect of dilutive stock awards</w:t>
            </w:r>
            <w:r>
              <w:rPr>
                <w:rFonts w:ascii="Arial" w:cs="Arial" w:eastAsia="Arial" w:hAnsi="Arial"/>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w:t>
            </w:r>
          </w:p>
        </w:tc>
      </w:tr>
      <w:tr>
        <w:trPr>
          <w:trHeight w:val="223"/>
        </w:trPr>
        <w:tc>
          <w:tcPr>
            <w:tcW w:w="7480" w:type="dxa"/>
            <w:vAlign w:val="bottom"/>
          </w:tcPr>
          <w:p>
            <w:pPr>
              <w:ind w:left="260"/>
              <w:spacing w:after="0"/>
              <w:rPr>
                <w:sz w:val="20"/>
                <w:szCs w:val="20"/>
                <w:color w:val="auto"/>
              </w:rPr>
            </w:pPr>
            <w:r>
              <w:rPr>
                <w:rFonts w:ascii="Arial" w:cs="Arial" w:eastAsia="Arial" w:hAnsi="Arial"/>
                <w:sz w:val="18"/>
                <w:szCs w:val="18"/>
                <w:color w:val="auto"/>
              </w:rPr>
              <w:t>Weighted-average dilutive shares</w:t>
            </w: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53,751</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66,295</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7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Basic (loss) earnings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229"/>
        </w:trPr>
        <w:tc>
          <w:tcPr>
            <w:tcW w:w="7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Diluted (loss) earnings per common share</w:t>
            </w:r>
            <w:r>
              <w:rPr>
                <w:rFonts w:ascii="Arial" w:cs="Arial" w:eastAsia="Arial" w:hAnsi="Arial"/>
                <w:sz w:val="23"/>
                <w:szCs w:val="23"/>
                <w:color w:val="auto"/>
                <w:vertAlign w:val="superscript"/>
              </w:rPr>
              <w:t>(2)</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Anti-dilutive securities excluded from diluted earnings per common share:</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4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Anti-dilutive restricted share units</w:t>
            </w:r>
            <w:r>
              <w:rPr>
                <w:rFonts w:ascii="Arial" w:cs="Arial" w:eastAsia="Arial" w:hAnsi="Arial"/>
                <w:sz w:val="23"/>
                <w:szCs w:val="23"/>
                <w:color w:val="auto"/>
                <w:vertAlign w:val="superscript"/>
              </w:rPr>
              <w:t>(3)</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tcPr>
          <w:p>
            <w:pPr>
              <w:ind w:left="260"/>
              <w:spacing w:after="0" w:line="230" w:lineRule="exact"/>
              <w:rPr>
                <w:sz w:val="20"/>
                <w:szCs w:val="20"/>
                <w:color w:val="auto"/>
              </w:rPr>
            </w:pPr>
            <w:r>
              <w:rPr>
                <w:rFonts w:ascii="Arial" w:cs="Arial" w:eastAsia="Arial" w:hAnsi="Arial"/>
                <w:sz w:val="18"/>
                <w:szCs w:val="18"/>
                <w:color w:val="auto"/>
              </w:rPr>
              <w:t>Anti-dilutive performance share units</w:t>
            </w:r>
            <w:r>
              <w:rPr>
                <w:rFonts w:ascii="Arial" w:cs="Arial" w:eastAsia="Arial" w:hAnsi="Arial"/>
                <w:sz w:val="23"/>
                <w:szCs w:val="23"/>
                <w:color w:val="auto"/>
                <w:vertAlign w:val="superscript"/>
              </w:rPr>
              <w:t>(3)</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Anti-dilutive stock options</w:t>
            </w:r>
            <w:r>
              <w:rPr>
                <w:rFonts w:ascii="Arial" w:cs="Arial" w:eastAsia="Arial" w:hAnsi="Arial"/>
                <w:sz w:val="23"/>
                <w:szCs w:val="23"/>
                <w:color w:val="auto"/>
                <w:vertAlign w:val="superscript"/>
              </w:rPr>
              <w:t>(3)</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80" w:lineRule="exact"/>
        <w:rPr>
          <w:sz w:val="20"/>
          <w:szCs w:val="20"/>
          <w:color w:val="auto"/>
        </w:rPr>
      </w:pPr>
    </w:p>
    <w:p>
      <w:pPr>
        <w:ind w:right="20" w:firstLine="8"/>
        <w:spacing w:after="0" w:line="246" w:lineRule="auto"/>
        <w:tabs>
          <w:tab w:leader="none" w:pos="115" w:val="left"/>
        </w:tabs>
        <w:numPr>
          <w:ilvl w:val="0"/>
          <w:numId w:val="9"/>
        </w:numPr>
        <w:rPr>
          <w:rFonts w:ascii="Arial" w:cs="Arial" w:eastAsia="Arial" w:hAnsi="Arial"/>
          <w:sz w:val="13"/>
          <w:szCs w:val="13"/>
          <w:color w:val="auto"/>
          <w:vertAlign w:val="superscript"/>
        </w:rPr>
      </w:pPr>
      <w:r>
        <w:rPr>
          <w:rFonts w:ascii="Arial" w:cs="Arial" w:eastAsia="Arial" w:hAnsi="Arial"/>
          <w:sz w:val="10"/>
          <w:szCs w:val="10"/>
          <w:color w:val="auto"/>
        </w:rPr>
        <w:t>Weighted-average shares outstanding for the three months ended March 31, 2021 includes approximately 1.3 million common shares issued in connection with the acquisition of Acima Holdings in February 2021. See Note 2 for additional information.</w:t>
      </w:r>
    </w:p>
    <w:p>
      <w:pPr>
        <w:spacing w:after="0" w:line="153"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9"/>
        </w:numPr>
        <w:rPr>
          <w:rFonts w:ascii="Arial" w:cs="Arial" w:eastAsia="Arial" w:hAnsi="Arial"/>
          <w:sz w:val="13"/>
          <w:szCs w:val="13"/>
          <w:color w:val="auto"/>
          <w:vertAlign w:val="superscript"/>
        </w:rPr>
      </w:pPr>
      <w:r>
        <w:rPr>
          <w:rFonts w:ascii="Arial" w:cs="Arial" w:eastAsia="Arial" w:hAnsi="Arial"/>
          <w:sz w:val="10"/>
          <w:szCs w:val="10"/>
          <w:color w:val="auto"/>
        </w:rPr>
        <w:t>There was no dilutive effect to the loss per common share for the three months ended March 31, 2022 due to the net loss incurred for the period.</w:t>
      </w:r>
    </w:p>
    <w:p>
      <w:pPr>
        <w:ind w:firstLine="8"/>
        <w:spacing w:after="0" w:line="230" w:lineRule="auto"/>
        <w:tabs>
          <w:tab w:leader="none" w:pos="135"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Includes 5.2 million unvested shares subject to restricted stock agreements related to the Aggregate Stock Consideration issued to the former owners of Acima Holdings at the time of acquisition. There were no anti-dilutive stock awards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potential effects of the pandemic of the respiratory disease caused by a novel coronavirus (“COVID-19”) on our business, operations, financial performance and prospects, the future business prospects and financial performance of our Company following our acquisition of Acima Holdings, LLC (“Acima Holdings”), cost and revenue synergies and other benefits expected to result from the Acima Holdings acquisition, our expectations, plans and strategy relating to our capital structure and capital allocation, including any share repurchases under the Company's share repurchase program, and other statements that are not historical facts.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in our Annual Report on Form 10-K for the year ended December 31, 2021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10" w:lineRule="exact"/>
        <w:rPr>
          <w:sz w:val="20"/>
          <w:szCs w:val="20"/>
          <w:color w:val="auto"/>
        </w:rPr>
      </w:pPr>
    </w:p>
    <w:p>
      <w:pPr>
        <w:ind w:left="660" w:hanging="166"/>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possibility that the anticipated benefits from the Acima Holdings acquisition may not be fully realized or may take longer to realize than expected;</w:t>
      </w:r>
    </w:p>
    <w:p>
      <w:pPr>
        <w:spacing w:after="0" w:line="8" w:lineRule="exact"/>
        <w:rPr>
          <w:rFonts w:ascii="Arial" w:cs="Arial" w:eastAsia="Arial" w:hAnsi="Arial"/>
          <w:sz w:val="18"/>
          <w:szCs w:val="18"/>
          <w:color w:val="auto"/>
        </w:rPr>
      </w:pPr>
    </w:p>
    <w:p>
      <w:pPr>
        <w:ind w:left="660" w:hanging="166"/>
        <w:spacing w:after="0" w:line="277" w:lineRule="auto"/>
        <w:tabs>
          <w:tab w:leader="none" w:pos="6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possibility that costs, difficulties or disruptions related to the integration of Acima Holdings operations into our other operations will be greater than expected;</w:t>
      </w:r>
    </w:p>
    <w:p>
      <w:pPr>
        <w:spacing w:after="0" w:line="8" w:lineRule="exact"/>
        <w:rPr>
          <w:rFonts w:ascii="Arial" w:cs="Arial" w:eastAsia="Arial" w:hAnsi="Arial"/>
          <w:sz w:val="18"/>
          <w:szCs w:val="18"/>
          <w:color w:val="auto"/>
        </w:rPr>
      </w:pPr>
    </w:p>
    <w:p>
      <w:pPr>
        <w:jc w:val="both"/>
        <w:ind w:left="660" w:hanging="166"/>
        <w:spacing w:after="0" w:line="263" w:lineRule="auto"/>
        <w:tabs>
          <w:tab w:leader="none" w:pos="6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 effectively adjust to changes in the composition of our offerings and product mix as a result of acquiring Acima Holdings and continue to maintain the quality of existing offerings and (ii) successfully introduce other new product or service offerings on a timely and cost-effective basis;</w:t>
      </w:r>
    </w:p>
    <w:p>
      <w:pPr>
        <w:spacing w:after="0" w:line="21" w:lineRule="exact"/>
        <w:rPr>
          <w:rFonts w:ascii="Arial" w:cs="Arial" w:eastAsia="Arial" w:hAnsi="Arial"/>
          <w:sz w:val="18"/>
          <w:szCs w:val="18"/>
          <w:color w:val="auto"/>
        </w:rPr>
      </w:pPr>
    </w:p>
    <w:p>
      <w:pPr>
        <w:ind w:left="660" w:right="20" w:hanging="166"/>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future cash requirements as a result of the Acima Holdings acquisition, whether caused by unanticipated increases in capital expenditures or working capital needs, unanticipated liabilities or otherwise;</w:t>
      </w:r>
    </w:p>
    <w:p>
      <w:pPr>
        <w:spacing w:after="0" w:line="8"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potential acquisition candidates, complete acquisitions and successfully integrate acquired companies;</w:t>
      </w:r>
    </w:p>
    <w:p>
      <w:pPr>
        <w:spacing w:after="0" w:line="11" w:lineRule="exact"/>
        <w:rPr>
          <w:rFonts w:ascii="Arial" w:cs="Arial" w:eastAsia="Arial" w:hAnsi="Arial"/>
          <w:sz w:val="18"/>
          <w:szCs w:val="18"/>
          <w:color w:val="auto"/>
        </w:rPr>
      </w:pPr>
    </w:p>
    <w:p>
      <w:pPr>
        <w:jc w:val="both"/>
        <w:ind w:left="660" w:hanging="166"/>
        <w:spacing w:after="0" w:line="246"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impact of the COVID-19 pandemic and related government and regulatory restrictions issued to combat the pandemic, including adverse changes in such restrictions, the expiration of governmental stimulus programs, and impacts on (i) demand for our lease-to-own products offered in our operating segments, (ii) our Acima retail partners, (iii) our customers and their willingness and ability to satisfy their lease obligations,</w:t>
      </w:r>
    </w:p>
    <w:p>
      <w:pPr>
        <w:spacing w:after="0" w:line="1" w:lineRule="exact"/>
        <w:rPr>
          <w:rFonts w:ascii="Arial" w:cs="Arial" w:eastAsia="Arial" w:hAnsi="Arial"/>
          <w:sz w:val="16"/>
          <w:szCs w:val="16"/>
          <w:color w:val="auto"/>
        </w:rPr>
      </w:pPr>
    </w:p>
    <w:p>
      <w:pPr>
        <w:ind w:left="660" w:hanging="4"/>
        <w:spacing w:after="0" w:line="219" w:lineRule="auto"/>
        <w:tabs>
          <w:tab w:leader="none" w:pos="9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suppliers' ability to satisfy our merchandise needs and related supply chain disruptions, (v) our employees, including our ability to adequately staff our operating locations, (vi) our financial and operational performance, and (vii) our liquidity;</w:t>
      </w:r>
    </w:p>
    <w:p>
      <w:pPr>
        <w:ind w:left="660" w:hanging="166"/>
        <w:spacing w:after="0" w:line="23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general strength of the economy and other economic conditions affecting consumer preferences and spending, including the availability of credit to our target consumers and impacts from inflation;</w:t>
      </w:r>
    </w:p>
    <w:p>
      <w:pPr>
        <w:spacing w:after="0" w:line="27"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factors affecting the disposable income available to our current and potential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unemployment rate;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market conditions, including availability of funding sources for us;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encountered in improving the financial and operational performance of our business segments;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pricing changes and strategies being deployed in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166" w:right="20"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realize benefits from our initiatives regarding cost-savings and other EBITDA enhancements, efficiencies and working capital improvements;</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effectively execute our strategic initiatives, including mitigating risks associated with any potential mergers and acquisitions, or refranchising opportunities;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manage our store labor and other store expenses, including merchandise losses;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caused by the operation of our store information management systems or disruptions in the systems of our host retailers;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our virtual lease-to-own business, including our ability to continue to develop and successfully implement the necessary technologies;</w:t>
      </w:r>
    </w:p>
    <w:p>
      <w:pPr>
        <w:spacing w:after="0" w:line="8" w:lineRule="exact"/>
        <w:rPr>
          <w:rFonts w:ascii="Arial" w:cs="Arial" w:eastAsia="Arial" w:hAnsi="Arial"/>
          <w:sz w:val="18"/>
          <w:szCs w:val="18"/>
          <w:color w:val="auto"/>
        </w:rPr>
      </w:pPr>
    </w:p>
    <w:p>
      <w:pPr>
        <w:ind w:left="166" w:hanging="166"/>
        <w:spacing w:after="0" w:line="251"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achieve the benefits expected from our integrated virtual and staffed retail partner offering and to successfully grow this business segment;</w:t>
      </w:r>
    </w:p>
    <w:p>
      <w:pPr>
        <w:spacing w:after="0" w:line="1" w:lineRule="exact"/>
        <w:rPr>
          <w:rFonts w:ascii="Arial" w:cs="Arial" w:eastAsia="Arial" w:hAnsi="Arial"/>
          <w:sz w:val="18"/>
          <w:szCs w:val="18"/>
          <w:color w:val="auto"/>
        </w:rPr>
      </w:pPr>
    </w:p>
    <w:p>
      <w:pPr>
        <w:ind w:left="166" w:hanging="166"/>
        <w:spacing w:after="0" w:line="233"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potential operating margin degradation due to the higher cost of merchandise in our Acima offering and higher merchandise losses than compared to our Rent-A-Center Business segment;</w:t>
      </w:r>
    </w:p>
    <w:p>
      <w:pPr>
        <w:spacing w:after="0" w:line="27"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our transition to more-readily scalable “cloud-based” solutions;</w:t>
      </w:r>
    </w:p>
    <w:p>
      <w:pPr>
        <w:spacing w:after="0" w:line="63" w:lineRule="exact"/>
        <w:rPr>
          <w:rFonts w:ascii="Arial" w:cs="Arial" w:eastAsia="Arial" w:hAnsi="Arial"/>
          <w:sz w:val="18"/>
          <w:szCs w:val="18"/>
          <w:i w:val="1"/>
          <w:iCs w:val="1"/>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successfully implement digital or E-commerce capabilities, including mobile applications;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proprietary intellectual property;</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or that of our host retailers to protect the integrity and security of customer, employee and host retailer information, which may be adversely affected by hacking, computer viruses, or similar disruptions;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in our supply chain;</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of, or disruptions in, our distribution network;</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rapid inflation or deflation in the prices of our products and other related costs;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execute and the effectiveness of store consolidations, including our ability to retain the revenue from customer accounts merged into another store location as a result of a store consolidation;</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available cash flow and our ability to generate sufficient cash flow to continue paying dividends;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from traditional competitors, virtual lease-to-own competitors, online retailers, Buy-Now-Pay-Later and other Fintech companies and other competitors, including subprime lenders;</w:t>
      </w:r>
    </w:p>
    <w:p>
      <w:pPr>
        <w:spacing w:after="0" w:line="8"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and successfully market products and services that appeal to our current and future targeted customer segments and to accurately estimate the size of the total addressable market;</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preferences and perceptions of our brands;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the revenue associated with acquired customer accounts and enhance the performance of acquired stores;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new and collect on our rental or lease purchase agreements;</w:t>
      </w:r>
    </w:p>
    <w:p>
      <w:pPr>
        <w:spacing w:after="0" w:line="63" w:lineRule="exact"/>
        <w:rPr>
          <w:rFonts w:ascii="Arial" w:cs="Arial" w:eastAsia="Arial" w:hAnsi="Arial"/>
          <w:sz w:val="18"/>
          <w:szCs w:val="18"/>
          <w:color w:val="auto"/>
        </w:rPr>
      </w:pPr>
    </w:p>
    <w:p>
      <w:pPr>
        <w:jc w:val="both"/>
        <w:ind w:left="166" w:hanging="166"/>
        <w:spacing w:after="0" w:line="263" w:lineRule="auto"/>
        <w:tabs>
          <w:tab w:leader="none" w:pos="1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enforcement of existing laws and regulations and the enactment of new laws and regulations adversely affecting our business, including any legislative or regulatory enforcement efforts that seek to re-characterize store-based or virtual lease-to-own transactions as credit sales and to apply consumer credit laws and regulations to our business;</w:t>
      </w:r>
    </w:p>
    <w:p>
      <w:pPr>
        <w:spacing w:after="0" w:line="21"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compliance with applicable statutes or regulations governing our businesses;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tariff policies;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changes in the economic conditions of the industries, countries or markets that we serve;</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technology and data security costs;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any breaches in data security or other disturbances to our information technology and other networks;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the integrity and security of individually identifiable data of our customers, employees and retail partners;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estimates relating to self-insurance liabilities, income tax and litigation reserves;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 including in connection with the integration of Acima;</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or administrative proceedings to which we are or may be a party to from time to time; and</w:t>
      </w:r>
    </w:p>
    <w:p>
      <w:pPr>
        <w:sectPr>
          <w:pgSz w:w="11900" w:h="16838" w:orient="portrait"/>
          <w:cols w:equalWidth="0" w:num="1">
            <w:col w:w="10746"/>
          </w:cols>
          <w:pgMar w:left="814"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4"/>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89" w:right="339" w:bottom="1440" w:gutter="0" w:footer="0" w:header="0"/>
          <w:type w:val="continuous"/>
        </w:sectPr>
      </w:pPr>
    </w:p>
    <w:bookmarkStart w:id="25" w:name="page26"/>
    <w:bookmarkEnd w:id="25"/>
    <w:p>
      <w:pPr>
        <w:ind w:left="660" w:right="20" w:hanging="166"/>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other risks detailed from time to time in our reports furnished or filed with the United States Securities and Exchange Commission (the “SEC”).</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 important factors that could cause our actual results to differ materially from our expectations are discussed under the section “</w:t>
      </w:r>
      <w:r>
        <w:rPr>
          <w:rFonts w:ascii="Arial" w:cs="Arial" w:eastAsia="Arial" w:hAnsi="Arial"/>
          <w:sz w:val="17"/>
          <w:szCs w:val="17"/>
          <w:i w:val="1"/>
          <w:iCs w:val="1"/>
          <w:color w:val="auto"/>
        </w:rPr>
        <w:t>Risk Factors</w:t>
      </w:r>
      <w:r>
        <w:rPr>
          <w:rFonts w:ascii="Arial" w:cs="Arial" w:eastAsia="Arial" w:hAnsi="Arial"/>
          <w:sz w:val="17"/>
          <w:szCs w:val="17"/>
          <w:color w:val="auto"/>
        </w:rPr>
        <w:t>” in our Annual Report on Form 10-K for the year ended December 31, 2021 and elsewhere in this Quarterly Report on Form 10-Q.</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are a leading lease-to-own provider with operations in the United States, Puerto Rico and Mexico. We provide a critical service for a large portion of underserved consumers by providing them with access to, and the opportunity to obtain ownership of, high-quality, durable products via small payments over time under a flexible lease-purchase agreement with no long-term debt obligation. Through our Rent-A-Center Business, we provide a fully integrated customer experience through our e-commerce platform and brick and mortar presence. Our Acima business offers lease-to-own solutions through retailers in stores and online enabling such retailers to grow sales by expanding their customer base utilizing our differentiated offering. We were incorporated in the State of Delaware in 1986, and our common stock is traded on the Nasdaq Global Select Market under the ticker symbol </w:t>
      </w:r>
      <w:r>
        <w:rPr>
          <w:rFonts w:ascii="Arial" w:cs="Arial" w:eastAsia="Arial" w:hAnsi="Arial"/>
          <w:sz w:val="16"/>
          <w:szCs w:val="16"/>
          <w:i w:val="1"/>
          <w:iCs w:val="1"/>
          <w:color w:val="auto"/>
        </w:rPr>
        <w:t>“</w:t>
      </w:r>
      <w:r>
        <w:rPr>
          <w:rFonts w:ascii="Arial" w:cs="Arial" w:eastAsia="Arial" w:hAnsi="Arial"/>
          <w:sz w:val="16"/>
          <w:szCs w:val="16"/>
          <w:color w:val="auto"/>
        </w:rPr>
        <w:t>RCII.</w:t>
      </w:r>
      <w:r>
        <w:rPr>
          <w:rFonts w:ascii="Arial" w:cs="Arial" w:eastAsia="Arial" w:hAnsi="Arial"/>
          <w:sz w:val="16"/>
          <w:szCs w:val="16"/>
          <w:i w:val="1"/>
          <w:iCs w:val="1"/>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focused on growing our business model through emphasis on the following key initiatives:</w:t>
      </w:r>
    </w:p>
    <w:p>
      <w:pPr>
        <w:spacing w:after="0" w:line="63" w:lineRule="exact"/>
        <w:rPr>
          <w:sz w:val="20"/>
          <w:szCs w:val="20"/>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executing on market opportunities and enhancing our competitive position across both traditional and virtual lease-to-own solutions;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accelerating the shift to e-commerce, expanding product categories, including into emerging product categories, and improving the fully integrated customer experience;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using technology to support frictionless retailer onboarding with seamless integration to retailers′ platforms;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to generate repeat business while expanding our potential customer base;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leveraging the integration of the Acima Holdings decision engine and expanding digital payments and communication channels;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generating favorable adjusted EBITDA margin and strong free cash flow to fund strategic priorities and deliver and return capital to shareholders.</w:t>
      </w:r>
    </w:p>
    <w:p>
      <w:pPr>
        <w:spacing w:after="0" w:line="14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we pursue our strategy, we may take advantage of merger and acquisition opportunities from time to time that advance our key initiatives, and engage in discussions regarding these opportunities, which could include mergers, consolidations or acquisitions or dispositions or other transactions, although there can be no assurance that any such activities will be consummated.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23, 2022, we announced that our board of directors approved a quarterly cash dividend of $0.34 per share for the first quarter of 2022. The dividend was paid on April 22, 2022 to our common stockholders of record as of the close of business on April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b w:val="1"/>
          <w:bCs w:val="1"/>
          <w:i w:val="1"/>
          <w:iCs w:val="1"/>
          <w:color w:val="auto"/>
        </w:rPr>
        <w:t>Business and Operational Trends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Beginning in the first quarter of 2020, the worldwide spread of COVID-19 caused significant disruptions to the U.S. and world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economies, as a result of U.S. state and local and foreign jurisdictions implementing various containment or mitigation measures, including temporary shelter-in-place orders and the temporary closure of non-essential businesses. Despite the availability of COVID-19 vaccines, the number of COVID-19 cases has increased at various times over the course of the pandemic resulting in certain governmental authorities imposing or re-imposing certain restrictions on businesses.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response to COVID-19, the U.S. government enacted the Coronavirus Aid, Relief, and Economic Security Act (the “CARES Act”), providing U.S. citizens and businesses with various stimulus and income tax relief benefits throughout 2020 and early 2021 to help offset immediate negative financial impacts sustained as a result of COVID-19. In addition, we proactively implemented certain response measures, including the implementation of certain cost savings initiatives following the onset of the pandemic and providing our Rent-A-Center Business and Acima customers with additional electronic payment methods to facilitate contactless transactions. These response measures resulted in improved customer payment behaviors contributing to higher revenues and lower merchandise losses in 2020 and the first half of 2021. However, in the third quarter of 2021 we began to see negative trends in customer behavior, payment and loss activity, which were accelerated in the fourth quarter of 2021, following the expiration of government stimulus and relief programs combined with a significant rise in the US consumer price index.</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Other Macroeconomic Conditions. </w:t>
      </w:r>
      <w:r>
        <w:rPr>
          <w:rFonts w:ascii="Arial" w:cs="Arial" w:eastAsia="Arial" w:hAnsi="Arial"/>
          <w:sz w:val="17"/>
          <w:szCs w:val="17"/>
          <w:color w:val="auto"/>
        </w:rPr>
        <w:t>In addition to the above, we believe that we have been impacted by other negative macroeconomic trends, including a</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labor market, wage inflation, and global supply chain issues resulting in reduced product availability and rising product costs.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lease-to-own industry has historically remained a resilient business model throughout various economic cycles, providing credit constrained customers with a viable option to obtain merchandise they may not otherwise be able to obtain, at this time we are unable to predict the full extent to which consumer spending behavior, or other macro-economic trends, may impact our business in future periods.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“Risk Factors” in Part I, Item 1A in our Annual Report on Form 10-K for the year ended December 31, 2021, for additional discussion of operational impacts to our business and additional risks associated with COVID-19 and these macroeconomic conditions.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focuses on our results of operations and our liquidity and capital resources. You should read this discussion in conjunction with the condensed consolidated financial statements and notes thereto for the three months ended March 31, 2022 included in Part I, Item I of this Quarterly Report on Form 10-Q.</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briefly summarizes certain of our financial information for the three months ended March 31, 2022 as compared to the three months ended March 31, 2021.</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three months of 2022, consolidated revenues increased approximately $122.9 million, primarily due to the acquisition of Acima Holdings. Operating profit decreased approximately $59.0 million for the three months ended March 31, 2022, primarily due to increased labor, other store expenses, and other charges described further below.</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in our Rent-A-Center Business segment decreased approximately $6.4 million for the three months ended March 31, 2022, primarily due to a decrease in same store sales. Operating profit decreased approximately $21.1 million for the three months ended March 31, 2022, primarily attributable to higher merchandise loss rates and increased labor expense.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Acima segment revenues increased approximately $141.9 million for the three months ended March 31, 2022, driven primarily by the acquisition of Acima Holdings. Operating profit decreased approximately $15.2 million for the three months ended March 31, 2022, primarily due to higher merchandise losses, partially offset by higher gross profit.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Mexico segment revenues increased by 8.4% for the three months ended March 31, 2022, contributing to an increase in gross profit of 8.7%, or $0.9 million. Operating profit increased $0.1 million for the three months ended March 31, 2022.</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for the Franchising segment decreased $13.8 million for the three months ended March 31, 2022, primarily due to lower inventory purchases per store. Operating profit decreased $0.2 million for the three months ended March 31, 2022.</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 from operations was $205.3 million for the three months ended March 31, 2022. As of March 31, 2022, we held $95.7 million of cash and cash equivalents and outstanding indebtedness of $1.44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is a reference for the discussion that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5"/>
        </w:trPr>
        <w:tc>
          <w:tcPr>
            <w:tcW w:w="6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r>
      <w:tr>
        <w:trPr>
          <w:trHeight w:val="188"/>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r>
      <w:tr>
        <w:trPr>
          <w:trHeight w:val="197"/>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Store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Rentals and fees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883,047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18.4 %</w:t>
            </w: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232,881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232,793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Installment sales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40.5 %</w:t>
            </w:r>
          </w:p>
        </w:tc>
      </w:tr>
      <w:tr>
        <w:trPr>
          <w:trHeight w:val="213"/>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store revenue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1,134,307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997,018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Franchise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13"/>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Royalty income and fees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2.8 %</w:t>
            </w:r>
          </w:p>
        </w:tc>
      </w:tr>
      <w:tr>
        <w:trPr>
          <w:trHeight w:val="213"/>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1,159,722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1,036,782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Store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Cost of rentals and fees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338,633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247,035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91,598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37.1 %</w:t>
            </w: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merchandise sold</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13"/>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Cost of installment sales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w:t>
            </w:r>
          </w:p>
        </w:tc>
      </w:tr>
      <w:tr>
        <w:trPr>
          <w:trHeight w:val="212"/>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 of store 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594,885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493,182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20.6 %</w:t>
            </w:r>
          </w:p>
        </w:tc>
      </w:tr>
      <w:tr>
        <w:trPr>
          <w:trHeight w:val="213"/>
        </w:trPr>
        <w:tc>
          <w:tcPr>
            <w:tcW w:w="66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Franchise cost of merchandise sold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(43.3)%</w:t>
            </w:r>
          </w:p>
        </w:tc>
      </w:tr>
      <w:tr>
        <w:trPr>
          <w:trHeight w:val="213"/>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 of revenues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613,627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526,259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16.6 %</w:t>
            </w:r>
          </w:p>
        </w:tc>
      </w:tr>
      <w:tr>
        <w:trPr>
          <w:trHeight w:val="206"/>
        </w:trPr>
        <w:tc>
          <w:tcPr>
            <w:tcW w:w="6600" w:type="dxa"/>
            <w:vAlign w:val="bottom"/>
          </w:tcPr>
          <w:p>
            <w:pPr>
              <w:ind w:left="2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546,095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510,523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35,572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Store expenses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Labor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Other store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227,369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170,133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57,236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33.6 %</w:t>
            </w:r>
          </w:p>
        </w:tc>
      </w:tr>
      <w:tr>
        <w:trPr>
          <w:trHeight w:val="219"/>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14.8 %</w:t>
            </w:r>
          </w:p>
        </w:tc>
      </w:tr>
      <w:tr>
        <w:trPr>
          <w:trHeight w:val="213"/>
        </w:trPr>
        <w:tc>
          <w:tcPr>
            <w:tcW w:w="66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charges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70,148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37.2 %</w:t>
            </w:r>
          </w:p>
        </w:tc>
      </w:tr>
      <w:tr>
        <w:trPr>
          <w:trHeight w:val="207"/>
        </w:trPr>
        <w:tc>
          <w:tcPr>
            <w:tcW w:w="6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535,052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440,477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94,575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21.5 %</w:t>
            </w:r>
          </w:p>
        </w:tc>
      </w:tr>
      <w:tr>
        <w:trPr>
          <w:trHeight w:val="213"/>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r>
      <w:tr>
        <w:trPr>
          <w:trHeight w:val="213"/>
        </w:trPr>
        <w:tc>
          <w:tcPr>
            <w:tcW w:w="6600" w:type="dxa"/>
            <w:vAlign w:val="bottom"/>
          </w:tcPr>
          <w:p>
            <w:pPr>
              <w:ind w:left="180"/>
              <w:spacing w:after="0"/>
              <w:rPr>
                <w:sz w:val="20"/>
                <w:szCs w:val="20"/>
                <w:color w:val="auto"/>
              </w:rPr>
            </w:pPr>
            <w:r>
              <w:rPr>
                <w:rFonts w:ascii="Arial" w:cs="Arial" w:eastAsia="Arial" w:hAnsi="Arial"/>
                <w:sz w:val="16"/>
                <w:szCs w:val="16"/>
                <w:color w:val="auto"/>
              </w:rPr>
              <w:t>Debt refinancing charges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18,925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58.8 %</w:t>
            </w:r>
          </w:p>
        </w:tc>
      </w:tr>
      <w:tr>
        <w:trPr>
          <w:trHeight w:val="206"/>
        </w:trPr>
        <w:tc>
          <w:tcPr>
            <w:tcW w:w="6600" w:type="dxa"/>
            <w:vAlign w:val="bottom"/>
          </w:tcPr>
          <w:p>
            <w:pPr>
              <w:ind w:left="400"/>
              <w:spacing w:after="0"/>
              <w:rPr>
                <w:sz w:val="20"/>
                <w:szCs w:val="20"/>
                <w:color w:val="auto"/>
              </w:rPr>
            </w:pPr>
            <w:r>
              <w:rPr>
                <w:rFonts w:ascii="Arial" w:cs="Arial" w:eastAsia="Arial" w:hAnsi="Arial"/>
                <w:sz w:val="16"/>
                <w:szCs w:val="16"/>
                <w:color w:val="auto"/>
              </w:rPr>
              <w:t>(Loss) earnings before income taxes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(7,882)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49,387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(57,269)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(116.0)%</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(benefit) expense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w:t>
            </w: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Net (loss) earnings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(110.0)%</w:t>
            </w:r>
          </w:p>
        </w:tc>
      </w:tr>
      <w:tr>
        <w:trPr>
          <w:trHeight w:val="21"/>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Store Revenue. </w:t>
      </w:r>
      <w:r>
        <w:rPr>
          <w:rFonts w:ascii="Arial" w:cs="Arial" w:eastAsia="Arial" w:hAnsi="Arial"/>
          <w:sz w:val="16"/>
          <w:szCs w:val="16"/>
          <w:color w:val="auto"/>
        </w:rPr>
        <w:t>Total store revenue increased by $137.3 million, or 13.8%, to $1,134.3 million for the three months ended March 31, 2022, from $997.0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2021. This increase was primarily due to increases of approximately $141.9 million in the Acima segment, partially offset by a decrease of $6.4 million in the Rent-A-Center Business segment, as discussed further in the section “Segment Performance” below.</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Rentals and Fees. </w:t>
      </w:r>
      <w:r>
        <w:rPr>
          <w:rFonts w:ascii="Arial" w:cs="Arial" w:eastAsia="Arial" w:hAnsi="Arial"/>
          <w:sz w:val="18"/>
          <w:szCs w:val="18"/>
          <w:color w:val="auto"/>
        </w:rPr>
        <w:t>Cost of rentals and fees consists primarily of depreciation of rental merchandise. Cost of rentals and fees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2022, increased by $91.6 million, or 37.1%, to $338.6 million as compared to $247.0 million in 2021. This increase in cost of rentals and fees was primarily attributable to increases of $87.1 million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$4.0 million in the Acima and Rent-A-Center Business segments, respectively. Cost of rentals and fees expressed as a percentage of rentals and fees revenue increased to 38.3% for the three months ended March 31, 2022 as compared to 33.1% in 2021.</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Merchandise Sold. </w:t>
      </w:r>
      <w:r>
        <w:rPr>
          <w:rFonts w:ascii="Arial" w:cs="Arial" w:eastAsia="Arial" w:hAnsi="Arial"/>
          <w:sz w:val="18"/>
          <w:szCs w:val="18"/>
          <w:color w:val="auto"/>
        </w:rPr>
        <w:t>Cost of merchandise sold increased by $10.2 million, or 4.3%, to $250.3 million for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from $240.1 million in 2021, primarily attributable to increases of $24.8 million in the Acima segment, partially offset by a decrease of $14.5 million in the Rent-A-Center Business segment, respectively. The gross margin percent of merchandise sales decreased to (7.5)% for the three months ended March 31, 2022, from (3.1)% in 2021.</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by $35.6 million, or 7.0%, to $546.1 million for the three months ended March 31, 2022, from $510.5 million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increases of $30.0 million and $4.2 million in the Acima and Rent-A-Center Business segments, respectively, as discussed further in the section “Segment Performance” below. Gross profit as a percentage of total revenue decreased to 47.1% for the three months ended March 31, 2022, as compared to 49.2% in 2021.</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Labor. </w:t>
      </w:r>
      <w:r>
        <w:rPr>
          <w:rFonts w:ascii="Arial" w:cs="Arial" w:eastAsia="Arial" w:hAnsi="Arial"/>
          <w:sz w:val="18"/>
          <w:szCs w:val="18"/>
          <w:color w:val="auto"/>
        </w:rPr>
        <w:t>Store labor increased by $9.9 million, or 6.3%, to $166.6 million, for the three months ended March 31, 2022, as compared to $156.7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2021, primarily attributable to increases of $1.0 million and $8.5 million in the Acima and Rent-A-Center Business segments, respectively, as discussed further in the section “Segment Performance” below. Store labor expressed as a percentage of total store revenue was 14.7% for the three months ended March 31, 2022, as compared to 15.7% in 2021.</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Other Store Expenses. </w:t>
      </w:r>
      <w:r>
        <w:rPr>
          <w:rFonts w:ascii="Arial" w:cs="Arial" w:eastAsia="Arial" w:hAnsi="Arial"/>
          <w:sz w:val="16"/>
          <w:szCs w:val="16"/>
          <w:color w:val="auto"/>
        </w:rPr>
        <w:t>Other store expenses increased by $57.3 million, to $227.4 million for the three months ended March 31, 2022,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$170.1 million in 2021, due to increases of $41.4 million and $15.2 million in the Acima and Rent-A-Center Business segments, respectively, primarily attributable to higher customer stolen merchandise loss rates, as discussed further in the section “Segment Performance” below. Other store expenses expressed as a percentage of total store revenue were 20.0% for the three months ended March 31, 2022, compared to 17.1% in 2021.</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by $7.3 million, or 14.8%, to $56.4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2022, as compared to $49.1 million in 2021, primarily due to higher labor overhead as a result of the acquisition of Acima Holdings. General and administrative expenses expressed as a percentage of total revenue were 4.9% for the three months ended March 31, 2022, compared to 4.7% in 2021.</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Other Charges. </w:t>
      </w:r>
      <w:r>
        <w:rPr>
          <w:rFonts w:ascii="Arial" w:cs="Arial" w:eastAsia="Arial" w:hAnsi="Arial"/>
          <w:sz w:val="17"/>
          <w:szCs w:val="17"/>
          <w:color w:val="auto"/>
        </w:rPr>
        <w:t>Other charges increased by $19.0 million, to $70.1 million for the three months ended March 31, 2022, as compared to $51.1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Other charges for the three months ended March 31, 2022 primarily included stock compensation expense related to the vesting of a portion of the equity consideration issued in the acquisition of Acima Holdings, depreciation and amortization of acquired software and intangible assets, software asset impairment, and employee severance. Other charges for the three months ended March 31, 2021 primarily included one-time transaction and integration costs, stock compensation expense related to equity consideration subject to vesting conditions, and depreciation and amortization of acquired software and intangible assets, related to the acquisition of Acima Holdings.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decreased by $59.0 million, to $11.0 million for the three months ended March 31, 2022, as compared to $70.0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2021, primarily due to the increases in other store expenses, other charges, and store labor, partially offset by the increase in gross profit, as described above. Operating profit expressed as a percentage of total revenue was 1.0% for the three months ended March 31, 2022, compared to 6.8% in 2021.</w:t>
      </w:r>
    </w:p>
    <w:p>
      <w:pPr>
        <w:spacing w:after="0" w:line="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Income tax expense for the three months ended March 31, 2022 was $(3.6) million, as compared to $6.8 million in 2021,</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 decrease in earnings before taxes of approximately $57.2 million. The effective tax rate was 46.2% for the three months ended March 31, 2022, compared to 13.8% in 2021, primarily due to the difference between recorded goodwill and goodwill recognized for tax purposes, as a result of the Aggregate Stock Consideration from the Acima Holdings transaction subject to restricted stock agreements. In addition, the effective tax rate for the three months ended March 31, 2021, was further impacted by discrete income tax items related to excess tax benefits from the vesting of our annual restricted stock award grants and stock option exercises, and the release of domestic and foreign tax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5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w:t>
            </w:r>
          </w:p>
        </w:tc>
      </w:tr>
      <w:tr>
        <w:trPr>
          <w:trHeight w:val="211"/>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518,505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524,866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8"/>
                <w:szCs w:val="18"/>
                <w:color w:val="auto"/>
              </w:rPr>
            </w:pPr>
          </w:p>
        </w:tc>
        <w:tc>
          <w:tcPr>
            <w:tcW w:w="960" w:type="dxa"/>
            <w:vAlign w:val="bottom"/>
          </w:tcPr>
          <w:p>
            <w:pPr>
              <w:ind w:left="360"/>
              <w:spacing w:after="0"/>
              <w:rPr>
                <w:sz w:val="20"/>
                <w:szCs w:val="20"/>
                <w:color w:val="auto"/>
              </w:rPr>
            </w:pPr>
            <w:r>
              <w:rPr>
                <w:rFonts w:ascii="Arial" w:cs="Arial" w:eastAsia="Arial" w:hAnsi="Arial"/>
                <w:sz w:val="16"/>
                <w:szCs w:val="16"/>
                <w:color w:val="auto"/>
              </w:rPr>
              <w:t>363,380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359,169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100,176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121,277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3"/>
        </w:trPr>
        <w:tc>
          <w:tcPr>
            <w:tcW w:w="5860" w:type="dxa"/>
            <w:vAlign w:val="bottom"/>
          </w:tcPr>
          <w:p>
            <w:pPr>
              <w:ind w:left="180"/>
              <w:spacing w:after="0"/>
              <w:rPr>
                <w:sz w:val="20"/>
                <w:szCs w:val="20"/>
                <w:color w:val="auto"/>
              </w:rPr>
            </w:pPr>
            <w:r>
              <w:rPr>
                <w:rFonts w:ascii="Arial" w:cs="Arial" w:eastAsia="Arial" w:hAnsi="Arial"/>
                <w:sz w:val="16"/>
                <w:szCs w:val="16"/>
                <w:color w:val="auto"/>
              </w:rPr>
              <w:t>Change in same store revenue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58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Stores in same store revenue calculation</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1,757</w:t>
            </w:r>
          </w:p>
        </w:tc>
      </w:tr>
    </w:tbl>
    <w:p>
      <w:pPr>
        <w:spacing w:after="0" w:line="80" w:lineRule="exact"/>
        <w:rPr>
          <w:sz w:val="20"/>
          <w:szCs w:val="20"/>
          <w:color w:val="auto"/>
        </w:rPr>
      </w:pPr>
    </w:p>
    <w:p>
      <w:pPr>
        <w:ind w:right="40" w:firstLine="8"/>
        <w:spacing w:after="0" w:line="273" w:lineRule="auto"/>
        <w:tabs>
          <w:tab w:leader="none" w:pos="127"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30th full month following account transfer. Due to the COVID-19 pandemic and related temporary store closures, all 32 stores in Puerto Rico were excluded starting in March 2020 through March 2022.</w:t>
      </w:r>
    </w:p>
    <w:p>
      <w:pPr>
        <w:spacing w:after="0" w:line="2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The decrease in revenue for the three months ended March 31, 2022, as compared to 2021, was primarily due to a decrease in same store sales</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driven by lower merchandise sales stemming from the lapse of government stimulus programs and the increase in U.S. consumer price index.</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for the three months ended March 31, 2022, as compared to 2021, driven primarily by an increase in rental and fee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combined with lower merchandise sales. Gross profit as a percentage of segment revenues was 70.1% for the three months ended March 31, 2022, as compared to 68.4% for the corresponding period in 2021.</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as a percentage of segment revenues was 19.3% for the three months ended March 31, 2022, compared to 23.1%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period in 2021. The decrease in operating margin for the three months ended March 31, 2022, as compared to 2021, was driven primarily by the decrease in revenues described above, in addition to higher loss rates and higher labor expense. Charge-offs in our Rent-A-Center Business lease-to-own stores due to customer stolen merchandise, expressed as a percentage of Rent-A-Center Business lease-to-own revenues, were approximately 3.9% for the three months ended March 31, 2022, compared to 2.7% for the corresponding period in 2021. Charge-offs in our Rent-A-Center Business lease-to-own stores due to other merchandise losses, expressed as a percentage of Rent-A-Center Business lease-to-own revenues, were approximately 1.7% for the three months ended March 31, 2022, compared to approximately 1.3% for the corresponding period in 2021. Other merchandise losses include unrepairable and missing merchandise, and loss/damage waiver claims.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Acima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4"/>
        </w:trPr>
        <w:tc>
          <w:tcPr>
            <w:tcW w:w="5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r>
      <w:tr>
        <w:trPr>
          <w:trHeight w:val="188"/>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w:t>
            </w:r>
          </w:p>
        </w:tc>
      </w:tr>
      <w:tr>
        <w:trPr>
          <w:trHeight w:val="211"/>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599,377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457,449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141,928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31.0 %</w:t>
            </w: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164,228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134,250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22.3 %</w:t>
            </w: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9,600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 for the three months ended March 31, 2022 compared to 2021, was driven primarily by the acquisition of Acima</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as a percentage of segment revenues decreased to 27.4% for the three months ended March 31, 2022, compared to 29.3%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period in 2021. Gross profit margin decreased for the three months ended March 31, 2022, compared to 2021, primarily due to a higher mix of rental agreements generated from our virtual business model, driven by the acquisition of Acima Holdings.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as a percentage of segment revenues decreased to 1.6% for the three months ended March 31, 2022, compared to 5.4%</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corresponding period in 2021. Operating profit margin decreased for the three months ended March 31, 2022, as compared to 2021, primarily due to the acquisition of Acima Holdings, including amortization of acquired software and intangible assets, and higher merchandise losses, partially offset by higher revenues. Charge-offs in our Acima locations due to customer stolen merchandise, expressed as a percentage of revenues, were approximately 12.6% for the three months ended March 31, 2022, compared to 8.6% for the corresponding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ind w:right="20"/>
        <w:spacing w:after="0" w:line="277" w:lineRule="auto"/>
        <w:rPr>
          <w:sz w:val="20"/>
          <w:szCs w:val="20"/>
          <w:color w:val="auto"/>
        </w:rPr>
      </w:pPr>
      <w:r>
        <w:rPr>
          <w:rFonts w:ascii="Arial" w:cs="Arial" w:eastAsia="Arial" w:hAnsi="Arial"/>
          <w:sz w:val="18"/>
          <w:szCs w:val="18"/>
          <w:color w:val="auto"/>
        </w:rPr>
        <w:t>Charge-offs in our Acima locations due to other merchandise losses, expressed as a percentage of revenues, were approximately 0.1% for the three months ended March 31, 2022, compared to 0.4% for the corresponding period in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r>
      <w:tr>
        <w:trPr>
          <w:trHeight w:val="188"/>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w:t>
            </w:r>
          </w:p>
        </w:tc>
      </w:tr>
      <w:tr>
        <w:trPr>
          <w:trHeight w:val="211"/>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8.7 %</w:t>
            </w: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13"/>
        </w:trPr>
        <w:tc>
          <w:tcPr>
            <w:tcW w:w="5860" w:type="dxa"/>
            <w:vAlign w:val="bottom"/>
          </w:tcPr>
          <w:p>
            <w:pPr>
              <w:ind w:left="180"/>
              <w:spacing w:after="0"/>
              <w:rPr>
                <w:sz w:val="20"/>
                <w:szCs w:val="20"/>
                <w:color w:val="auto"/>
              </w:rPr>
            </w:pPr>
            <w:r>
              <w:rPr>
                <w:rFonts w:ascii="Arial" w:cs="Arial" w:eastAsia="Arial" w:hAnsi="Arial"/>
                <w:sz w:val="16"/>
                <w:szCs w:val="16"/>
                <w:color w:val="auto"/>
              </w:rPr>
              <w:t>Change in same store revenue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7.6 %</w:t>
            </w:r>
          </w:p>
        </w:tc>
      </w:tr>
      <w:tr>
        <w:trPr>
          <w:trHeight w:val="219"/>
        </w:trPr>
        <w:tc>
          <w:tcPr>
            <w:tcW w:w="58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Stores in same store revenue calculation</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108</w:t>
            </w:r>
          </w:p>
        </w:tc>
      </w:tr>
    </w:tbl>
    <w:p>
      <w:pPr>
        <w:spacing w:after="0" w:line="80" w:lineRule="exact"/>
        <w:rPr>
          <w:sz w:val="20"/>
          <w:szCs w:val="20"/>
          <w:color w:val="auto"/>
        </w:rPr>
      </w:pPr>
    </w:p>
    <w:p>
      <w:pPr>
        <w:ind w:right="40" w:firstLine="8"/>
        <w:spacing w:after="0" w:line="276" w:lineRule="auto"/>
        <w:tabs>
          <w:tab w:leader="none" w:pos="127" w:val="left"/>
        </w:tabs>
        <w:numPr>
          <w:ilvl w:val="0"/>
          <w:numId w:val="15"/>
        </w:numPr>
        <w:rPr>
          <w:rFonts w:ascii="Arial" w:cs="Arial" w:eastAsia="Arial" w:hAnsi="Arial"/>
          <w:sz w:val="14"/>
          <w:szCs w:val="14"/>
          <w:color w:val="auto"/>
          <w:vertAlign w:val="superscript"/>
        </w:rPr>
      </w:pPr>
      <w:r>
        <w:rPr>
          <w:rFonts w:ascii="Arial" w:cs="Arial" w:eastAsia="Arial" w:hAnsi="Arial"/>
          <w:sz w:val="11"/>
          <w:szCs w:val="11"/>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were negatively impacted by exchange rate fluctuations of approximately $0.2 million for the three months ended March 31, 2022,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in 2021. On a constant currency basis, revenues for the three months ended March 31, 2022 increased approximately $1.4 million, compared to the same periods in 2021.</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negatively impacted by exchange rate fluctuations of approximately $0.1 million for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same periods in 2021. On a constant currency basis, gross profit for the three months ended March 31, 2022 increased by approximately $1.0 million as compared to the same periods in 2021. Gross profit as a percentage of segment revenues was 70.7% for the three months ended March 31, 2022, compared to 70.4% for the corresponding period in 2021.</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for the three months ended March 31, 2022 was minimally impacted by exchange rate fluctuations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2021. Operating profit as a percentage of segment revenues increased to 13.1% for the three months ended March 31, 2022, compared to 13.5% for the corresponding periods in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5"/>
        </w:trPr>
        <w:tc>
          <w:tcPr>
            <w:tcW w:w="5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r>
      <w:tr>
        <w:trPr>
          <w:trHeight w:val="188"/>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w:t>
            </w:r>
          </w:p>
        </w:tc>
      </w:tr>
      <w:tr>
        <w:trPr>
          <w:trHeight w:val="211"/>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26,128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39,969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7,386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6,892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4,790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decreased for the three months ended March 31, 2022 compared to the corresponding period in 2021, primarily due to lower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by franchisees.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as a percentage of segment revenues was 28.3% for the three months ended March 31, 2022, compared to 17.2%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period in 2021. The increase for the three months ended March 31, 2022 was primarily due to a higher percentage of royalty income and fees included in revenues, compared to the corresponding period in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as a percentage of segment revenues was 18.3%, for the three months ended March 31, 2022 compared to 12.5%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period in 2021. The increase for the three months ended March 31, 2022, compared to the corresponding period in 2021 was primarily due to a higher percentage of royalty income and fees included in revenues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For the three months ended March 31, 2022, we generated $205.3 million in operating cash flow. We paid down debt by $172.2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cash generated from operations and also used cash in the amount of $21.1 million for dividends and $16.4 million for capital expenditures. We ended the first quarter of 2022 with $95.7 million of cash and cash equivalents and outstanding indebtedness of $1.44 billion.</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Analysis of Cash Flow. </w:t>
      </w:r>
      <w:r>
        <w:rPr>
          <w:rFonts w:ascii="Arial" w:cs="Arial" w:eastAsia="Arial" w:hAnsi="Arial"/>
          <w:sz w:val="18"/>
          <w:szCs w:val="18"/>
          <w:color w:val="auto"/>
        </w:rPr>
        <w:t>Cash provided by operating activities increased by $69.5 million to $205.3 million for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from $135.8 million in 2021, primarily due to lower inventory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Cash used in investing activities was $16.7 million for the three months ended March 31, 2022, compared to $1,279.3 million in 2021, a change of $1,296.6 million, primarily due to the acquisition of Acima Holdings in February 2021.</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(used in) provided by financing activities was $(201.3) million for the three months ended March 31, 2022, compared to $1,107.3 million in 2021, representing a change of $1,308.6 million, primarily due to debt proceeds of $1.5 billion received in the first quarter of 2021 used to fund the acquisition of Acima Holdings in February 2021, partially offset by debt issuance costs of $46.1 million paid in the first quarter of 2021 in connection with the receipt of debt proceeds, in addition to lower debt repayments of $135.3 million for the three months ended March 31, 2022 compared to the same period in 2021.</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Liquidity Requirements</w:t>
      </w:r>
      <w:r>
        <w:rPr>
          <w:rFonts w:ascii="Arial" w:cs="Arial" w:eastAsia="Arial" w:hAnsi="Arial"/>
          <w:sz w:val="18"/>
          <w:szCs w:val="18"/>
          <w:color w:val="auto"/>
        </w:rPr>
        <w:t>. Our primary liquidity requirements are for rental merchandise purchases. Other capital requirements include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assets, debt service, and dividends. Our primary sources of liquidity have been cash provided by operations.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12 months. At April 27, 2022, we had approximately $104.5 million in cash on hand, and $343.6 million available under our ABL Credit Facility.</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Certain federal tax legislation enacted during the period 2009 to 2017 permitted bonus first-year depreciation deductions ranging from 50%</w:t>
      </w:r>
      <w:r>
        <w:rPr>
          <w:rFonts w:ascii="Arial" w:cs="Arial" w:eastAsia="Arial" w:hAnsi="Arial"/>
          <w:sz w:val="18"/>
          <w:szCs w:val="18"/>
          <w:i w:val="1"/>
          <w:iCs w:val="1"/>
          <w:color w:val="auto"/>
        </w:rPr>
        <w:t xml:space="preserve"> </w:t>
      </w:r>
      <w:r>
        <w:rPr>
          <w:rFonts w:ascii="Arial" w:cs="Arial" w:eastAsia="Arial" w:hAnsi="Arial"/>
          <w:sz w:val="18"/>
          <w:szCs w:val="18"/>
          <w:color w:val="auto"/>
        </w:rPr>
        <w:t>to 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Cuts and Jobs Act of 2017 (“Tax Act”). The Tax Act allows 100% bonus depreciation for certain property placed in service between September 27, 2017 and December 31, 2022, at which point it will begin to phase out. The bonus depreciation provided by the Tax Act resulted in an estimated benefit of $349 million for us in 2021. We estimate the remaining tax deferral associated with bonus depreciation from these Acts is approximately $402 million at December 31, 2021, of which approximately 80%, or $320 million, will reverse in 2022, and the majority of the remainder will reverse between 2023 and 2024.</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 Losses</w:t>
      </w:r>
      <w:r>
        <w:rPr>
          <w:rFonts w:ascii="Arial" w:cs="Arial" w:eastAsia="Arial" w:hAnsi="Arial"/>
          <w:sz w:val="18"/>
          <w:szCs w:val="18"/>
          <w:color w:val="auto"/>
        </w:rPr>
        <w:t>. Merchandise losses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60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224"/>
        </w:trPr>
        <w:tc>
          <w:tcPr>
            <w:tcW w:w="76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Customer stolen merchandise</w:t>
            </w:r>
            <w:r>
              <w:rPr>
                <w:rFonts w:ascii="Arial" w:cs="Arial" w:eastAsia="Arial" w:hAnsi="Arial"/>
                <w:sz w:val="23"/>
                <w:szCs w:val="23"/>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56,588</w:t>
            </w:r>
          </w:p>
        </w:tc>
      </w:tr>
      <w:tr>
        <w:trPr>
          <w:trHeight w:val="229"/>
        </w:trPr>
        <w:tc>
          <w:tcPr>
            <w:tcW w:w="76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merchandise losses</w:t>
            </w:r>
            <w:r>
              <w:rPr>
                <w:rFonts w:ascii="Arial" w:cs="Arial" w:eastAsia="Arial" w:hAnsi="Arial"/>
                <w:sz w:val="23"/>
                <w:szCs w:val="23"/>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8,674</w:t>
            </w: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merchandise losses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65,262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260" w:hanging="171"/>
        <w:spacing w:after="0" w:line="226" w:lineRule="auto"/>
        <w:tabs>
          <w:tab w:leader="none" w:pos="252"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Increase in customer stolen merchandise in 2022 is primarily due to the increase in customer stolen merchandise loss rates for the three months ended March 31, 2022 compared to the corresponding period in 2021, as described in the Results of Operations section above. In addition, the increase is partly attributable to the timing of the acquisition of Acima Holdings on February 17, 2021, resulting in a partial period of losses for the first quarter of 2021.</w:t>
      </w:r>
    </w:p>
    <w:p>
      <w:pPr>
        <w:ind w:left="240" w:hanging="151"/>
        <w:spacing w:after="0" w:line="195" w:lineRule="auto"/>
        <w:tabs>
          <w:tab w:leader="none" w:pos="2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Other merchandise losses include unrepairable and missing merchandise, and loss/damage waiver claims.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We make capital expenditures in order to maintain our existing operations, acquire new capital assets in new and acquired stores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information technology. We spent $16.4 million and $11.4 million on capital expenditures during the three months ended March 31, 2022 and 2021, respectively.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Acquisitions and New Location Openings. </w:t>
      </w:r>
      <w:r>
        <w:rPr>
          <w:rFonts w:ascii="Arial" w:cs="Arial" w:eastAsia="Arial" w:hAnsi="Arial"/>
          <w:sz w:val="18"/>
          <w:szCs w:val="18"/>
          <w:color w:val="auto"/>
        </w:rPr>
        <w:t>During the first three months of 2022, we acquired one rent-to-own store location and customer accounts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purchase price of approximately $0.3 million. The store location was closed upon acquisition and consolidated into existing store operations in our Rent-A-Center Business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p>
      <w:pPr>
        <w:ind w:right="20"/>
        <w:spacing w:after="0" w:line="277" w:lineRule="auto"/>
        <w:rPr>
          <w:sz w:val="20"/>
          <w:szCs w:val="20"/>
          <w:color w:val="auto"/>
        </w:rPr>
      </w:pPr>
      <w:r>
        <w:rPr>
          <w:rFonts w:ascii="Arial" w:cs="Arial" w:eastAsia="Arial" w:hAnsi="Arial"/>
          <w:sz w:val="18"/>
          <w:szCs w:val="18"/>
          <w:color w:val="auto"/>
        </w:rPr>
        <w:t>The table below summarizes the store location activity for the three-month period ended March 31, 2022 for our Rent-A-Center Business, Mexico and Franchising operating segments.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280" w:type="dxa"/>
            <w:vAlign w:val="bottom"/>
          </w:tcPr>
          <w:p>
            <w:pPr>
              <w:spacing w:after="0"/>
              <w:rPr>
                <w:sz w:val="14"/>
                <w:szCs w:val="14"/>
                <w:color w:val="auto"/>
              </w:rPr>
            </w:pPr>
          </w:p>
        </w:tc>
        <w:tc>
          <w:tcPr>
            <w:tcW w:w="13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Mexico</w:t>
            </w: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28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Locations at beginning of period</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New location openings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Closed locations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Merged with existing locations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600" w:type="dxa"/>
            <w:vAlign w:val="bottom"/>
          </w:tcPr>
          <w:p>
            <w:pPr>
              <w:ind w:left="360"/>
              <w:spacing w:after="0"/>
              <w:rPr>
                <w:sz w:val="20"/>
                <w:szCs w:val="20"/>
                <w:color w:val="auto"/>
              </w:rPr>
            </w:pPr>
            <w:r>
              <w:rPr>
                <w:rFonts w:ascii="Arial" w:cs="Arial" w:eastAsia="Arial" w:hAnsi="Arial"/>
                <w:sz w:val="18"/>
                <w:szCs w:val="18"/>
                <w:color w:val="auto"/>
              </w:rPr>
              <w:t>Sold or closed with no surviving location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ind w:left="90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Locations at end of period</w:t>
            </w:r>
            <w:r>
              <w:rPr>
                <w:rFonts w:ascii="Arial" w:cs="Arial" w:eastAsia="Arial" w:hAnsi="Arial"/>
                <w:sz w:val="23"/>
                <w:szCs w:val="23"/>
                <w:color w:val="auto"/>
                <w:vertAlign w:val="superscript"/>
              </w:rPr>
              <w:t>(1)</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w w:val="99"/>
              </w:rPr>
              <w:t>Acquired locations closed and accounts merged with existing locations</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approximate purchase price of acquired stores </w:t>
            </w:r>
            <w:r>
              <w:rPr>
                <w:rFonts w:ascii="Arial" w:cs="Arial" w:eastAsia="Arial" w:hAnsi="Arial"/>
                <w:sz w:val="18"/>
                <w:szCs w:val="18"/>
                <w:i w:val="1"/>
                <w:iCs w:val="1"/>
                <w:color w:val="auto"/>
              </w:rPr>
              <w:t>(in millions)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5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Does not include locations in our Acima segment.</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Senior Debt. </w:t>
      </w:r>
      <w:r>
        <w:rPr>
          <w:rFonts w:ascii="Arial" w:cs="Arial" w:eastAsia="Arial" w:hAnsi="Arial"/>
          <w:sz w:val="18"/>
          <w:szCs w:val="18"/>
          <w:color w:val="auto"/>
        </w:rPr>
        <w:t>On February 17, 2021, we entered into a credit agreement with JPMorgan Chase Bank, N.A., as administrative agent, and lenders party</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reserves. The ABL Credit Facility bears interest at a fluctuating rate determined by reference to the eurodollar rate plus an applicable margin of 1.50% to 2.00%, which margin, as of April 27, 2022, was 2.250%.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17, 2021, we also entered into a term loan credit agreement with JPMorgan Chase Bank, N.A., as administrative agent, and lenders party thereto, that provides for a seven-year $875 million senior secured term loan facility (as amended on September 21, 2021,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eurodollar rate plus an applicable margin of 3.25%, subject to a 0.50% LIBOR floor. 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the Company and the subsidiary guarantors, other than the ABL Priority Collateral, and by a second-priority security interest in the ABL Priority Collateral, subject to certain exceptions. The obligations under the Term Loan Facility are guaranteed by the Company and the Company’s material wholly-owned domestic restricted subsidiaries that also guarantee the ABL Credit Facility.</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 Loan Facility was fully drawn at the closing of the Acima Holdings acquisition to fund a portion of the Aggregate Cash Consideration, repay certain of our and our subsidiaries' outstanding indebtedness, repay all outstanding indebtedness of Acima and its subsidiaries and pay certain fees and expenses incurred in connection with the Acima Holdings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color w:val="auto"/>
        </w:rPr>
        <w:t>At April 27, 2022, we had outstanding borrowings of $866.3 million under our Term Loan Facility and available commitments of $343.6 million under our ABL Credit Facility, net of letters of credit.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7 of our condensed consolidated financial statements included in this report for additional information regarding our senior debt.</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Senior Notes</w:t>
      </w:r>
      <w:r>
        <w:rPr>
          <w:rFonts w:ascii="Arial" w:cs="Arial" w:eastAsia="Arial" w:hAnsi="Arial"/>
          <w:sz w:val="16"/>
          <w:szCs w:val="16"/>
          <w:color w:val="auto"/>
        </w:rPr>
        <w:t>. On February 17, 2021, we issued $450.0 million in senior unsecured notes due February 15, 2029, at par value, bearing interest at 6.375%</w:t>
      </w:r>
      <w:r>
        <w:rPr>
          <w:rFonts w:ascii="Arial" w:cs="Arial" w:eastAsia="Arial" w:hAnsi="Arial"/>
          <w:sz w:val="16"/>
          <w:szCs w:val="16"/>
          <w:i w:val="1"/>
          <w:iCs w:val="1"/>
          <w:color w:val="auto"/>
        </w:rPr>
        <w:t xml:space="preserve"> </w:t>
      </w:r>
      <w:r>
        <w:rPr>
          <w:rFonts w:ascii="Arial" w:cs="Arial" w:eastAsia="Arial" w:hAnsi="Arial"/>
          <w:sz w:val="16"/>
          <w:szCs w:val="16"/>
          <w:color w:val="auto"/>
        </w:rPr>
        <w:t>(the “Notes”), the proceeds of which were used to fund a portion of the Aggregate Cash Consideration upon closing of the Acima Holdings acquisition. Interest on the Notes is payable in arrears on February 15 and August 15 of each year, beginning on August 15, 2021. 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it will be required to offer to purchase the Notes at a price equal to 101% of the principal amount thereof plus accrued and unpaid interest.</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lease space for all of our Rent-A-Center Business and Mexico stores under operating leases expiring at various times through 2030.</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March 31, 2022, our total remaining obligation for existing store lease contracts was approximately $335.7 million.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lease vehicles for all of our Rent-A-Center Business stores under operating leases with lease terms expiring 12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March 31, 2022, our total remaining minimum obligation for existing Rent-A-Center Business vehicle lease contracts was approximately $0.3 million.</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also lease vehicles for all of our Mexico stores which have terms expiring at various times through 2026 with rental rates adjusted periodically for inflation. As of March 31, 2022, our total remaining obligation for existing Mexico vehicle lease contracts was approximately $1.2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5 of our condensed consolidated financial statements included in this report for additional discussion of our store operating leases.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Uncertain Tax Position. </w:t>
      </w:r>
      <w:r>
        <w:rPr>
          <w:rFonts w:ascii="Arial" w:cs="Arial" w:eastAsia="Arial" w:hAnsi="Arial"/>
          <w:sz w:val="18"/>
          <w:szCs w:val="18"/>
          <w:color w:val="auto"/>
        </w:rPr>
        <w:t>As of March 31, 2022, we have recorded $6.5 million in uncertain tax positions. Although these positions represent a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liability to us, the amounts and timing of such payments are uncertain.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revenue mix is moderately seasonal, with the first quarter of each fiscal year generally providing higher merchandise sales than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during a fiscal year. Generally, our customers will more frequently exercise the early purchase option on their existing lease purchase agreements or purchase pre-leased merchandise off the showroom floor during the first quarter of each fiscal year, primarily due to the receipt of federal income tax refunds.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we adopt as of the specified effective date. As of March 31, 2022, we believe the impact of any recently issued standards that are not yet effective are either not applicable to us at this time, or will not have a material impact on our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March 31, 2022, we had $450 million in Notes outstanding at a fixed interest rate of 6.375%. We also had $866.2 million outstanding under the Term Loan Facility and $120.0 million outstanding under our ABL Credit Facility, each at interest rates indexed to the Eurodollar rate or the prime rate. Carrying value approximates fair value for such indebtedness. Based on our overall interest rate exposure at March 31, 2022, a hypothetical 1.0% increase or decrease in market interest rates would have the effect of causing an additional $10.0 million additional annualized pre-tax charge or credit to our condensed consolidated statement of operations. We have not entered into any interest rate swap agreements as of March 31, 2022.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In accordance with Rule 13a-15(b) under the Securities Exchange Act of 1934, an evaluation was performed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March 31, 2022, our disclosure controls and procedures (as defined in Rules 13a– 15(e) and 15d–15(e) under the Securities Exchange Act of 1934) were effective.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Changes in internal controls over financial reporting</w:t>
      </w:r>
      <w:r>
        <w:rPr>
          <w:rFonts w:ascii="Arial" w:cs="Arial" w:eastAsia="Arial" w:hAnsi="Arial"/>
          <w:sz w:val="18"/>
          <w:szCs w:val="18"/>
          <w:color w:val="auto"/>
        </w:rPr>
        <w:t>. For the quarter ended March 31, 2022, there have been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defined in Rule 13a-15(f) under the Securities Exchange Act of 1934)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 Please see Note 13 of our condensed consolidated financial statements included in this report for additional discussion of certain of our legal proceedings.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of Part 1, “Risk Factors” of our Annual Report on Form 10-K for the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50"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5"/>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1"/>
                <w:szCs w:val="21"/>
                <w:color w:val="auto"/>
              </w:rPr>
            </w:pPr>
          </w:p>
        </w:tc>
        <w:tc>
          <w:tcPr>
            <w:tcW w:w="9960" w:type="dxa"/>
            <w:vAlign w:val="bottom"/>
            <w:gridSpan w:val="23"/>
          </w:tcPr>
          <w:p>
            <w:pPr>
              <w:spacing w:after="0"/>
              <w:rPr>
                <w:rFonts w:ascii="Arial" w:cs="Arial" w:eastAsia="Arial" w:hAnsi="Arial"/>
                <w:sz w:val="18"/>
                <w:szCs w:val="18"/>
                <w:color w:val="0000FF"/>
                <w:w w:val="97"/>
              </w:rPr>
            </w:pPr>
            <w:hyperlink r:id="rId45">
              <w:r>
                <w:rPr>
                  <w:rFonts w:ascii="Arial" w:cs="Arial" w:eastAsia="Arial" w:hAnsi="Arial"/>
                  <w:sz w:val="18"/>
                  <w:szCs w:val="18"/>
                  <w:color w:val="0000FF"/>
                  <w:w w:val="97"/>
                </w:rPr>
                <w:t>Certificate of Incorporation of Rent-A-Center, Inc., as amended (incorporated herein by reference to Exhibit 3.1 to the registrant's</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Current Report on Form 8-K dated as of December 31, 2002)</w:t>
              </w:r>
            </w:hyperlink>
          </w:p>
        </w:tc>
        <w:tc>
          <w:tcPr>
            <w:tcW w:w="55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8"/>
              </w:rPr>
            </w:pPr>
            <w:hyperlink r:id="rId46">
              <w:r>
                <w:rPr>
                  <w:rFonts w:ascii="Arial" w:cs="Arial" w:eastAsia="Arial" w:hAnsi="Arial"/>
                  <w:sz w:val="18"/>
                  <w:szCs w:val="18"/>
                  <w:color w:val="0000FF"/>
                  <w:w w:val="98"/>
                </w:rPr>
                <w:t>Certificate of Amendment to the Certificate of Incorporation of Rent-A-Center, Inc., dated May 19, 2004 (incorporated herein by</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reference to Exhibit 3.2 to the registrant's Quarterly Report on Form 10-Q for the quarter ended June 30, 2004)</w:t>
              </w:r>
            </w:hyperlink>
          </w:p>
        </w:tc>
        <w:tc>
          <w:tcPr>
            <w:tcW w:w="4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3.3</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9"/>
              </w:rPr>
            </w:pPr>
            <w:hyperlink r:id="rId47">
              <w:r>
                <w:rPr>
                  <w:rFonts w:ascii="Arial" w:cs="Arial" w:eastAsia="Arial" w:hAnsi="Arial"/>
                  <w:sz w:val="18"/>
                  <w:szCs w:val="18"/>
                  <w:color w:val="0000FF"/>
                  <w:w w:val="99"/>
                </w:rPr>
                <w:t>Certificate of Amendment to the Certificate of Incorporation of Rent-A-Center, Inc., dated June 8, 2021 (incorporated herein by</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reference to Exhibit 3.1 to the registrant's Current Report on Form 8-K dated as of June 8, 2021)</w:t>
              </w:r>
            </w:hyperlink>
          </w:p>
        </w:tc>
        <w:tc>
          <w:tcPr>
            <w:tcW w:w="29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3.4</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5"/>
              </w:rPr>
            </w:pPr>
            <w:hyperlink r:id="rId48">
              <w:r>
                <w:rPr>
                  <w:rFonts w:ascii="Arial" w:cs="Arial" w:eastAsia="Arial" w:hAnsi="Arial"/>
                  <w:sz w:val="18"/>
                  <w:szCs w:val="18"/>
                  <w:color w:val="0000FF"/>
                  <w:w w:val="95"/>
                </w:rPr>
                <w:t>Certificate of Designations of Series D Preferred Stock of Rent-A-Center, Inc. (incorporated herein by reference to Exhibit 3.1 to the</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registrant's Current Report on Form 8-K dated as of March 29, 2017)</w:t>
              </w:r>
            </w:hyperlink>
          </w:p>
        </w:tc>
        <w:tc>
          <w:tcPr>
            <w:tcW w:w="4920" w:type="dxa"/>
            <w:vAlign w:val="bottom"/>
            <w:tcBorders>
              <w:top w:val="single" w:sz="8" w:color="0000FF"/>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3.5</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7"/>
              </w:rPr>
            </w:pPr>
            <w:hyperlink r:id="rId49">
              <w:r>
                <w:rPr>
                  <w:rFonts w:ascii="Arial" w:cs="Arial" w:eastAsia="Arial" w:hAnsi="Arial"/>
                  <w:sz w:val="18"/>
                  <w:szCs w:val="18"/>
                  <w:color w:val="0000FF"/>
                  <w:w w:val="97"/>
                </w:rPr>
                <w:t>Amended and Restated Bylaws of Rent-A-Center, Inc. (incorporated herein by reference to Exhibit 3.2 to the registrant's Current</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Report on Form 8-K dated as of December 1, 2020)</w:t>
              </w:r>
            </w:hyperlink>
          </w:p>
        </w:tc>
        <w:tc>
          <w:tcPr>
            <w:tcW w:w="61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Form of Certificate evidencing Common Stock (Incorporated herein by reference to Exhibit 4.1 to the registrant's Current Report on</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0">
              <w:r>
                <w:rPr>
                  <w:rFonts w:ascii="Arial" w:cs="Arial" w:eastAsia="Arial" w:hAnsi="Arial"/>
                  <w:sz w:val="18"/>
                  <w:szCs w:val="18"/>
                  <w:color w:val="0000FF"/>
                </w:rPr>
                <w:t>Form 10-Q dated as of March 31, 2017.)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8"/>
              </w:rPr>
            </w:pPr>
            <w:hyperlink r:id="rId51">
              <w:r>
                <w:rPr>
                  <w:rFonts w:ascii="Arial" w:cs="Arial" w:eastAsia="Arial" w:hAnsi="Arial"/>
                  <w:sz w:val="18"/>
                  <w:szCs w:val="18"/>
                  <w:color w:val="0000FF"/>
                  <w:w w:val="98"/>
                </w:rPr>
                <w:t>Indenture, dated as of February 17, 2021, by and between Radiant Funding SPV, LLC and Truist Bank (Incorporated herein by</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reference to Exhibit 4.1 to the registrant's Current Report on Form 8-K dated as of February 17, 2021.)</w:t>
              </w:r>
            </w:hyperlink>
          </w:p>
        </w:tc>
        <w:tc>
          <w:tcPr>
            <w:tcW w:w="244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4"/>
              </w:rPr>
            </w:pPr>
            <w:hyperlink r:id="rId52">
              <w:r>
                <w:rPr>
                  <w:rFonts w:ascii="Arial" w:cs="Arial" w:eastAsia="Arial" w:hAnsi="Arial"/>
                  <w:sz w:val="18"/>
                  <w:szCs w:val="18"/>
                  <w:color w:val="0000FF"/>
                  <w:w w:val="94"/>
                </w:rPr>
                <w:t>Description of Rent-A-Center, Inc.’s Common Stock (Incorporated herein by reference to Exhibit 4.3 to the registrant’s Annual Report</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on Form 10-K for the year ended December 31, 2020.)</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5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4"/>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3"/>
              </w:rPr>
            </w:pPr>
            <w:hyperlink w:anchor="page39">
              <w:r>
                <w:rPr>
                  <w:rFonts w:ascii="Arial" w:cs="Arial" w:eastAsia="Arial" w:hAnsi="Arial"/>
                  <w:sz w:val="18"/>
                  <w:szCs w:val="18"/>
                  <w:color w:val="0000FF"/>
                  <w:w w:val="93"/>
                </w:rPr>
                <w:t>Certification pursuant to Rule 13a-14(a) of the Securities Exchange Act of 1934 implementing Section 302 of the Sarbanes-Oxley Act</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of 2002 by Mitchell E. Fadel</w:t>
              </w:r>
            </w:hyperlink>
          </w:p>
        </w:tc>
        <w:tc>
          <w:tcPr>
            <w:tcW w:w="80" w:type="dxa"/>
            <w:vAlign w:val="bottom"/>
            <w:gridSpan w:val="4"/>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3"/>
              </w:rPr>
            </w:pPr>
            <w:hyperlink w:anchor="page40">
              <w:r>
                <w:rPr>
                  <w:rFonts w:ascii="Arial" w:cs="Arial" w:eastAsia="Arial" w:hAnsi="Arial"/>
                  <w:sz w:val="18"/>
                  <w:szCs w:val="18"/>
                  <w:color w:val="0000FF"/>
                  <w:w w:val="93"/>
                </w:rPr>
                <w:t>Certification pursuant to Rule 13a-14(a) of the Securities Exchange Act of 1934 implementing Section 302 of the Sarbanes-Oxley Act</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w:anchor="page40">
              <w:r>
                <w:rPr>
                  <w:rFonts w:ascii="Arial" w:cs="Arial" w:eastAsia="Arial" w:hAnsi="Arial"/>
                  <w:sz w:val="18"/>
                  <w:szCs w:val="18"/>
                  <w:color w:val="0000FF"/>
                  <w:w w:val="91"/>
                </w:rPr>
                <w:t>of 2002 by Maureen B. Short</w:t>
              </w:r>
            </w:hyperlink>
          </w:p>
        </w:tc>
        <w:tc>
          <w:tcPr>
            <w:tcW w:w="7760" w:type="dxa"/>
            <w:vAlign w:val="bottom"/>
            <w:tcBorders>
              <w:top w:val="single" w:sz="8" w:color="0000FF"/>
            </w:tcBorders>
            <w:gridSpan w:val="1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3"/>
              </w:rPr>
            </w:pPr>
            <w:hyperlink w:anchor="page41">
              <w:r>
                <w:rPr>
                  <w:rFonts w:ascii="Arial" w:cs="Arial" w:eastAsia="Arial" w:hAnsi="Arial"/>
                  <w:sz w:val="18"/>
                  <w:szCs w:val="18"/>
                  <w:color w:val="0000FF"/>
                  <w:w w:val="93"/>
                </w:rPr>
                <w:t>Certification pursuant to 18 U.S.C. Section 1350 as adopted pursuant to Section 906 of the Sarbanes-Oxley Act of 2002 by Mitchell E.</w:t>
              </w:r>
            </w:hyperlink>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41">
              <w:r>
                <w:rPr>
                  <w:rFonts w:ascii="Arial" w:cs="Arial" w:eastAsia="Arial" w:hAnsi="Arial"/>
                  <w:sz w:val="18"/>
                  <w:szCs w:val="18"/>
                  <w:color w:val="0000FF"/>
                  <w:w w:val="88"/>
                </w:rPr>
                <w:t>Fadel</w:t>
              </w:r>
            </w:hyperlink>
          </w:p>
        </w:tc>
        <w:tc>
          <w:tcPr>
            <w:tcW w:w="9360" w:type="dxa"/>
            <w:vAlign w:val="bottom"/>
            <w:tcBorders>
              <w:top w:val="single" w:sz="8" w:color="0000FF"/>
            </w:tcBorders>
            <w:gridSpan w:val="12"/>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63"/>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200" w:type="dxa"/>
            <w:vAlign w:val="bottom"/>
          </w:tcPr>
          <w:p>
            <w:pPr>
              <w:spacing w:after="0"/>
              <w:rPr>
                <w:sz w:val="22"/>
                <w:szCs w:val="22"/>
                <w:color w:val="auto"/>
              </w:rPr>
            </w:pPr>
          </w:p>
        </w:tc>
        <w:tc>
          <w:tcPr>
            <w:tcW w:w="9960" w:type="dxa"/>
            <w:vAlign w:val="bottom"/>
            <w:gridSpan w:val="23"/>
          </w:tcPr>
          <w:p>
            <w:pP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Certification pursuant to 18 U.S.C. Section 1350 as adopted pursuant to Section 906 of the Sarbanes-Oxley Act of 2002 by Maureen B.</w:t>
              </w:r>
            </w:hyperlink>
          </w:p>
        </w:tc>
      </w:tr>
      <w:tr>
        <w:trPr>
          <w:trHeight w:val="156"/>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42">
              <w:r>
                <w:rPr>
                  <w:rFonts w:ascii="Arial" w:cs="Arial" w:eastAsia="Arial" w:hAnsi="Arial"/>
                  <w:sz w:val="18"/>
                  <w:szCs w:val="18"/>
                  <w:color w:val="0000FF"/>
                  <w:w w:val="88"/>
                </w:rPr>
                <w:t>Short</w:t>
              </w:r>
            </w:hyperlink>
          </w:p>
        </w:tc>
        <w:tc>
          <w:tcPr>
            <w:tcW w:w="9360" w:type="dxa"/>
            <w:vAlign w:val="bottom"/>
            <w:tcBorders>
              <w:top w:val="single" w:sz="8" w:color="0000FF"/>
            </w:tcBorders>
            <w:gridSpan w:val="12"/>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5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7"/>
              </w:rPr>
              <w:t>101.INS*</w:t>
            </w:r>
          </w:p>
        </w:tc>
        <w:tc>
          <w:tcPr>
            <w:tcW w:w="200" w:type="dxa"/>
            <w:vAlign w:val="bottom"/>
          </w:tcPr>
          <w:p>
            <w:pPr>
              <w:spacing w:after="0"/>
              <w:rPr>
                <w:sz w:val="21"/>
                <w:szCs w:val="21"/>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files because its XBRL tags are embedded</w:t>
            </w:r>
          </w:p>
        </w:tc>
      </w:tr>
      <w:tr>
        <w:trPr>
          <w:trHeight w:val="230"/>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20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20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101.DEF*</w:t>
            </w:r>
          </w:p>
        </w:tc>
        <w:tc>
          <w:tcPr>
            <w:tcW w:w="20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96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20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101.PRE*</w:t>
            </w:r>
          </w:p>
        </w:tc>
        <w:tc>
          <w:tcPr>
            <w:tcW w:w="20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4"/>
        </w:trPr>
        <w:tc>
          <w:tcPr>
            <w:tcW w:w="96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20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Arial" w:cs="Arial" w:eastAsia="Arial" w:hAnsi="Arial"/>
                <w:sz w:val="18"/>
                <w:szCs w:val="18"/>
                <w:color w:val="auto"/>
              </w:rPr>
              <w:t>Cover page Interactive Data File (embedded within the inline XBRL document contained in Exhibit 101)</w:t>
            </w:r>
          </w:p>
        </w:tc>
      </w:tr>
      <w:tr>
        <w:trPr>
          <w:trHeight w:val="231"/>
        </w:trPr>
        <w:tc>
          <w:tcPr>
            <w:tcW w:w="960" w:type="dxa"/>
            <w:vAlign w:val="bottom"/>
          </w:tcPr>
          <w:p>
            <w:pPr>
              <w:spacing w:after="0"/>
              <w:rPr>
                <w:sz w:val="20"/>
                <w:szCs w:val="20"/>
                <w:color w:val="auto"/>
              </w:rPr>
            </w:pPr>
          </w:p>
        </w:tc>
        <w:tc>
          <w:tcPr>
            <w:tcW w:w="10160" w:type="dxa"/>
            <w:vAlign w:val="bottom"/>
            <w:gridSpan w:val="24"/>
          </w:tcPr>
          <w:p>
            <w:pPr>
              <w:ind w:left="100"/>
              <w:spacing w:after="0"/>
              <w:rPr>
                <w:sz w:val="20"/>
                <w:szCs w:val="20"/>
                <w:color w:val="auto"/>
              </w:rPr>
            </w:pPr>
            <w:r>
              <w:rPr>
                <w:rFonts w:ascii="Arial" w:cs="Arial" w:eastAsia="Arial" w:hAnsi="Arial"/>
                <w:sz w:val="14"/>
                <w:szCs w:val="14"/>
                <w:color w:val="auto"/>
              </w:rPr>
              <w:t>*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RENT-A-CENTER, INC.</w:t>
      </w:r>
    </w:p>
    <w:p>
      <w:pPr>
        <w:spacing w:after="0" w:line="29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MAUREEN B. SHORT</w:t>
            </w:r>
          </w:p>
        </w:tc>
      </w:tr>
      <w:tr>
        <w:trPr>
          <w:trHeight w:val="222"/>
        </w:trPr>
        <w:tc>
          <w:tcPr>
            <w:tcW w:w="2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0"/>
              </w:rPr>
              <w:t>Maureen B. Short</w:t>
            </w:r>
          </w:p>
        </w:tc>
      </w:tr>
      <w:tr>
        <w:trPr>
          <w:trHeight w:val="230"/>
        </w:trPr>
        <w:tc>
          <w:tcPr>
            <w:tcW w:w="28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93"/>
              </w:rPr>
              <w:t>EVP, Chief Financial Officer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039" w:right="37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u w:val="single" w:color="auto"/>
          <w:color w:val="auto"/>
        </w:rPr>
        <w:t>Exhibit 31.1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Mitchell E. Fadel</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3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u w:val="single" w:color="auto"/>
          <w:color w:val="auto"/>
        </w:rPr>
        <w:t>Exhibit 31.2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Maureen B. Short, certify that:</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Maureen B. Short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Maureen B. Short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3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180"/>
        <w:spacing w:after="0" w:line="265" w:lineRule="auto"/>
        <w:rPr>
          <w:sz w:val="20"/>
          <w:szCs w:val="20"/>
          <w:color w:val="auto"/>
        </w:rPr>
      </w:pPr>
      <w:r>
        <w:rPr>
          <w:rFonts w:ascii="Arial" w:cs="Arial" w:eastAsia="Arial" w:hAnsi="Arial"/>
          <w:sz w:val="21"/>
          <w:szCs w:val="21"/>
          <w:color w:val="auto"/>
        </w:rPr>
        <w:t>In connection with the Quarterly Report on Form 10-Q of Rent-A-Center,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March 31, 2022,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02"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Mitchell E. Fadel</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 and Director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May 5, 2022</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180"/>
        <w:spacing w:after="0" w:line="250" w:lineRule="auto"/>
        <w:rPr>
          <w:sz w:val="20"/>
          <w:szCs w:val="20"/>
          <w:color w:val="auto"/>
        </w:rPr>
      </w:pPr>
      <w:r>
        <w:rPr>
          <w:rFonts w:ascii="Arial" w:cs="Arial" w:eastAsia="Arial" w:hAnsi="Arial"/>
          <w:sz w:val="22"/>
          <w:szCs w:val="22"/>
          <w:color w:val="auto"/>
        </w:rPr>
        <w:t>In connection with the Quarterly Report on Form 10-Q of Rent-A-Center,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for the period ended March 31, 2022, as filed with the Securities and Exchange Commission on the date hereof (the "</w:t>
      </w:r>
      <w:r>
        <w:rPr>
          <w:rFonts w:ascii="Arial" w:cs="Arial" w:eastAsia="Arial" w:hAnsi="Arial"/>
          <w:sz w:val="22"/>
          <w:szCs w:val="22"/>
          <w:b w:val="1"/>
          <w:bCs w:val="1"/>
          <w:i w:val="1"/>
          <w:iCs w:val="1"/>
          <w:color w:val="auto"/>
        </w:rPr>
        <w:t>Report</w:t>
      </w:r>
      <w:r>
        <w:rPr>
          <w:rFonts w:ascii="Arial" w:cs="Arial" w:eastAsia="Arial" w:hAnsi="Arial"/>
          <w:sz w:val="22"/>
          <w:szCs w:val="22"/>
          <w:color w:val="auto"/>
        </w:rPr>
        <w:t>"), I, Maureen B. Short, Chief Financial Officer of the Company, hereby certify, pursuant to 18 U.S.C. Section 1350, as adopted pursuant to Section 906 of the Sarbanes-Oxley Act of 2002, that, to the best of my knowledge:</w:t>
      </w:r>
    </w:p>
    <w:p>
      <w:pPr>
        <w:spacing w:after="0" w:line="215"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Maureen B. Short</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Maureen B. Short</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Executive Vice President,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May 5, 2022</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lvl w:ilvl="1">
      <w:lvlJc w:val="left"/>
      <w:lvlText w:val="(%2)"/>
      <w:numFmt w:val="lowerRoman"/>
      <w:start w:val="4"/>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3" Type="http://schemas.openxmlformats.org/officeDocument/2006/relationships/image" Target="media/image38.png"/><Relationship Id="rId45" Type="http://schemas.openxmlformats.org/officeDocument/2006/relationships/hyperlink" Target="http://www.sec.gov/Archives/edgar/data/933036/000095013402016210/d02215exv3w1.txt" TargetMode="External"/><Relationship Id="rId46" Type="http://schemas.openxmlformats.org/officeDocument/2006/relationships/hyperlink" Target="http://www.sec.gov/Archives/edgar/data/933036/000095013404010948/d17068exv3w2.txt" TargetMode="External"/><Relationship Id="rId47" Type="http://schemas.openxmlformats.org/officeDocument/2006/relationships/hyperlink" Target="http://www.sec.gov/Archives/edgar/data/0000933036/000110465921078652/tm2119045d1_ex3-1.htm" TargetMode="External"/><Relationship Id="rId48" Type="http://schemas.openxmlformats.org/officeDocument/2006/relationships/hyperlink" Target="http://www.sec.gov/Archives/edgar/data/933036/000093303617000022/exhibit31march282017america.htm" TargetMode="External"/><Relationship Id="rId49" Type="http://schemas.openxmlformats.org/officeDocument/2006/relationships/hyperlink" Target="http://www.sec.gov/Archives/edgar/data/933036/000093303620000119/ex-32amendedandrestate.htm" TargetMode="External"/><Relationship Id="rId50" Type="http://schemas.openxmlformats.org/officeDocument/2006/relationships/hyperlink" Target="http://www.sec.gov/Archives/edgar/data/933036/000093303617000033/ex-41_q12017.htm" TargetMode="External"/><Relationship Id="rId51" Type="http://schemas.openxmlformats.org/officeDocument/2006/relationships/hyperlink" Target="http://www.sec.gov/Archives/edgar/data/933036/000110465921024846/tm216741d1_ex4-1.htm" TargetMode="External"/><Relationship Id="rId52" Type="http://schemas.openxmlformats.org/officeDocument/2006/relationships/hyperlink" Target="http://www.sec.gov/Archives/edgar/data/933036/000093303621000049/ex-43_q4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2022-05-06T05:44:56Z</dcterms:created>
  <dcterms:modified xsi:type="dcterms:W3CDTF">2022-05-06T05:44:56Z</dcterms:modified>
</cp:coreProperties>
</file>