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Wooters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84" w:type="dxa"/>
        <w:jc w:val="left"/>
        <w:tblInd w:w="-7" w:type="dxa"/>
        <w:tblLayout w:type="fixed"/>
        <w:tblCellMar>
          <w:top w:w="60" w:type="dxa"/>
          <w:left w:w="60" w:type="dxa"/>
          <w:bottom w:w="60" w:type="dxa"/>
          <w:right w:w="60" w:type="dxa"/>
        </w:tblCellMar>
      </w:tblPr>
      <w:tblGrid>
        <w:gridCol w:w="1595"/>
        <w:gridCol w:w="861"/>
        <w:gridCol w:w="891"/>
        <w:gridCol w:w="771"/>
        <w:gridCol w:w="591"/>
        <w:gridCol w:w="300"/>
        <w:gridCol w:w="816"/>
        <w:gridCol w:w="276"/>
        <w:gridCol w:w="906"/>
        <w:gridCol w:w="801"/>
        <w:gridCol w:w="1041"/>
        <w:gridCol w:w="921"/>
        <w:gridCol w:w="801"/>
        <w:gridCol w:w="936"/>
        <w:gridCol w:w="831"/>
        <w:gridCol w:w="846"/>
      </w:tblGrid>
      <w:tr>
        <w:trPr>
          <w:tblHeader w:val="true"/>
        </w:trPr>
        <w:tc>
          <w:tcPr>
            <w:tcW w:w="131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158,221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158,221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158,221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supplemental equity award consisting of restricted stock units and performance stock units to promote retention of key executives and to incentivize share price appreciation measured against predetermined stock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portion of the supplemental equity award granted as performance stock units, which are eligible to vest, if at all, based on the achievement of predetermined 20-trading-day average closing stock prices during a four-year performance period, subject to the reporting person's continued employment through the applicable vesting date. The performance stock units are divided into three tranches: 33% eligible to be earned upon a 20-trading-day average closing price of $24.18, 33% upon a 20-trading-day average closing price of $31.43, and 34% upon a 20-trading-day average closing price of $38.68. For each tranche, the vesting date is the later of the third anniversary of the grant date September 1, 2029, and the date the applicable stock price is attained.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upbd-ex24.htm"/>
      <w:bookmarkStart w:id="3" w:name="ksupbdex24"/>
      <w:bookmarkEnd w:id="2"/>
      <w:bookmarkEnd w:id="3"/>
      <w:r>
        <w:rPr/>
        <w:t> </w:t>
      </w:r>
      <w:r>
        <w:br w:type="page"/>
      </w:r>
    </w:p>
    <w:p>
      <w:pPr>
        <w:pStyle w:val="TextBody"/>
        <w:bidi w:val="0"/>
        <w:spacing w:before="0" w:after="360"/>
        <w:jc w:val="center"/>
        <w:rPr>
          <w:rFonts w:ascii="sans-serif" w:hAnsi="sans-serif"/>
          <w:b/>
          <w:caps/>
          <w:color w:val="000000"/>
          <w:sz w:val="22"/>
        </w:rPr>
      </w:pPr>
      <w:r>
        <w:rPr>
          <w:rFonts w:ascii="sans-serif" w:hAnsi="sans-serif"/>
          <w:b/>
          <w:caps/>
          <w:color w:val="000000"/>
          <w:sz w:val="22"/>
        </w:rPr>
        <w:t>POWER OF ATTORNEY</w:t>
      </w:r>
    </w:p>
    <w:p>
      <w:pPr>
        <w:pStyle w:val="TextBody"/>
        <w:bidi w:val="0"/>
        <w:spacing w:before="0" w:after="240"/>
        <w:jc w:val="center"/>
        <w:rPr>
          <w:rFonts w:ascii="sans-serif" w:hAnsi="sans-serif"/>
          <w:b/>
          <w:color w:val="000000"/>
          <w:sz w:val="22"/>
        </w:rPr>
      </w:pPr>
      <w:r>
        <w:rPr>
          <w:rFonts w:ascii="sans-serif" w:hAnsi="sans-serif"/>
          <w:b/>
          <w:color w:val="000000"/>
          <w:sz w:val="22"/>
        </w:rPr>
        <w:t>Rebecca Wooters</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rFonts w:ascii="sans-serif" w:hAnsi="sans-serif"/>
          <w:sz w:val="22"/>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sans-serif" w:hAnsi="sans-serif"/>
          <w:sz w:val="20"/>
        </w:rPr>
      </w:pPr>
      <w:r>
        <w:rPr>
          <w:rFonts w:ascii="sans-serif" w:hAnsi="sans-serif"/>
          <w:color w:val="000000"/>
          <w:sz w:val="20"/>
        </w:rPr>
        <w:t xml:space="preserve">Power of Attorney of Rebecca Wooters | Page </w:t>
      </w:r>
      <w:r>
        <w:rPr>
          <w:rFonts w:ascii="sans-serif" w:hAnsi="sans-serif"/>
          <w:b/>
          <w:color w:val="000000"/>
          <w:sz w:val="20"/>
        </w:rPr>
        <w:t>1</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sz w:val="22"/>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3rd 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Rebecca Wooters </w:t>
      </w:r>
    </w:p>
    <w:p>
      <w:pPr>
        <w:pStyle w:val="TextBody"/>
        <w:bidi w:val="0"/>
        <w:jc w:val="left"/>
        <w:rPr>
          <w:rFonts w:ascii="sans-serif" w:hAnsi="sans-serif"/>
          <w:color w:val="000000"/>
          <w:sz w:val="22"/>
        </w:rPr>
      </w:pPr>
      <w:r>
        <w:rPr>
          <w:rFonts w:ascii="sans-serif" w:hAnsi="sans-serif"/>
          <w:color w:val="000000"/>
          <w:sz w:val="22"/>
        </w:rPr>
        <w:t>Name: Rebecca Wooters</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sans-serif" w:hAnsi="sans-serif"/>
          <w:sz w:val="20"/>
        </w:rPr>
      </w:pPr>
      <w:r>
        <w:rPr>
          <w:rFonts w:ascii="sans-serif" w:hAnsi="sans-serif"/>
          <w:color w:val="000000"/>
          <w:sz w:val="20"/>
        </w:rPr>
        <w:t xml:space="preserve">Power of Attorney of Rebecca Wooters | Page </w:t>
      </w:r>
      <w:r>
        <w:rPr>
          <w:rFonts w:ascii="sans-serif" w:hAnsi="sans-serif"/>
          <w:b/>
          <w:color w:val="000000"/>
          <w:sz w:val="20"/>
        </w:rPr>
        <w:t>2</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0040"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1234</Words>
  <Characters>6651</Characters>
  <CharactersWithSpaces>7805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