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6"/>
        </w:rPr>
      </w:pPr>
      <w:r>
        <w:rPr>
          <w:rFonts w:ascii="Times New Roman;sans-serif" w:hAnsi="Times New Roman;sans-serif"/>
          <w:b/>
          <w:color w:val="000000"/>
          <w:sz w:val="26"/>
        </w:rPr>
        <w:t xml:space="preserve">UNITED STATES </w:t>
      </w:r>
    </w:p>
    <w:p>
      <w:pPr>
        <w:pStyle w:val="TextBody"/>
        <w:bidi w:val="0"/>
        <w:spacing w:lineRule="auto" w:line="288" w:before="0" w:after="0"/>
        <w:ind w:left="0" w:right="0" w:firstLine="72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pPr>
      <w:r>
        <w:rPr>
          <w:rFonts w:ascii="Times New Roman;sans-serif" w:hAnsi="Times New Roman;sans-serif"/>
          <w:b/>
          <w:color w:val="000000"/>
          <w:sz w:val="18"/>
        </w:rPr>
        <w:t>Washington, D.C. 20549</w:t>
      </w:r>
      <w:r>
        <w:rPr>
          <w:color w:val="000000"/>
        </w:rPr>
        <w:t> </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10-Q </w:t>
      </w:r>
    </w:p>
    <w:tbl>
      <w:tblPr>
        <w:tblW w:w="9158" w:type="dxa"/>
        <w:jc w:val="center"/>
        <w:tblInd w:w="0" w:type="dxa"/>
        <w:tblLayout w:type="fixed"/>
        <w:tblCellMar>
          <w:top w:w="28" w:type="dxa"/>
          <w:left w:w="28" w:type="dxa"/>
          <w:bottom w:w="28" w:type="dxa"/>
          <w:right w:w="28" w:type="dxa"/>
        </w:tblCellMar>
      </w:tblPr>
      <w:tblGrid>
        <w:gridCol w:w="172"/>
        <w:gridCol w:w="151"/>
        <w:gridCol w:w="151"/>
        <w:gridCol w:w="2538"/>
        <w:gridCol w:w="2538"/>
        <w:gridCol w:w="360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1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 One)</w:t>
            </w:r>
          </w:p>
        </w:tc>
      </w:tr>
      <w:tr>
        <w:trPr/>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March 31, 2025 </w:t>
      </w:r>
    </w:p>
    <w:p>
      <w:pPr>
        <w:pStyle w:val="TextBody"/>
        <w:bidi w:val="0"/>
        <w:spacing w:lineRule="auto" w:line="288" w:before="0" w:after="0"/>
        <w:jc w:val="center"/>
        <w:rPr/>
      </w:pPr>
      <w:r>
        <w:rPr>
          <w:rFonts w:ascii="Times New Roman;sans-serif" w:hAnsi="Times New Roman;sans-serif"/>
          <w:b/>
          <w:color w:val="000000"/>
          <w:sz w:val="14"/>
        </w:rPr>
        <w:t>or</w:t>
      </w:r>
      <w:r>
        <w:rPr>
          <w:color w:val="000000"/>
        </w:rPr>
        <w:t> </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w:t>
      </w:r>
    </w:p>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Commission File Number: 001-38047 </w:t>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Upbound Group, Inc. </w:t>
      </w:r>
    </w:p>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(Exact name of registrant as specified in its charter)</w:t>
      </w:r>
    </w:p>
    <w:p>
      <w:pPr>
        <w:pStyle w:val="TextBody"/>
        <w:bidi w:val="0"/>
        <w:spacing w:before="0" w:after="0"/>
        <w:jc w:val="center"/>
        <w:rPr/>
      </w:pPr>
      <w:r>
        <w:rPr/>
      </w:r>
    </w:p>
    <w:tbl>
      <w:tblPr>
        <w:tblW w:w="4750" w:type="dxa"/>
        <w:jc w:val="center"/>
        <w:tblInd w:w="0" w:type="dxa"/>
        <w:tblLayout w:type="fixed"/>
        <w:tblCellMar>
          <w:top w:w="28" w:type="dxa"/>
          <w:left w:w="28" w:type="dxa"/>
          <w:bottom w:w="28" w:type="dxa"/>
          <w:right w:w="28" w:type="dxa"/>
        </w:tblCellMar>
      </w:tblPr>
      <w:tblGrid>
        <w:gridCol w:w="1086"/>
        <w:gridCol w:w="952"/>
        <w:gridCol w:w="961"/>
        <w:gridCol w:w="109"/>
        <w:gridCol w:w="109"/>
        <w:gridCol w:w="109"/>
        <w:gridCol w:w="416"/>
        <w:gridCol w:w="416"/>
        <w:gridCol w:w="592"/>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45-0491516</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(I.R.S. Employer</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Identification No.)</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5501 Headquarters Drive, Plano,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75024</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(Zip Code)</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(972) 801-1100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tbl>
      <w:tblPr>
        <w:tblW w:w="6268" w:type="dxa"/>
        <w:jc w:val="center"/>
        <w:tblInd w:w="0" w:type="dxa"/>
        <w:tblLayout w:type="fixed"/>
        <w:tblCellMar>
          <w:top w:w="28" w:type="dxa"/>
          <w:left w:w="28" w:type="dxa"/>
          <w:bottom w:w="28" w:type="dxa"/>
          <w:right w:w="28" w:type="dxa"/>
        </w:tblCellMar>
      </w:tblPr>
      <w:tblGrid>
        <w:gridCol w:w="845"/>
        <w:gridCol w:w="744"/>
        <w:gridCol w:w="750"/>
        <w:gridCol w:w="409"/>
        <w:gridCol w:w="409"/>
        <w:gridCol w:w="411"/>
        <w:gridCol w:w="791"/>
        <w:gridCol w:w="791"/>
        <w:gridCol w:w="1118"/>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$.01 par value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UPBD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The Nasdaq Global Select Market</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Arial;sans-serif" w:hAnsi="Arial;sans-serif"/>
          <w:b w:val="false"/>
          <w:color w:val="000000"/>
          <w:sz w:val="17"/>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jc w:val="both"/>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89"/>
        <w:gridCol w:w="1135"/>
        <w:gridCol w:w="1075"/>
        <w:gridCol w:w="223"/>
        <w:gridCol w:w="223"/>
        <w:gridCol w:w="223"/>
        <w:gridCol w:w="223"/>
        <w:gridCol w:w="223"/>
        <w:gridCol w:w="223"/>
        <w:gridCol w:w="223"/>
        <w:gridCol w:w="223"/>
        <w:gridCol w:w="223"/>
        <w:gridCol w:w="1436"/>
        <w:gridCol w:w="1436"/>
        <w:gridCol w:w="1446"/>
        <w:gridCol w:w="109"/>
        <w:gridCol w:w="109"/>
        <w:gridCol w:w="163"/>
      </w:tblGrid>
      <w:tr>
        <w:trPr/>
        <w:tc>
          <w:tcPr>
            <w:tcW w:w="12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Large accelerated filer</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Accelerated filer</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Non-accelerated filer</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Smaller reporting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Emerging Growth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2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Indicate by check mark whether the registrant is a shell company (as defined in Rule 12b-2 of the Exchange Act).</w:t>
      </w:r>
    </w:p>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Yes ☐ No ☒</w:t>
      </w:r>
    </w:p>
    <w:p>
      <w:pPr>
        <w:pStyle w:val="TextBody"/>
        <w:bidi w:val="0"/>
        <w:spacing w:lineRule="auto" w:line="288" w:before="60" w:after="283"/>
        <w:jc w:val="both"/>
        <w:rPr/>
      </w:pPr>
      <w:r>
        <w:rPr>
          <w:rFonts w:ascii="Arial;sans-serif" w:hAnsi="Arial;sans-serif"/>
          <w:b w:val="false"/>
          <w:color w:val="000000"/>
          <w:sz w:val="17"/>
        </w:rPr>
        <w:t>Indicate the number of shares outstanding of each of the issuer</w:t>
      </w:r>
      <w:r>
        <w:rPr>
          <w:color w:val="000000"/>
        </w:rPr>
        <w:t>’</w:t>
      </w:r>
      <w:r>
        <w:rPr>
          <w:rFonts w:ascii="Arial;sans-serif" w:hAnsi="Arial;sans-serif"/>
          <w:b w:val="false"/>
          <w:color w:val="000000"/>
          <w:sz w:val="17"/>
        </w:rPr>
        <w:t>s classes of common stock, as of April 24, 2025:</w:t>
      </w:r>
    </w:p>
    <w:tbl>
      <w:tblPr>
        <w:tblW w:w="3642" w:type="dxa"/>
        <w:jc w:val="left"/>
        <w:tblInd w:w="0" w:type="dxa"/>
        <w:tblLayout w:type="fixed"/>
        <w:tblCellMar>
          <w:top w:w="28" w:type="dxa"/>
          <w:left w:w="28" w:type="dxa"/>
          <w:bottom w:w="28" w:type="dxa"/>
          <w:right w:w="28" w:type="dxa"/>
        </w:tblCellMar>
      </w:tblPr>
      <w:tblGrid>
        <w:gridCol w:w="830"/>
        <w:gridCol w:w="727"/>
        <w:gridCol w:w="737"/>
        <w:gridCol w:w="109"/>
        <w:gridCol w:w="109"/>
        <w:gridCol w:w="109"/>
        <w:gridCol w:w="299"/>
        <w:gridCol w:w="299"/>
        <w:gridCol w:w="423"/>
      </w:tblGrid>
      <w:tr>
        <w:trPr/>
        <w:tc>
          <w:tcPr>
            <w:tcW w:w="8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Outstanding</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57,825,534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1"/>
        <w:gridCol w:w="281"/>
        <w:gridCol w:w="284"/>
        <w:gridCol w:w="2833"/>
        <w:gridCol w:w="2833"/>
        <w:gridCol w:w="2840"/>
        <w:gridCol w:w="237"/>
        <w:gridCol w:w="237"/>
        <w:gridCol w:w="339"/>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0">
              <w:r>
                <w:rPr>
                  <w:rStyle w:val="InternetLink"/>
                  <w:rFonts w:ascii="Times New Roman;sans-serif" w:hAnsi="Times New Roman;sans-serif"/>
                  <w:b/>
                  <w:strike w:val="false"/>
                  <w:dstrike w:val="false"/>
                  <w:color w:val="000000"/>
                  <w:sz w:val="20"/>
                  <w:u w:val="none"/>
                  <w:effect w:val="none"/>
                </w:rPr>
                <w:t>PART 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0">
              <w:r>
                <w:rPr>
                  <w:rStyle w:val="InternetLink"/>
                  <w:rFonts w:ascii="Times New Roman;sans-serif" w:hAnsi="Times New Roman;sans-serif"/>
                  <w:b/>
                  <w:strike w:val="false"/>
                  <w:dstrike w:val="false"/>
                  <w:color w:val="000000"/>
                  <w:sz w:val="20"/>
                  <w:u w:val="none"/>
                  <w:effect w:val="none"/>
                </w:rPr>
                <w:t>FINANCIAL INFORMATION</w:t>
              </w:r>
            </w:hyperlink>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0">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0">
              <w:r>
                <w:rPr>
                  <w:rStyle w:val="InternetLink"/>
                  <w:rFonts w:ascii="Times New Roman;sans-serif" w:hAnsi="Times New Roman;sans-serif"/>
                  <w:b w:val="false"/>
                  <w:strike w:val="false"/>
                  <w:dstrike w:val="false"/>
                  <w:color w:val="000000"/>
                  <w:sz w:val="20"/>
                  <w:u w:val="none"/>
                  <w:effect w:val="none"/>
                </w:rPr>
                <w:t>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3">
              <w:r>
                <w:rPr>
                  <w:rStyle w:val="InternetLink"/>
                  <w:rFonts w:ascii="Times New Roman;sans-serif" w:hAnsi="Times New Roman;sans-serif"/>
                  <w:b w:val="false"/>
                  <w:strike w:val="false"/>
                  <w:dstrike w:val="false"/>
                  <w:color w:val="000080"/>
                  <w:sz w:val="20"/>
                  <w:u w:val="single"/>
                  <w:effect w:val="none"/>
                </w:rPr>
                <w:t>Condensed Consolidated Statements of Operations for the</w:t>
              </w:r>
            </w:hyperlink>
            <w:hyperlink w:anchor="ife01b86dbc2543b285394a635671843f_16">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three-month</w:t>
            </w:r>
            <w:hyperlink w:anchor="ife01b86dbc2543b285394a635671843f_13">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March 31, 2025</w:t>
            </w:r>
            <w:hyperlink w:anchor="ife01b86dbc2543b285394a635671843f_13">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3">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
              <w:r>
                <w:rPr>
                  <w:rStyle w:val="InternetLink"/>
                  <w:rFonts w:ascii="Times New Roman;sans-serif" w:hAnsi="Times New Roman;sans-serif"/>
                  <w:b w:val="false"/>
                  <w:strike w:val="false"/>
                  <w:dstrike w:val="false"/>
                  <w:color w:val="000080"/>
                  <w:sz w:val="20"/>
                  <w:u w:val="single"/>
                  <w:effect w:val="none"/>
                </w:rPr>
                <w:t>Condensed Consolidated Statements of Comprehensive</w:t>
              </w:r>
            </w:hyperlink>
            <w:hyperlink w:anchor="ife01b86dbc2543b285394a635671843f_16">
              <w:r>
                <w:rPr>
                  <w:rStyle w:val="InternetLink"/>
                  <w:rFonts w:ascii="Times New Roman;sans-serif" w:hAnsi="Times New Roman;sans-serif"/>
                  <w:b w:val="false"/>
                  <w:strike w:val="false"/>
                  <w:dstrike w:val="false"/>
                  <w:color w:val="000080"/>
                  <w:sz w:val="20"/>
                  <w:u w:val="single"/>
                  <w:effect w:val="none"/>
                </w:rPr>
                <w:t xml:space="preserve"> Income </w:t>
              </w:r>
            </w:hyperlink>
            <w:hyperlink w:anchor="ife01b86dbc2543b285394a635671843f_16">
              <w:r>
                <w:rPr>
                  <w:rStyle w:val="InternetLink"/>
                  <w:rFonts w:ascii="Times New Roman;sans-serif" w:hAnsi="Times New Roman;sans-serif"/>
                  <w:b w:val="false"/>
                  <w:strike w:val="false"/>
                  <w:dstrike w:val="false"/>
                  <w:color w:val="000080"/>
                  <w:sz w:val="20"/>
                  <w:u w:val="single"/>
                  <w:effect w:val="none"/>
                </w:rPr>
                <w:t>for the</w:t>
              </w:r>
            </w:hyperlink>
            <w:hyperlink w:anchor="ife01b86dbc2543b285394a635671843f_16">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three-month</w:t>
            </w:r>
            <w:hyperlink w:anchor="ife01b86dbc2543b285394a635671843f_16">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March 31, 2025</w:t>
            </w:r>
            <w:hyperlink w:anchor="ife01b86dbc2543b285394a635671843f_16">
              <w:r>
                <w:rPr>
                  <w:rStyle w:val="InternetLink"/>
                  <w:rFonts w:ascii="Times New Roman;sans-serif" w:hAnsi="Times New Roman;sans-serif"/>
                  <w:b w:val="false"/>
                  <w:strike w:val="false"/>
                  <w:dstrike w:val="false"/>
                  <w:color w:val="000080"/>
                  <w:sz w:val="20"/>
                  <w:u w:val="single"/>
                  <w:effect w:val="none"/>
                </w:rPr>
                <w:t xml:space="preserve"> and</w:t>
              </w:r>
            </w:hyperlink>
            <w:hyperlink w:anchor="ife01b86dbc2543b285394a635671843f_16">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6">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9">
              <w:r>
                <w:rPr>
                  <w:rStyle w:val="InternetLink"/>
                  <w:rFonts w:ascii="Times New Roman;sans-serif" w:hAnsi="Times New Roman;sans-serif"/>
                  <w:b w:val="false"/>
                  <w:strike w:val="false"/>
                  <w:dstrike w:val="false"/>
                  <w:color w:val="000000"/>
                  <w:sz w:val="20"/>
                  <w:u w:val="none"/>
                  <w:effect w:val="none"/>
                </w:rPr>
                <w:t>Condensed Consolidated Balance Sheets as of</w:t>
              </w:r>
            </w:hyperlink>
            <w:r>
              <w:rPr>
                <w:rFonts w:ascii="Times New Roman;sans-serif" w:hAnsi="Times New Roman;sans-serif"/>
                <w:b w:val="false"/>
                <w:color w:val="000000"/>
                <w:sz w:val="20"/>
              </w:rPr>
              <w:t xml:space="preserve"> March 31, 2025</w:t>
            </w:r>
            <w:hyperlink w:anchor="ife01b86dbc2543b285394a635671843f_19">
              <w:r>
                <w:rPr>
                  <w:rStyle w:val="InternetLink"/>
                  <w:rFonts w:ascii="Times New Roman;sans-serif" w:hAnsi="Times New Roman;sans-serif"/>
                  <w:b w:val="false"/>
                  <w:strike w:val="false"/>
                  <w:dstrike w:val="false"/>
                  <w:color w:val="000080"/>
                  <w:sz w:val="20"/>
                  <w:u w:val="single"/>
                  <w:effect w:val="none"/>
                </w:rPr>
                <w:t xml:space="preserve"> and</w:t>
              </w:r>
            </w:hyperlink>
            <w:hyperlink w:anchor="ife01b86dbc2543b285394a635671843f_19">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December 31, 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9">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22">
              <w:r>
                <w:rPr>
                  <w:rStyle w:val="InternetLink"/>
                  <w:rFonts w:ascii="Times New Roman;sans-serif" w:hAnsi="Times New Roman;sans-serif"/>
                  <w:b w:val="false"/>
                  <w:strike w:val="false"/>
                  <w:dstrike w:val="false"/>
                  <w:color w:val="000080"/>
                  <w:sz w:val="20"/>
                  <w:u w:val="single"/>
                  <w:effect w:val="none"/>
                </w:rPr>
                <w:t>Condensed Consolidated Statement</w:t>
              </w:r>
            </w:hyperlink>
            <w:hyperlink w:anchor="ife01b86dbc2543b285394a635671843f_22">
              <w:r>
                <w:rPr>
                  <w:rStyle w:val="InternetLink"/>
                  <w:rFonts w:ascii="Times New Roman;sans-serif" w:hAnsi="Times New Roman;sans-serif"/>
                  <w:b w:val="false"/>
                  <w:strike w:val="false"/>
                  <w:dstrike w:val="false"/>
                  <w:color w:val="000080"/>
                  <w:sz w:val="20"/>
                  <w:u w:val="single"/>
                  <w:effect w:val="none"/>
                </w:rPr>
                <w:t>s</w:t>
              </w:r>
            </w:hyperlink>
            <w:hyperlink w:anchor="ife01b86dbc2543b285394a635671843f_22">
              <w:r>
                <w:rPr>
                  <w:rStyle w:val="InternetLink"/>
                  <w:rFonts w:ascii="Times New Roman;sans-serif" w:hAnsi="Times New Roman;sans-serif"/>
                  <w:b w:val="false"/>
                  <w:strike w:val="false"/>
                  <w:dstrike w:val="false"/>
                  <w:color w:val="000080"/>
                  <w:sz w:val="20"/>
                  <w:u w:val="single"/>
                  <w:effect w:val="none"/>
                </w:rPr>
                <w:t xml:space="preserve"> of Stockholders</w:t>
              </w:r>
            </w:hyperlink>
            <w:hyperlink w:anchor="ife01b86dbc2543b285394a635671843f_22">
              <w:r>
                <w:rPr>
                  <w:rStyle w:val="InternetLink"/>
                  <w:rFonts w:ascii="Times New Roman;sans-serif" w:hAnsi="Times New Roman;sans-serif"/>
                  <w:b w:val="false"/>
                  <w:strike w:val="false"/>
                  <w:dstrike w:val="false"/>
                  <w:color w:val="000080"/>
                  <w:sz w:val="20"/>
                  <w:u w:val="single"/>
                  <w:effect w:val="none"/>
                </w:rPr>
                <w:t>’</w:t>
              </w:r>
            </w:hyperlink>
            <w:hyperlink w:anchor="ife01b86dbc2543b285394a635671843f_22">
              <w:r>
                <w:rPr>
                  <w:rStyle w:val="InternetLink"/>
                  <w:rFonts w:ascii="Times New Roman;sans-serif" w:hAnsi="Times New Roman;sans-serif"/>
                  <w:b w:val="false"/>
                  <w:strike w:val="false"/>
                  <w:dstrike w:val="false"/>
                  <w:color w:val="000080"/>
                  <w:sz w:val="20"/>
                  <w:u w:val="single"/>
                  <w:effect w:val="none"/>
                </w:rPr>
                <w:t xml:space="preserve"> Equity for the</w:t>
              </w:r>
            </w:hyperlink>
            <w:hyperlink w:anchor="ife01b86dbc2543b285394a635671843f_22">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three-month</w:t>
            </w:r>
            <w:hyperlink w:anchor="ife01b86dbc2543b285394a635671843f_22">
              <w:r>
                <w:rPr>
                  <w:rStyle w:val="InternetLink"/>
                  <w:rFonts w:ascii="Times New Roman;sans-serif" w:hAnsi="Times New Roman;sans-serif"/>
                  <w:b w:val="false"/>
                  <w:strike w:val="false"/>
                  <w:dstrike w:val="false"/>
                  <w:color w:val="000000"/>
                  <w:sz w:val="20"/>
                  <w:u w:val="none"/>
                  <w:effect w:val="none"/>
                </w:rPr>
                <w:t xml:space="preserve"> periods ending</w:t>
              </w:r>
            </w:hyperlink>
            <w:r>
              <w:rPr>
                <w:rFonts w:ascii="Times New Roman;sans-serif" w:hAnsi="Times New Roman;sans-serif"/>
                <w:b w:val="false"/>
                <w:color w:val="000000"/>
                <w:sz w:val="20"/>
              </w:rPr>
              <w:t xml:space="preserve"> March 31, 2025</w:t>
            </w:r>
            <w:hyperlink w:anchor="ife01b86dbc2543b285394a635671843f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22">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25">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for the </w:t>
              </w:r>
            </w:hyperlink>
            <w:r>
              <w:rPr>
                <w:rFonts w:ascii="Times New Roman;sans-serif" w:hAnsi="Times New Roman;sans-serif"/>
                <w:b w:val="false"/>
                <w:color w:val="000000"/>
                <w:sz w:val="20"/>
              </w:rPr>
              <w:t>three-month</w:t>
            </w:r>
            <w:hyperlink w:anchor="ife01b86dbc2543b285394a635671843f_25">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March 31, 2025</w:t>
            </w:r>
            <w:hyperlink w:anchor="ife01b86dbc2543b285394a635671843f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25">
              <w:r>
                <w:rPr>
                  <w:rStyle w:val="InternetLink"/>
                  <w:rFonts w:ascii="Times New Roman;sans-serif" w:hAnsi="Times New Roman;sans-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28">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28">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76">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76">
              <w:r>
                <w:rPr>
                  <w:rStyle w:val="InternetLink"/>
                  <w:rFonts w:ascii="Times New Roman;sans-serif" w:hAnsi="Times New Roman;sans-serif"/>
                  <w:b w:val="false"/>
                  <w:strike w:val="false"/>
                  <w:dstrike w:val="false"/>
                  <w:color w:val="000080"/>
                  <w:sz w:val="20"/>
                  <w:u w:val="single"/>
                  <w:effect w:val="none"/>
                </w:rPr>
                <w:t>Management</w:t>
              </w:r>
            </w:hyperlink>
            <w:hyperlink w:anchor="ife01b86dbc2543b285394a635671843f_76">
              <w:r>
                <w:rPr>
                  <w:rStyle w:val="InternetLink"/>
                  <w:rFonts w:ascii="Times New Roman;sans-serif" w:hAnsi="Times New Roman;sans-serif"/>
                  <w:b w:val="false"/>
                  <w:strike w:val="false"/>
                  <w:dstrike w:val="false"/>
                  <w:color w:val="000080"/>
                  <w:sz w:val="20"/>
                  <w:u w:val="single"/>
                  <w:effect w:val="none"/>
                </w:rPr>
                <w:t>’</w:t>
              </w:r>
            </w:hyperlink>
            <w:hyperlink w:anchor="ife01b86dbc2543b285394a635671843f_76">
              <w:r>
                <w:rPr>
                  <w:rStyle w:val="InternetLink"/>
                  <w:rFonts w:ascii="Times New Roman;sans-serif" w:hAnsi="Times New Roman;sans-serif"/>
                  <w:b w:val="false"/>
                  <w:strike w:val="false"/>
                  <w:dstrike w:val="false"/>
                  <w:color w:val="000080"/>
                  <w:sz w:val="20"/>
                  <w:u w:val="single"/>
                  <w:effect w:val="none"/>
                </w:rPr>
                <w: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79">
              <w:r>
                <w:rPr>
                  <w:rStyle w:val="InternetLink"/>
                  <w:rFonts w:ascii="Times New Roman;sans-serif" w:hAnsi="Times New Roman;sans-serif"/>
                  <w:b w:val="false"/>
                  <w:strike w:val="false"/>
                  <w:dstrike w:val="false"/>
                  <w:color w:val="000000"/>
                  <w:sz w:val="20"/>
                  <w:u w:val="none"/>
                  <w:effect w:val="none"/>
                </w:rPr>
                <w:t>24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45">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45">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45">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48">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48">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48">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51">
              <w:r>
                <w:rPr>
                  <w:rStyle w:val="InternetLink"/>
                  <w:rFonts w:ascii="Times New Roman;sans-serif" w:hAnsi="Times New Roman;sans-serif"/>
                  <w:b/>
                  <w:strike w:val="false"/>
                  <w:dstrike w:val="false"/>
                  <w:color w:val="000000"/>
                  <w:sz w:val="20"/>
                  <w:u w:val="none"/>
                  <w:effect w:val="none"/>
                </w:rPr>
                <w:t>PART II.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51">
              <w:r>
                <w:rPr>
                  <w:rStyle w:val="InternetLink"/>
                  <w:rFonts w:ascii="Times New Roman;sans-serif" w:hAnsi="Times New Roman;sans-serif"/>
                  <w:b/>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54">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54">
              <w:r>
                <w:rPr>
                  <w:rStyle w:val="InternetLink"/>
                  <w:rFonts w:ascii="Times New Roman;sans-serif" w:hAnsi="Times New Roman;sans-serif"/>
                  <w:b w:val="false"/>
                  <w:strike w:val="false"/>
                  <w:dstrike w:val="false"/>
                  <w:color w:val="000000"/>
                  <w:sz w:val="20"/>
                  <w:u w:val="none"/>
                  <w:effect w:val="non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54">
              <w:r>
                <w:rPr>
                  <w:rStyle w:val="InternetLink"/>
                  <w:rFonts w:ascii="Times New Roman;sans-serif" w:hAnsi="Times New Roman;sans-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57">
              <w:r>
                <w:rPr>
                  <w:rStyle w:val="InternetLink"/>
                  <w:rFonts w:ascii="Times New Roman;sans-serif" w:hAnsi="Times New Roman;sans-serif"/>
                  <w:b w:val="false"/>
                  <w:strike w:val="false"/>
                  <w:dstrike w:val="false"/>
                  <w:color w:val="000000"/>
                  <w:sz w:val="20"/>
                  <w:u w:val="none"/>
                  <w:effect w:val="none"/>
                </w:rPr>
                <w:t>Item 1A.</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57">
              <w:r>
                <w:rPr>
                  <w:rStyle w:val="InternetLink"/>
                  <w:rFonts w:ascii="Times New Roman;sans-serif" w:hAnsi="Times New Roman;sans-serif"/>
                  <w:b w:val="false"/>
                  <w:strike w:val="false"/>
                  <w:dstrike w:val="false"/>
                  <w:color w:val="000000"/>
                  <w:sz w:val="20"/>
                  <w:u w:val="none"/>
                  <w:effect w:val="non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57">
              <w:r>
                <w:rPr>
                  <w:rStyle w:val="InternetLink"/>
                  <w:rFonts w:ascii="Times New Roman;sans-serif" w:hAnsi="Times New Roman;sans-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0">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0">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60">
              <w:r>
                <w:rPr>
                  <w:rStyle w:val="InternetLink"/>
                  <w:rFonts w:ascii="Times New Roman;sans-serif" w:hAnsi="Times New Roman;sans-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3">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3">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63">
              <w:r>
                <w:rPr>
                  <w:rStyle w:val="InternetLink"/>
                  <w:rFonts w:ascii="Times New Roman;sans-serif" w:hAnsi="Times New Roman;sans-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6">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6">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66">
              <w:r>
                <w:rPr>
                  <w:rStyle w:val="InternetLink"/>
                  <w:rFonts w:ascii="Times New Roman;sans-serif" w:hAnsi="Times New Roman;sans-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9">
              <w:r>
                <w:rPr>
                  <w:rStyle w:val="InternetLink"/>
                  <w:rFonts w:ascii="Times New Roman;sans-serif" w:hAnsi="Times New Roman;sans-serif"/>
                  <w:b w:val="false"/>
                  <w:strike w:val="false"/>
                  <w:dstrike w:val="false"/>
                  <w:color w:val="000000"/>
                  <w:sz w:val="20"/>
                  <w:u w:val="none"/>
                  <w:effect w:val="none"/>
                </w:rPr>
                <w:t>Item 5.</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69">
              <w:r>
                <w:rPr>
                  <w:rStyle w:val="InternetLink"/>
                  <w:rFonts w:ascii="Times New Roman;sans-serif" w:hAnsi="Times New Roman;sans-serif"/>
                  <w:b w:val="false"/>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69">
              <w:r>
                <w:rPr>
                  <w:rStyle w:val="InternetLink"/>
                  <w:rFonts w:ascii="Times New Roman;sans-serif" w:hAnsi="Times New Roman;sans-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72">
              <w:r>
                <w:rPr>
                  <w:rStyle w:val="InternetLink"/>
                  <w:rFonts w:ascii="Times New Roman;sans-serif" w:hAnsi="Times New Roman;sans-serif"/>
                  <w:b w:val="false"/>
                  <w:strike w:val="false"/>
                  <w:dstrike w:val="false"/>
                  <w:color w:val="000000"/>
                  <w:sz w:val="20"/>
                  <w:u w:val="none"/>
                  <w:effect w:val="none"/>
                </w:rPr>
                <w:t>Item 6.</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72">
              <w:r>
                <w:rPr>
                  <w:rStyle w:val="InternetLink"/>
                  <w:rFonts w:ascii="Times New Roman;sans-serif" w:hAnsi="Times New Roman;sans-serif"/>
                  <w:b w:val="false"/>
                  <w:strike w:val="false"/>
                  <w:dstrike w:val="false"/>
                  <w:color w:val="000000"/>
                  <w:sz w:val="20"/>
                  <w:u w:val="none"/>
                  <w:effect w:val="non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01b86dbc2543b285394a635671843f_172">
              <w:r>
                <w:rPr>
                  <w:rStyle w:val="InternetLink"/>
                  <w:rFonts w:ascii="Times New Roman;sans-serif" w:hAnsi="Times New Roman;sans-serif"/>
                  <w:b w:val="false"/>
                  <w:strike w:val="false"/>
                  <w:dstrike w:val="false"/>
                  <w:color w:val="000000"/>
                  <w:sz w:val="20"/>
                  <w:u w:val="none"/>
                  <w:effect w:val="none"/>
                </w:rPr>
                <w:t>38</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e01b86dbc2543b285394a635671843f_175">
              <w:r>
                <w:rPr>
                  <w:rStyle w:val="InternetLink"/>
                  <w:rFonts w:ascii="Times New Roman;sans-serif" w:hAnsi="Times New Roman;sans-serif"/>
                  <w:b/>
                  <w:strike w:val="false"/>
                  <w:dstrike w:val="false"/>
                  <w:color w:val="000000"/>
                  <w:sz w:val="20"/>
                  <w:u w:val="none"/>
                  <w:effect w:val="none"/>
                </w:rPr>
                <w:t>SIGNATURES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6189" w:type="dxa"/>
        <w:jc w:val="left"/>
        <w:tblInd w:w="0" w:type="dxa"/>
        <w:tblLayout w:type="fixed"/>
        <w:tblCellMar>
          <w:top w:w="28" w:type="dxa"/>
          <w:left w:w="28" w:type="dxa"/>
          <w:bottom w:w="28" w:type="dxa"/>
          <w:right w:w="28" w:type="dxa"/>
        </w:tblCellMar>
      </w:tblPr>
      <w:tblGrid>
        <w:gridCol w:w="1117"/>
        <w:gridCol w:w="982"/>
        <w:gridCol w:w="990"/>
        <w:gridCol w:w="211"/>
        <w:gridCol w:w="826"/>
        <w:gridCol w:w="109"/>
        <w:gridCol w:w="109"/>
        <w:gridCol w:w="109"/>
        <w:gridCol w:w="109"/>
        <w:gridCol w:w="211"/>
        <w:gridCol w:w="826"/>
        <w:gridCol w:w="109"/>
        <w:gridCol w:w="109"/>
        <w:gridCol w:w="109"/>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rentals and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labor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Non-labor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and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59"/>
        <w:gridCol w:w="2321"/>
        <w:gridCol w:w="2333"/>
        <w:gridCol w:w="211"/>
        <w:gridCol w:w="721"/>
        <w:gridCol w:w="109"/>
        <w:gridCol w:w="109"/>
        <w:gridCol w:w="109"/>
        <w:gridCol w:w="109"/>
        <w:gridCol w:w="211"/>
        <w:gridCol w:w="721"/>
        <w:gridCol w:w="109"/>
        <w:gridCol w:w="109"/>
        <w:gridCol w:w="109"/>
        <w:gridCol w:w="109"/>
        <w:gridCol w:w="156"/>
      </w:tblGrid>
      <w:tr>
        <w:trPr/>
        <w:tc>
          <w:tcPr>
            <w:tcW w:w="265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 of $(20) and $180 for the three months ended March 31, 2025 and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09"/>
        <w:gridCol w:w="2111"/>
        <w:gridCol w:w="2127"/>
        <w:gridCol w:w="211"/>
        <w:gridCol w:w="976"/>
        <w:gridCol w:w="109"/>
        <w:gridCol w:w="109"/>
        <w:gridCol w:w="109"/>
        <w:gridCol w:w="109"/>
        <w:gridCol w:w="225"/>
        <w:gridCol w:w="1043"/>
        <w:gridCol w:w="167"/>
      </w:tblGrid>
      <w:tr>
        <w:trPr/>
        <w:tc>
          <w:tcPr>
            <w:tcW w:w="290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par value data)</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doubtful accounts of $21,858 and $13,290 in 2025 and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held for installment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assets, net of accumulated depreciation of $565,023 and $548,708 in 2025 and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2,649,662 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2,020,678 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250,000,000 shares authorized; 128,885,953 and 125,796,878 shares issued in March 31,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71,060,928 shares in March 31, 2025 and December 31,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2,649,662 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581" w:type="dxa"/>
        <w:jc w:val="center"/>
        <w:tblInd w:w="0" w:type="dxa"/>
        <w:tblLayout w:type="fixed"/>
        <w:tblCellMar>
          <w:top w:w="28" w:type="dxa"/>
          <w:left w:w="28" w:type="dxa"/>
          <w:bottom w:w="28" w:type="dxa"/>
          <w:right w:w="28" w:type="dxa"/>
        </w:tblCellMar>
      </w:tblPr>
      <w:tblGrid>
        <w:gridCol w:w="536"/>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211"/>
        <w:gridCol w:w="82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Dividends declared</w:t>
            </w:r>
            <w:r>
              <w:rPr>
                <w:rFonts w:ascii="Times New Roman;sans-serif" w:hAnsi="Times New Roman;sans-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 acquisition equity consideration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Cash dividends declared but not paid for the three months ended March 31, 2025 was $0.39 per common share.</w:t>
      </w:r>
    </w:p>
    <w:p>
      <w:pPr>
        <w:pStyle w:val="TextBody"/>
        <w:bidi w:val="0"/>
        <w:spacing w:before="0" w:after="0"/>
        <w:jc w:val="center"/>
        <w:rPr/>
      </w:pPr>
      <w:r>
        <w:rPr/>
      </w:r>
    </w:p>
    <w:p>
      <w:pPr>
        <w:pStyle w:val="TextBody"/>
        <w:bidi w:val="0"/>
        <w:spacing w:before="0" w:after="0"/>
        <w:jc w:val="center"/>
        <w:rPr/>
      </w:pPr>
      <w:r>
        <w:rPr/>
      </w:r>
    </w:p>
    <w:tbl>
      <w:tblPr>
        <w:tblW w:w="11581" w:type="dxa"/>
        <w:jc w:val="center"/>
        <w:tblInd w:w="0" w:type="dxa"/>
        <w:tblLayout w:type="fixed"/>
        <w:tblCellMar>
          <w:top w:w="28" w:type="dxa"/>
          <w:left w:w="28" w:type="dxa"/>
          <w:bottom w:w="28" w:type="dxa"/>
          <w:right w:w="28" w:type="dxa"/>
        </w:tblCellMar>
      </w:tblPr>
      <w:tblGrid>
        <w:gridCol w:w="536"/>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69"/>
        <w:gridCol w:w="806"/>
        <w:gridCol w:w="141"/>
        <w:gridCol w:w="109"/>
        <w:gridCol w:w="109"/>
        <w:gridCol w:w="109"/>
        <w:gridCol w:w="211"/>
        <w:gridCol w:w="82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Dividends declared</w:t>
            </w:r>
            <w:r>
              <w:rPr>
                <w:rFonts w:ascii="Times New Roman;sans-serif" w:hAnsi="Times New Roman;sans-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Cash dividends declared but not paid, for the three months ended March 31, 2024 were $0.37 per common share.</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9309" w:type="dxa"/>
        <w:jc w:val="left"/>
        <w:tblInd w:w="0" w:type="dxa"/>
        <w:tblLayout w:type="fixed"/>
        <w:tblCellMar>
          <w:top w:w="28" w:type="dxa"/>
          <w:left w:w="28" w:type="dxa"/>
          <w:bottom w:w="28" w:type="dxa"/>
          <w:right w:w="28" w:type="dxa"/>
        </w:tblCellMar>
      </w:tblPr>
      <w:tblGrid>
        <w:gridCol w:w="2444"/>
        <w:gridCol w:w="2151"/>
        <w:gridCol w:w="2155"/>
        <w:gridCol w:w="211"/>
        <w:gridCol w:w="826"/>
        <w:gridCol w:w="109"/>
        <w:gridCol w:w="109"/>
        <w:gridCol w:w="109"/>
        <w:gridCol w:w="109"/>
        <w:gridCol w:w="211"/>
        <w:gridCol w:w="721"/>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rental merchandise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or disposal of property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acquired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and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payment of employee tax withholdings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1 - Basis of Presentation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2024.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reported amounts for prior periods to conform to the current period presentation. These reclassifications have no impact on net earnings or earnings per share in any period. See Note 3 and Note 10 for further information.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Nature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currently report four operating segments: Acima, Rent-A-Center, Brigit and Mexico.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2025, we established a new operating segment following the acquisition of Bridge IT, Inc. (“Brigit”). Please reference Note 2 for additional discussion of the acquisition. In addition we combined our Franchising segment with our Rent-A-Center segment. Financial information disclosed within this report has been recast for the related prior year period to reflect this change. Brigit’s results of operations are reflected in our Condensed Consolidated Statements of Operations from January 31, 2025.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Acima segment, which primarily operates in the United States and Puerto Rico, generally offers the lease-to-own transaction to consumers who do not qualify for traditional financing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of 3.0% to 6.0% of the franchisees' monthly gross revenues. Our Rent-A-Center segment operates through our company-owned and franchise stores, and e-commerce platforms through rentacenter.com, getitnowstores.com and homechoicestores.com.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Brigit segment, which operates in the United States, includes the operations of Bridge IT Inc., which was acquired on January 31, 2025 (the “Closing Date”). The Brigit segment, through mobile and web applications, offers various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health products and tools to help users improve their financial health, such as Finance Helper, Earn and Save, Instant Cash, Credit Builder, Identity Theft Protection and more. These products and tools help customers budget better, improve financial literacy, find ways to earn and save money, access their earned wages before their regularly scheduled payday, build their credit through savings and protect themselves from identity theft.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Mexico segment consists of our company-owned lease-to-own stores in Mexico that lease durable goods to customers on a lease-to-own basis.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Newly Adopted Accounting Pronouncements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Adoption of ASU 2023-09 was required for us beginning January 1, 2025 for our fiscal year ended December 31, 2025. We will include required disclosures in our annual reporting period ending December 31, 2025 and interim reporting periods beginning after December 31, 2025 using a prospective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2 - Acquisitions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12, 2024, we entered into an Agreement and Plan of Merger (the “Merger Agreement”) with Fortuna Merger Sub, Inc., a Delaware corporation and wholly owned subsidiary of the Company (“Merger Sub”), Brigit, and Shareholder Representative Services LLC, solely in its capacity as the representative, agent and attorney-in-fact of Brigit’s securityholders, pursuant to which Merger Sub merged with and into Brigit (the “Merger”), with Brigit surviving the Merger as a wholly owned subsidiary of the Company. The Merger with Brigit, a leading holistic financial health technology company, is intended to accelerate Upbound’s strategy to provide technology-driven financial solutions to customers underserved by the traditional financial system. The Merger was completed on the Closing Date for total purchase consideration of approximately $392.6 million comprised of stock, cash and other consideration described further below.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Merger Agreement, we issued to the security holders of Brigit (the “Brigit Securityholders”) approximately 2.7 million shares of our common stock, par value $0.01 per share (the “Closing Stock Consideration”), with a value of $29.75 per share based on the volume-weighted average price of our common stock over the ten consecutive trading days ending on (and including) the trading day immediately prior to the Closing Date, and paid to them closing cash consideration of approximately $278.9 million (“Closing Cash Consideration”), excluding approximately $62.3 million in debt settlement payments and other transaction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entered into deferred cash award agreements with certain Brigit employees to replace their unvested Brigit stock options or unvested phantom awards, as applicable, (“Replacement Awards”), each entitling the holder to receive an amount in cash upon vesting equal to the excess of the merger consideration per common shares over the exercise price of the original award. The maximum amount payable pursuant to the Replacement Awards, approximately $7.8 million, included in the Closing Cash Consideration described above, was escrowed on the Closing Date and recorded to Prepaid and other assets in our Condensed Consolidated Balance Sheet. The Replacement Awards are subject to vesting conditions that are substantially similar to those of the original awards. They will be amortized over the remaining award vesting periods as compensation expense and recorded to other gains and charges in our unaudited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Merger Agreement, we will also pay the Brigit Securityholders $75 million, payable in multiple installments (“Deferred Consideration”), $37.5 million of which will be payable 30 days following the first anniversary of the Closing Date and the remainder of which will be payable no later than 30 days following the second anniversary of the Closing Date. The payment of the Deferred Consideration is subject to acceleration if certain acceleration events specified in the Merger Agreement occur prior to the payment of the Deferred Consideration. The estimated fair value of the Deferred Consideration at the Closing Date was approximately $66.1 million, discounted to estimate the present value of the installment payments that will be made over a 2-year period as described above. The Brigit Securityholders may also receive up to $60 million in earnout payments based on the achievement of certain financial performance metrics for the Brigit business in 2026. The estimated fair value of the earnout payments at the Closing Date was approximately $10.6 million. The fair value of the earnout payments was estimated using a Monte Carlo simulation model based on our estimated long range cash flow projections for the Brigit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portion of Closing Stock Consideration issued to Brigit’s co-founders and certain of their respective affiliates (collectively, the “Co-Founders”) included approximately 1.3 million shares, valued at $39 million, which are subject to certain vesting restrictions over a two-year period from the Closing Date and other limitations set forth in a restricted stock agreement entered into with each such Co-Founder. These shares are being recognized as stock-based compensation expense subject to ASC Topic 718, “Stock-based Compensation”, over the required vesting period, and recorded to other gains and charges in our unaudited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 in connection with the acquisition have been recorded at their fair values. The following table provides the preliminary estimated fair values of the identifiable assets acquired and liabilities assumed as of the acquisition date:</w:t>
      </w:r>
    </w:p>
    <w:tbl>
      <w:tblPr>
        <w:tblW w:w="4319" w:type="dxa"/>
        <w:jc w:val="left"/>
        <w:tblInd w:w="0" w:type="dxa"/>
        <w:tblLayout w:type="fixed"/>
        <w:tblCellMar>
          <w:top w:w="28" w:type="dxa"/>
          <w:left w:w="28" w:type="dxa"/>
          <w:bottom w:w="28" w:type="dxa"/>
          <w:right w:w="28" w:type="dxa"/>
        </w:tblCellMar>
      </w:tblPr>
      <w:tblGrid>
        <w:gridCol w:w="1040"/>
        <w:gridCol w:w="916"/>
        <w:gridCol w:w="923"/>
        <w:gridCol w:w="255"/>
        <w:gridCol w:w="999"/>
        <w:gridCol w:w="186"/>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Aggregate cash consideration</w:t>
            </w:r>
            <w:r>
              <w:rPr>
                <w:rFonts w:ascii="Times New Roman;sans-serif" w:hAnsi="Times New Roman;sans-serif"/>
                <w:b w:val="false"/>
                <w:color w:val="000000"/>
                <w:sz w:val="13"/>
              </w:rPr>
              <w:t>(1)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Aggregate stock consideration</w:t>
            </w:r>
            <w:r>
              <w:rPr>
                <w:rFonts w:ascii="Times New Roman;sans-serif" w:hAnsi="Times New Roman;sans-serif"/>
                <w:b w:val="false"/>
                <w:color w:val="000000"/>
                <w:sz w:val="13"/>
              </w:rPr>
              <w:t>(2)</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consideration</w:t>
            </w:r>
            <w:r>
              <w:rPr>
                <w:rFonts w:ascii="Times New Roman;sans-serif" w:hAnsi="Times New Roman;sans-serif"/>
                <w:b w:val="false"/>
                <w:color w:val="000000"/>
                <w:sz w:val="13"/>
              </w:rPr>
              <w:t>(3)</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392,555 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Receivables, net</w:t>
            </w:r>
            <w:r>
              <w:rPr>
                <w:rFonts w:ascii="Times New Roman;sans-serif" w:hAnsi="Times New Roman;sans-serif"/>
                <w:b w:val="false"/>
                <w:color w:val="000000"/>
                <w:sz w:val="13"/>
              </w:rPr>
              <w:t>(4)</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assets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392,555 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4"/>
        </w:rPr>
        <w:t>Aggregate cash consideration excludes $7.8 million in Replacement Awards described above and $58.6 million in cash acquired, and includes cash paid to settle Brigit's outstanding debt and loan balances of $62.3 million</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4"/>
        </w:rPr>
        <w:t>Aggregate stock consideration excludes approximately 1.3 million shares valued at approximately $39 million subject to certain vesting restrictions, as described further above</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4"/>
        </w:rPr>
        <w:t xml:space="preserve">Includes the fair value of Deferred Consideration and earnout payments described above, which were not included in Closing Cash Consideration paid at the time of closing but will be paid out in future periods based on the terms of the Merger Agreement </w:t>
      </w:r>
    </w:p>
    <w:p>
      <w:pPr>
        <w:pStyle w:val="TextBody"/>
        <w:bidi w:val="0"/>
        <w:spacing w:lineRule="auto" w:line="288" w:before="0" w:after="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4"/>
        </w:rPr>
        <w:t>Includes gross contractual receivables of $43.8 million related to customer cash advances, of which $4.5 million were estimated to be uncollectible as of the Closing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values for certain assets and liabilities assumed as part of the acquisition, including receivables, prepaid expenses and other assets, accounts payable and accrued liabilities were considered equivalent to and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assets acquired, including $152.3 million of identifiable intangible assets with an estimated weighted average useful life of nine years, as follows:</w:t>
      </w:r>
    </w:p>
    <w:tbl>
      <w:tblPr>
        <w:tblW w:w="6583" w:type="dxa"/>
        <w:jc w:val="left"/>
        <w:tblInd w:w="0" w:type="dxa"/>
        <w:tblLayout w:type="fixed"/>
        <w:tblCellMar>
          <w:top w:w="28" w:type="dxa"/>
          <w:left w:w="28" w:type="dxa"/>
          <w:bottom w:w="28" w:type="dxa"/>
          <w:right w:w="28" w:type="dxa"/>
        </w:tblCellMar>
      </w:tblPr>
      <w:tblGrid>
        <w:gridCol w:w="606"/>
        <w:gridCol w:w="535"/>
        <w:gridCol w:w="538"/>
        <w:gridCol w:w="303"/>
        <w:gridCol w:w="1189"/>
        <w:gridCol w:w="157"/>
        <w:gridCol w:w="951"/>
        <w:gridCol w:w="951"/>
        <w:gridCol w:w="1353"/>
      </w:tblGrid>
      <w:tr>
        <w:trPr/>
        <w:tc>
          <w:tcPr>
            <w:tcW w:w="60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 Class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br/>
              <w:t>(in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Remaining Useful Life (in years)</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Developed technology, included in Property assets, net, in line with our accounting policies, was also acquired with a value of $65.1 million and an estimated remaining useful life of seven years. The fair value for these intangible and property assets were estimated using common industry valuation methods for similar asset types, including the relief-from-royalty, excess earnings and replacement cost methods based primarily on the Company's cost inputs and projected cash flows.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recorded goodwill of $198.2 million in our Brigit operating segment, which consists of the excess of the net purchase price over the fair value of the net assets acquired. Goodwill represents expected cost and revenue synergies and other benefits expected to result within our financial health business from the acquisition of Brigit.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Brigit’s results of operations are reflected in our unaudited Condensed Consolidated Statements of Operations from the Closing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still in the process of finalizing our assessment of the preliminary purchase price allocation and will record any additional necessary adjustments to acquired assets and liabilities within the allowable measurement period.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acquisition, we have incurred approximately $9.9 million in acquisition-related expenses including expenses related to legal, professional, and banking transaction fees, of which $6.2 million was recognized during the three months ended March 31, 2025. These costs were included in other gains and charges in our unaudited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combined results of operations present our financial results as if the acquisition of Brigit had been completed on January 1, 2024. These unaudited pro forma results may not necessarily reflect the actual results of operations that would have been achieved, nor are they necessarily indicative of future results of operations. The unaudited pro forma information reflects step-up and step-down adjustments for depreciation and amortization of $1.8 million and $5.7 million for the fair value of the assets acquired, compensation expense of $0.9 million and $7.5 million as a result of Closing Stock Consideration and Replacement Awards subject to vesting provisions, interest expense of $1.4 million and $4.3 million due to the elimination of historical debt, accreted interest of $0.4 million and $1.1 million related to the Deferred Consideration, and adjustments to income tax expense (benefit) of $1.8 million and $(7.0) million, for the three months ended March 31, 2025 and 2024, respectively. In addition, pro forma net income for the three months ended March 31, 2025 and 2024 has been adjusted to reflect transaction expenses incurred of $22.5 million as of January 1, 2024. The unaudited pro forma financial information is as follows:</w:t>
      </w:r>
    </w:p>
    <w:tbl>
      <w:tblPr>
        <w:tblW w:w="6024" w:type="dxa"/>
        <w:jc w:val="left"/>
        <w:tblInd w:w="0" w:type="dxa"/>
        <w:tblLayout w:type="fixed"/>
        <w:tblCellMar>
          <w:top w:w="28" w:type="dxa"/>
          <w:left w:w="28" w:type="dxa"/>
          <w:bottom w:w="28" w:type="dxa"/>
          <w:right w:w="28" w:type="dxa"/>
        </w:tblCellMar>
      </w:tblPr>
      <w:tblGrid>
        <w:gridCol w:w="950"/>
        <w:gridCol w:w="836"/>
        <w:gridCol w:w="838"/>
        <w:gridCol w:w="211"/>
        <w:gridCol w:w="976"/>
        <w:gridCol w:w="109"/>
        <w:gridCol w:w="109"/>
        <w:gridCol w:w="109"/>
        <w:gridCol w:w="109"/>
        <w:gridCol w:w="211"/>
        <w:gridCol w:w="976"/>
        <w:gridCol w:w="109"/>
        <w:gridCol w:w="109"/>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 Forma net earnings (loss)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4"/>
        </w:rPr>
        <w:t xml:space="preserve">Total pro forma adjustments to net earnings (loss) represented increases of $6.9 million for the three months ended March 31, 2025, and decreases of $30.1 million for the three months ended March 31,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revenue and earnings of Brigit included in our Condensed Consolidated Statements of Operations from the acquisition date of January 31, 2025 are as follows:</w:t>
      </w:r>
    </w:p>
    <w:tbl>
      <w:tblPr>
        <w:tblW w:w="2973" w:type="dxa"/>
        <w:jc w:val="left"/>
        <w:tblInd w:w="0" w:type="dxa"/>
        <w:tblLayout w:type="fixed"/>
        <w:tblCellMar>
          <w:top w:w="28" w:type="dxa"/>
          <w:left w:w="28" w:type="dxa"/>
          <w:bottom w:w="28" w:type="dxa"/>
          <w:right w:w="28" w:type="dxa"/>
        </w:tblCellMar>
      </w:tblPr>
      <w:tblGrid>
        <w:gridCol w:w="478"/>
        <w:gridCol w:w="420"/>
        <w:gridCol w:w="421"/>
        <w:gridCol w:w="304"/>
        <w:gridCol w:w="1039"/>
        <w:gridCol w:w="157"/>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January 31, 2025 -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earnings</w:t>
            </w:r>
            <w:r>
              <w:rPr>
                <w:rFonts w:ascii="Times New Roman;sans-serif" w:hAnsi="Times New Roman;sans-serif"/>
                <w:b w:val="false"/>
                <w:color w:val="000000"/>
                <w:sz w:val="13"/>
              </w:rPr>
              <w:t>(1)</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9"/>
        </w:rPr>
        <w:t>(1)</w:t>
      </w:r>
      <w:r>
        <w:rPr>
          <w:rFonts w:ascii="Times New Roman;sans-serif" w:hAnsi="Times New Roman;sans-serif"/>
          <w:b w:val="false"/>
          <w:color w:val="000000"/>
          <w:sz w:val="14"/>
        </w:rPr>
        <w:t>Net earnings for the period includes amortization of intangible assets acquired upon closing of the Brigit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 Revenues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our revenue for the periods ended March 31, 2025 and 2024:</w:t>
      </w:r>
    </w:p>
    <w:tbl>
      <w:tblPr>
        <w:tblW w:w="8997" w:type="dxa"/>
        <w:jc w:val="left"/>
        <w:tblInd w:w="0" w:type="dxa"/>
        <w:tblLayout w:type="fixed"/>
        <w:tblCellMar>
          <w:top w:w="28" w:type="dxa"/>
          <w:left w:w="28" w:type="dxa"/>
          <w:bottom w:w="28" w:type="dxa"/>
          <w:right w:w="28" w:type="dxa"/>
        </w:tblCellMar>
      </w:tblPr>
      <w:tblGrid>
        <w:gridCol w:w="700"/>
        <w:gridCol w:w="616"/>
        <w:gridCol w:w="618"/>
        <w:gridCol w:w="211"/>
        <w:gridCol w:w="826"/>
        <w:gridCol w:w="109"/>
        <w:gridCol w:w="109"/>
        <w:gridCol w:w="109"/>
        <w:gridCol w:w="109"/>
        <w:gridCol w:w="218"/>
        <w:gridCol w:w="854"/>
        <w:gridCol w:w="114"/>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Brigit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06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8682" w:type="dxa"/>
        <w:jc w:val="left"/>
        <w:tblInd w:w="0" w:type="dxa"/>
        <w:tblLayout w:type="fixed"/>
        <w:tblCellMar>
          <w:top w:w="28" w:type="dxa"/>
          <w:left w:w="28" w:type="dxa"/>
          <w:bottom w:w="28" w:type="dxa"/>
          <w:right w:w="28" w:type="dxa"/>
        </w:tblCellMar>
      </w:tblPr>
      <w:tblGrid>
        <w:gridCol w:w="700"/>
        <w:gridCol w:w="616"/>
        <w:gridCol w:w="618"/>
        <w:gridCol w:w="211"/>
        <w:gridCol w:w="826"/>
        <w:gridCol w:w="109"/>
        <w:gridCol w:w="109"/>
        <w:gridCol w:w="109"/>
        <w:gridCol w:w="109"/>
        <w:gridCol w:w="218"/>
        <w:gridCol w:w="854"/>
        <w:gridCol w:w="114"/>
        <w:gridCol w:w="109"/>
        <w:gridCol w:w="109"/>
        <w:gridCol w:w="109"/>
        <w:gridCol w:w="211"/>
        <w:gridCol w:w="406"/>
        <w:gridCol w:w="109"/>
        <w:gridCol w:w="109"/>
        <w:gridCol w:w="109"/>
        <w:gridCol w:w="109"/>
        <w:gridCol w:w="211"/>
        <w:gridCol w:w="721"/>
        <w:gridCol w:w="109"/>
        <w:gridCol w:w="109"/>
        <w:gridCol w:w="109"/>
        <w:gridCol w:w="109"/>
        <w:gridCol w:w="211"/>
        <w:gridCol w:w="97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Brigit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6748"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514,054 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Lease Purchase Agreements</w:t>
      </w:r>
    </w:p>
    <w:p>
      <w:pPr>
        <w:pStyle w:val="TextBody"/>
        <w:bidi w:val="0"/>
        <w:spacing w:lineRule="auto" w:line="288" w:before="120" w:after="283"/>
        <w:jc w:val="both"/>
        <w:rPr/>
      </w:pPr>
      <w:r>
        <w:rPr>
          <w:rFonts w:ascii="Times New Roman;sans-serif" w:hAnsi="Times New Roman;sans-serif"/>
          <w:b w:val="false"/>
          <w:i/>
          <w:color w:val="000000"/>
          <w:sz w:val="20"/>
        </w:rPr>
        <w:t>Rentals and Fees.</w:t>
      </w:r>
      <w:r>
        <w:rPr>
          <w:color w:val="000000"/>
        </w:rPr>
        <w:t xml:space="preserve"> </w:t>
      </w:r>
      <w:r>
        <w:rPr>
          <w:rFonts w:ascii="Times New Roman;sans-serif" w:hAnsi="Times New Roman;sans-serif"/>
          <w:b w:val="false"/>
          <w:color w:val="000000"/>
          <w:sz w:val="20"/>
        </w:rPr>
        <w:t>Rental merchandise is leased to customers pursuant to lease-to-own agreements, which provide for weekly, bi-weekly, semi-monthly or 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payments received at our company-owned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4 for additional information regarding accrued lease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received for rental payments, including fees, prior to the period in which it should be recognized, is deferred and recognized according to the lease term. At March 31, 2025 and December 31, 2024, we had $63.6 million and $61.6 million, respectively, in deferred revenue included in accrued liabilities related to our lease-to-own agreements. Revenues related to various payments, reinstatement or late fees are recognized when paid by the customer at the point service is provided. Rental merchandise in our company-owned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cancel the plans at any time. Revenue for product plans is recognized over the term of the plan. Costs incurred related to product plans are primarily recognized in cost of revenues.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lineRule="auto" w:line="288" w:before="120" w:after="283"/>
        <w:jc w:val="both"/>
        <w:rPr/>
      </w:pPr>
      <w:r>
        <w:rPr>
          <w:rFonts w:ascii="Times New Roman;sans-serif" w:hAnsi="Times New Roman;sans-serif"/>
          <w:b w:val="false"/>
          <w:i/>
          <w:color w:val="000000"/>
          <w:sz w:val="20"/>
        </w:rPr>
        <w:t>Merchandise Sales.</w:t>
      </w:r>
      <w:r>
        <w:rPr>
          <w:color w:val="000000"/>
        </w:rPr>
        <w:t xml:space="preserve"> </w:t>
      </w:r>
      <w:r>
        <w:rPr>
          <w:rFonts w:ascii="Times New Roman;sans-serif" w:hAnsi="Times New Roman;sans-serif"/>
          <w:b w:val="false"/>
          <w:color w:val="000000"/>
          <w:sz w:val="20"/>
        </w:rPr>
        <w:t>Revenue for merchandise sales is recognized when payment is received and ownership of the merchandise passes to the customer. Merchandise sales include payments received for the exercise of the early purchase options offered through our lease-to-own agreements or merchandise sold through point-of-sale transactions. The remaining net value of lease merchandise sold is recorded to cost of merchandise sold at the time of the transaction. Revenue from the sale of lease merchandise to our franchisees is recognized upon shipment of the merchandise to the franchisee (previously reported in franchise merchandise sales in prior periods).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the sale of merchandise in our retail installment stores is recognized when the installment note is signed and control of the merchandise has passed to the customer (previously reported in installment sales revenue in prior periods). The cost of merchandise sold through installment agreements is recognized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both March 31, 2025 and December 31, 2024, we had $0.6 million in deferred revenue included in accrued liabilities related to extended service plans.</w:t>
      </w:r>
    </w:p>
    <w:p>
      <w:pPr>
        <w:pStyle w:val="TextBody"/>
        <w:bidi w:val="0"/>
        <w:spacing w:lineRule="auto" w:line="288" w:before="120" w:after="283"/>
        <w:jc w:val="both"/>
        <w:rPr/>
      </w:pPr>
      <w:r>
        <w:rPr>
          <w:rFonts w:ascii="Times New Roman;sans-serif" w:hAnsi="Times New Roman;sans-serif"/>
          <w:b w:val="false"/>
          <w:i/>
          <w:color w:val="000000"/>
          <w:sz w:val="20"/>
        </w:rPr>
        <w:t>Subscriptions and fees.</w:t>
      </w:r>
      <w:r>
        <w:rPr>
          <w:color w:val="000000"/>
        </w:rPr>
        <w:t xml:space="preserve"> </w:t>
      </w:r>
      <w:r>
        <w:rPr>
          <w:rFonts w:ascii="Times New Roman;sans-serif" w:hAnsi="Times New Roman;sans-serif"/>
          <w:b w:val="false"/>
          <w:color w:val="000000"/>
          <w:sz w:val="20"/>
        </w:rPr>
        <w:t>Subscription payments in our Brigit segment are received on a monthly basis from customers who upgrade to a Plus or Premium subscription tier via the Brigit mobile application and/or web browser. Depending on the optional subscription tier, the customer gains access to some or all of the following services: Credit Monitoring, Credit Builder, Identity Theft Protection, and Instant Cash. This payment can range based on a variety of factors and higher cost tiers generally offer additional services. Brigit continually fulfills obligations to each customer over the subscription term. The series of distinct services represent a single performance obligation that is satisfied over time. We recognize revenue ratably as the customer receives and consumes the benefits of the platform throughout the monthly contract period. Price concessions are granted to customers who have insufficient funds when subscription payments are due and not collected.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receive payments from customers who request their cash advance be delivered faster. Such expedited transfer fee payments from customers are recognized as revenue over the expected term of the associated customer cash advance. We also serve offers from our marketplace partners’ products and services in our Earn &amp; Save section of our mobile application. We receive a payment based on contractual terms, generally on the basis of customer traffic or conversions brought to such products or services. Marketplace revenues are recognized as customer traffic is added and conversions to the marketplace partners’ products and services occur.</w:t>
      </w:r>
    </w:p>
    <w:p>
      <w:pPr>
        <w:pStyle w:val="TextBody"/>
        <w:bidi w:val="0"/>
        <w:spacing w:lineRule="auto" w:line="288" w:before="120" w:after="283"/>
        <w:jc w:val="both"/>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Other revenue primarily consists of franchise royalties, including franchisee contributions to corporate advertising funds, which represent sales-based royalties calculated as a percentage of gross rental payments and sales (previously reported in royalty income and fees in prior periods). Royalty revenue is accrued and recognized as lease payments and merchandise sales occur. Franchise fees are initial fees charged to franchisees for new or converted franchise stores. Franchise fee revenue is recognized on a straight-line basis over the term of the franchise agreement. At March 31, 2025 and December 31, 2024, we had $2.6 million and $2.7 million, respectively, in deferred revenue included in accrued liabilities related to franchise fees.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also includes revenues generated by other miscellaneous product plans offered to our lease-to-own and installment customers. Revenue for other product plans is recognized in accordance with the terms of the applicable plan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 Receivables and Allowance for Doubtful Accounts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makes a payment, generally on a monthly basis. Interest payments received on installment agreements for each of the three months ended March 31, 2025 and 2024 were $2.5 million and $2.7 million, respectively, included in our merchandise sales revenue in our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cash advances consist of earned wage access advances provided to Brigit customers when requested. By leveraging cash flow information from the customer’s bank account as well as customer verified income information, Brigit’s algorithm assesses their earned income and ability to repay, with no FICO needed and no impact on credit scores. Brigit’s algorithms also predict when a customer may fall short and can automatically send advances to the customers’ account if they choose. Generally customers repay cash advances shortly after they receive their next paycheck.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consist of the following:</w:t>
      </w:r>
    </w:p>
    <w:tbl>
      <w:tblPr>
        <w:tblW w:w="7242" w:type="dxa"/>
        <w:jc w:val="left"/>
        <w:tblInd w:w="0" w:type="dxa"/>
        <w:tblLayout w:type="fixed"/>
        <w:tblCellMar>
          <w:top w:w="28" w:type="dxa"/>
          <w:left w:w="28" w:type="dxa"/>
          <w:bottom w:w="28" w:type="dxa"/>
          <w:right w:w="28" w:type="dxa"/>
        </w:tblCellMar>
      </w:tblPr>
      <w:tblGrid>
        <w:gridCol w:w="1489"/>
        <w:gridCol w:w="1309"/>
        <w:gridCol w:w="1312"/>
        <w:gridCol w:w="237"/>
        <w:gridCol w:w="891"/>
        <w:gridCol w:w="132"/>
        <w:gridCol w:w="109"/>
        <w:gridCol w:w="109"/>
        <w:gridCol w:w="109"/>
        <w:gridCol w:w="279"/>
        <w:gridCol w:w="1047"/>
        <w:gridCol w:w="219"/>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and notes receivables</w:t>
            </w:r>
            <w:r>
              <w:rPr>
                <w:rFonts w:ascii="Times New Roman;sans-serif" w:hAnsi="Times New Roman;sans-serif"/>
                <w:b w:val="false"/>
                <w:color w:val="000000"/>
                <w:sz w:val="12"/>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109,486 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sales receivables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cash advances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169,728 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Less allowance for doubtful accounts</w:t>
            </w:r>
            <w:r>
              <w:rPr>
                <w:rFonts w:ascii="Times New Roman;sans-serif" w:hAnsi="Times New Roman;sans-serif"/>
                <w:b w:val="false"/>
                <w:color w:val="000000"/>
                <w:sz w:val="12"/>
              </w:rPr>
              <w:t>(2)</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 net of allowance for doubtful accounts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184,826 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156,438 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 xml:space="preserve">Trade and notes receivables includes accrued revenue, adjusted for the probability of collection, related to our lease-to-own agreements of $47.9 million and $51.1 million at March 31, 2025 and December 31, 2024, respectively, including $44.7 million and $46.6 million related to lease-to-own agreements for Acima Holdings and $2.6 million and $3.6 million related to lease-to-own agreements for Rent-A-Center at March 31, 2025 and December 31, 2024, respectively. </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(2) </w:t>
      </w:r>
      <w:r>
        <w:rPr>
          <w:rFonts w:ascii="Times New Roman;sans-serif" w:hAnsi="Times New Roman;sans-serif"/>
          <w:b w:val="false"/>
          <w:color w:val="000000"/>
          <w:sz w:val="14"/>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allowance for customer cash advance losses based on a number of factors, including the length of time receivables are past due and previous loss history and current economic conditions. The allowance for credit losses is recognized upon origination of customer cash advances. Customer cash advances are deemed not collectible after 45 days beyond the due date and are charged-off as a reduction to the allowance for doubtful accounts and any recoveries of previously charged off balances are recognized as contra-bad debt expense in our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doubtful accounts related to franchising trade and notes receivables was $6.7 million and $2.2 million at March 31, 2025 and December 31, 2024, respectively, the allowance for doubtful accounts related to installment sales receivables was $11.1 million at both March 31, 2025 and December 31, 2024, and the allowance for doubtful accounts related to Brigit customer cash advances was $4.1 million at March 31,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allowance for doubtful accounts are as follows:</w:t>
      </w:r>
    </w:p>
    <w:tbl>
      <w:tblPr>
        <w:tblW w:w="4905" w:type="dxa"/>
        <w:jc w:val="left"/>
        <w:tblInd w:w="0" w:type="dxa"/>
        <w:tblLayout w:type="fixed"/>
        <w:tblCellMar>
          <w:top w:w="28" w:type="dxa"/>
          <w:left w:w="28" w:type="dxa"/>
          <w:bottom w:w="28" w:type="dxa"/>
          <w:right w:w="28" w:type="dxa"/>
        </w:tblCellMar>
      </w:tblPr>
      <w:tblGrid>
        <w:gridCol w:w="1146"/>
        <w:gridCol w:w="1008"/>
        <w:gridCol w:w="1011"/>
        <w:gridCol w:w="259"/>
        <w:gridCol w:w="856"/>
        <w:gridCol w:w="144"/>
        <w:gridCol w:w="109"/>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allowance for doubtful accounts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Bad debt expense</w:t>
            </w:r>
            <w:r>
              <w:rPr>
                <w:rFonts w:ascii="Times New Roman;sans-serif" w:hAnsi="Times New Roman;sans-serif"/>
                <w:b w:val="false"/>
                <w:color w:val="000000"/>
                <w:sz w:val="12"/>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written off, net of recoveries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Ending allowance for doubtful accounts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Uncollectible installment payments, franchisee obligations, customer cash advances and other corporate receivables are recognized in non-labor operating expenses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 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was 30.2% for the three months ended March 31, 2025, compared to 15.0% for the three months ended March 31, 2024. The increase in the effective tax rate for the three months ended March 31, 2025 was primarily attributable to non-deductible expenses related to the Brigit acquisition. Additionally, in the three months ended March 31, 2024 we recorded a favorable adjustment related to foreign deferred tax assets that did not reoccur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 Senior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17, 2021, we entered into a credit agreement with JPMorgan Chase Bank, N.A., as administrative agent, and lenders party thereto, providing for a seven-year $875 million senior secured term loan facility (the “Term Loan Facility”), as amended on September 21, 2021, June 15, 2023 and May 28, 2024, and an Asset Based Loan Credit Facility (the “ABL Credit Facility”), as amended August 10, 2022 and June 7, 2024,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third party legal and other professional fees, of which $25.3 million was capitalized in accordance with ASC Topic 470, “Debt” and recorded as a reduction of our outstanding senior debt, net in our Condensed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we entered into a First Amendment to the ABL Credit Facility, effective as of August 10, 2022. The amendment effected the replacement of LIBOR with Term Secured Overnight Financing Rate (“Term SOFR”) as the benchmark rate of interest thereunder.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15, 2023, we entered into a Second Amendment to the Term Loan Facility, effective as of June 15, 2023. The amendment effected the replacement of LIBOR with Term SOFR as the benchmark rate of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28, 2024 we entered into a Third Amendment to the Term Loan Facility, effective as of May 28, 2024. The amendment, in addition to certain other changes,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Third Amendment to the Term Loan Facility, we incurred approximately $2.0 million in debt issuance costs, including third party arrangement and other professional fees, of which approximately $1.8 million were expensed as debt refinance charges in our Condensed Consolidated Statements of Operations, and approximately $0.2 million were capitalized and recorded as a reduction to our outstanding senior debt in our Condensed Consolidated Balance Sheets. In addition, in accordance with ASC Topic 470, “Debt”, we recorded approximately $4.4 million in write-offs of unamortized debt issuance costs and original issue discount previously capitalized upon the issuance of the Term Loan Facility on February 17, 2021. The write-offs were recorded as debt refinance charges in our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2024, we entered into a Second Amendment to the ABL Credit Facility, effective as of June 7, 2024. The amendment, in addition to certain other changes, extended the maturity date for loans outstanding to June 7, 2029 (subject to certain springing maturity provisions).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Second Amendment to the ABL Credit Facility, we incurred approximately $3.2 million in debt issuance costs, including third-party arrangement and other professional fees, which were capitalized and recorded as a reduction to our outstanding senior debt in our Condensed Consolidated Balance Sheets. In addition, in accordance with ASC Topic 470, “Debt”, we recorded approximately $0.4 million in write-offs of unamortized debt issuance costs previously capitalized upon the issuance of the ABL Credit Facility on February 17, 2021. The write-offs were recorded as debt refinance charges in our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total remaining balances of unamortized debt issuance costs and original issue discount related to our senior debt reported in the Condensed Consolidated Balance Sheets were approximately $8.2 million and $0.7 million, respectively. Remaining unamortized debt issuance costs and original issue discount will be amortized to interest expense over the remaining terms of the ABL Credit Facility and Term Loan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$299.0 million outstanding borrowings under our ABL Credit Facility at March 31, 2025 and borrowing capacity of $204.5 million, net of issued letters of credit of approximately $46.5 million. The amount outstanding under the Term Loan Facility was $800.1 million at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bears interest at a fluctuating rate determined by reference to an adjusted Term SOFR rate plus an applicable margin of 1.50% to 2.00%. The total interest rate on the ABL Credit Facility at March 31, 2025 was 6.42%, including an applicable margin of 2.00%. A commitment fee equal to 0.250% to 0.375% of the unused portion of the ABL Credit Facility fluctuates dependent upon average utilization for the prior month as defined by a pricing grid included in the governing documents of the ABL Credit Facility. The commitment fee at March 31, 2025 was 0.250%. We paid $0.7 million of commitment fees during the first quarter of 2025.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ABL Credit Facility may be borrowed, repaid and re-borrowed until June 7, 2029,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March 31, 2025, we were in compliance with all requirements and conditions set forth in our ABL Credit Facility governing documents.</w:t>
      </w: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Term Loan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(plus additional amounts subject to satisfaction of certain financial ratios) of incremental term loan facilities to the Term Loan Facility or utilize incremental capacity under the Term Loan Facility at any time by issuing or incurring incremental equivalent term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borrowings under the Term Loan Facility is payable at a fluctuating rate of interest determined by reference to the Term SOFR rate plus an applicable margin of 2.75%, subject to a 0.50% Term SOFR floor. The total interest rate on the Term Loan Facility was 7.04% at March 31, 2025.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and debt incurrence (other than permitted debt), subject to certain limitations described therein. These covenants are subject to a number of limitations and exceptions set forth in the governing documents of the Term Loan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scheduled maturity dates of our outstanding senior debt at March 31, 2025 for each of the years ending December 31:</w:t>
      </w:r>
    </w:p>
    <w:tbl>
      <w:tblPr>
        <w:tblW w:w="6795"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109"/>
        <w:gridCol w:w="291"/>
        <w:gridCol w:w="1093"/>
        <w:gridCol w:w="161"/>
        <w:gridCol w:w="109"/>
        <w:gridCol w:w="109"/>
        <w:gridCol w:w="109"/>
        <w:gridCol w:w="308"/>
        <w:gridCol w:w="1156"/>
        <w:gridCol w:w="171"/>
        <w:gridCol w:w="109"/>
        <w:gridCol w:w="109"/>
        <w:gridCol w:w="109"/>
        <w:gridCol w:w="196"/>
        <w:gridCol w:w="871"/>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ABL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Term Loan Facility</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800,146 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800,146 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Annual installment requirements were reduced by the amount of the excess cash flow payments made in 2023, in accordance with the terms of the credit agreement governing the Term Loan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Senior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March 31, 2025, the total remaining balance of unamortized debt issuance costs related to our Notes reported in the Condensed Consolidated Balance Sheets was approximately $7.6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also provides for events of default, which, if any of them occurs, would permit or require the principal, premium, if any, and interest on all the then outstanding Notes to be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 Fair Value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and cash equivalents, receivables, payables, borrowings against our ABL Credit Facility and Term Loan Facility, and outstanding Notes. The carrying amount of cash and cash equivalents, receivables and payables approximates fair value at March 31, 2025 and December 31, 2024, because of the short maturities of these instruments. In addition, the interest rates on our Term Loan Facility and ABL Credit Facility are variable and, therefore, we believe the carrying value of outstanding borrowings approximates their fair value.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Notes is based on Level 1 inputs and was as follows at March 31, 2025:</w:t>
      </w:r>
    </w:p>
    <w:tbl>
      <w:tblPr>
        <w:tblW w:w="5134" w:type="dxa"/>
        <w:jc w:val="left"/>
        <w:tblInd w:w="0" w:type="dxa"/>
        <w:tblLayout w:type="fixed"/>
        <w:tblCellMar>
          <w:top w:w="28" w:type="dxa"/>
          <w:left w:w="28" w:type="dxa"/>
          <w:bottom w:w="28" w:type="dxa"/>
          <w:right w:w="28" w:type="dxa"/>
        </w:tblCellMar>
      </w:tblPr>
      <w:tblGrid>
        <w:gridCol w:w="407"/>
        <w:gridCol w:w="358"/>
        <w:gridCol w:w="359"/>
        <w:gridCol w:w="234"/>
        <w:gridCol w:w="880"/>
        <w:gridCol w:w="130"/>
        <w:gridCol w:w="109"/>
        <w:gridCol w:w="109"/>
        <w:gridCol w:w="109"/>
        <w:gridCol w:w="196"/>
        <w:gridCol w:w="736"/>
        <w:gridCol w:w="109"/>
        <w:gridCol w:w="109"/>
        <w:gridCol w:w="109"/>
        <w:gridCol w:w="109"/>
        <w:gridCol w:w="196"/>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Difference</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9 - Other Gains and Charges</w:t>
      </w:r>
    </w:p>
    <w:p>
      <w:pPr>
        <w:pStyle w:val="TextBody"/>
        <w:bidi w:val="0"/>
        <w:spacing w:lineRule="auto" w:line="288" w:before="120" w:after="283"/>
        <w:jc w:val="both"/>
        <w:rPr/>
      </w:pPr>
      <w:r>
        <w:rPr>
          <w:rFonts w:ascii="Times New Roman;sans-serif" w:hAnsi="Times New Roman;sans-serif"/>
          <w:b w:val="false"/>
          <w:i/>
          <w:color w:val="000000"/>
          <w:sz w:val="20"/>
        </w:rPr>
        <w:t>Acima Holdings Acquisition.</w:t>
      </w:r>
      <w:r>
        <w:rPr>
          <w:color w:val="000000"/>
        </w:rPr>
        <w:t xml:space="preserve"> </w:t>
      </w:r>
      <w:r>
        <w:rPr>
          <w:rFonts w:ascii="Times New Roman;sans-serif" w:hAnsi="Times New Roman;sans-serif"/>
          <w:b w:val="false"/>
          <w:color w:val="000000"/>
          <w:sz w:val="20"/>
        </w:rPr>
        <w:t>On February 17, 2021, we completed the acquisition of Acima Holdings, a leading provider of virtual lease-to-own solutions. Included in the aggregate consideration 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three months ended March 31, 2024, we recognized approximately $4.9 million in stock compensation expense, related to these restricted stock agreements. See Note 11 for additional information. These restricted stock agreements were fully vested during the three months ended March 31,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assets acquired as part of the transaction included $520 million in intangible assets and $170 million in developed technology. During the three months ended March 31, 2025 and 2024, we recognized approximately $10.9 million and $12.7 million in amortization expense, respectively, related to acquired intangible assets. We also recognized approximately $4.0 million and $3.9 million in incremental depreciation expense related to acquired technology assets during the three months ended March 31, 2025 and 2024, respectively.</w:t>
      </w:r>
    </w:p>
    <w:p>
      <w:pPr>
        <w:pStyle w:val="TextBody"/>
        <w:bidi w:val="0"/>
        <w:spacing w:lineRule="auto" w:line="288" w:before="120" w:after="283"/>
        <w:jc w:val="both"/>
        <w:rPr/>
      </w:pPr>
      <w:r>
        <w:rPr>
          <w:rFonts w:ascii="Times New Roman;sans-serif" w:hAnsi="Times New Roman;sans-serif"/>
          <w:b w:val="false"/>
          <w:i/>
          <w:color w:val="000000"/>
          <w:sz w:val="20"/>
        </w:rPr>
        <w:t xml:space="preserve">Brigit Acquisition. </w:t>
      </w:r>
      <w:r>
        <w:rPr>
          <w:rFonts w:ascii="Times New Roman;sans-serif" w:hAnsi="Times New Roman;sans-serif"/>
          <w:b w:val="false"/>
          <w:color w:val="000000"/>
          <w:sz w:val="20"/>
        </w:rPr>
        <w:t>As described in Note 2, on January 31, 2025, we completed the acquisition of Brigit, a leading holistic financial health technology company. Included in the aggregate consideration issued to the former owners of Brigit were 1,313,331 common shares, valued at approximately $39 million, issued under restricted stock agreements and subject to vesting conditions, will be recognized as stock compensation expense over the vesting term, in accordance with ASC Topic 718, “Stock-based Compensation”. During the three months ended March 31, 2025, we recognized approximately $4.1 million in stock compensation expense related to these restricted stock agreements, in addition to $1.1 million related to Brigit's Replacement Awards and other agreement compensation. See Note 2 and Note 11 for additional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assets acquired as part of the transaction included $152.3 million in intangible assets and $65.1 million in developed technology. During the three months ended March 31, 2025, we recognized approximately $2.6 million in amortization expense related to acquired intangible assets. We also recognized approximately $1.6 million in incremental depreciation expense related to acquired technology assets during the three months ended March 31, 2025.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recognized approximately $6.2 million in transaction costs associated with the closing of the transaction.</w:t>
      </w:r>
    </w:p>
    <w:p>
      <w:pPr>
        <w:pStyle w:val="TextBody"/>
        <w:bidi w:val="0"/>
        <w:spacing w:lineRule="auto" w:line="288" w:before="120" w:after="283"/>
        <w:jc w:val="both"/>
        <w:rPr/>
      </w:pP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 xml:space="preserve">As disclosed further in Note 12 in this Quarterly Report on Form 10-Q and as previously disclosed, we were party to the recently dismissed regulatory lawsuits with the Consumer Financial Protection Bureau and are currently party to a filed regulatory lawsuit with the New York Attorney General, as well as a multi-state regulatory investigation by attorneys’ general offices from forty states and the District of Columbia. These matters relate to lease-to-own transactions for our Acima subsidiary, which was acquired in 2021. We believe these regulatory lawsuits and the multi-state investigation are not representative of historical regulatory matters that arise in the ordinary course of our business. During the three months ended March 31, 2025, we recorded expenses of $10.0 million related to estimated legal accruals for certain of these regulatory matters based on the current status of the these matters. We will continue to evaluate and modify our estimated legal accruals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appropriate in future periods based on future developments. In addition, for these regulatory matters we incurred litigation and defense expenses of $0.6 million for the three months ended March 31, 2025.</w:t>
      </w:r>
    </w:p>
    <w:p>
      <w:pPr>
        <w:pStyle w:val="TextBody"/>
        <w:bidi w:val="0"/>
        <w:spacing w:lineRule="auto" w:line="288" w:before="120" w:after="283"/>
        <w:jc w:val="both"/>
        <w:rPr/>
      </w:pPr>
      <w:r>
        <w:rPr>
          <w:rFonts w:ascii="Times New Roman;sans-serif" w:hAnsi="Times New Roman;sans-serif"/>
          <w:b w:val="false"/>
          <w:i/>
          <w:color w:val="000000"/>
          <w:sz w:val="20"/>
        </w:rPr>
        <w:t xml:space="preserve">Stock Award Letter Agreement. </w:t>
      </w:r>
      <w:r>
        <w:rPr>
          <w:rFonts w:ascii="Times New Roman;sans-serif" w:hAnsi="Times New Roman;sans-serif"/>
          <w:b w:val="false"/>
          <w:color w:val="000000"/>
          <w:sz w:val="20"/>
        </w:rPr>
        <w:t>On April 3, 2024, we entered into a letter agreement with the Company’s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three months ended March 31, 2025 due to this letter agreement was approximately $1.6 million.</w:t>
      </w:r>
    </w:p>
    <w:p>
      <w:pPr>
        <w:pStyle w:val="TextBody"/>
        <w:bidi w:val="0"/>
        <w:spacing w:lineRule="auto" w:line="288" w:before="120" w:after="283"/>
        <w:jc w:val="both"/>
        <w:rPr/>
      </w:pPr>
      <w:r>
        <w:rPr>
          <w:rFonts w:ascii="Times New Roman;sans-serif" w:hAnsi="Times New Roman;sans-serif"/>
          <w:b w:val="false"/>
          <w:i/>
          <w:color w:val="000000"/>
          <w:sz w:val="20"/>
        </w:rPr>
        <w:t xml:space="preserve">Internally Developed Software Depreciation. </w:t>
      </w:r>
      <w:r>
        <w:rPr>
          <w:rFonts w:ascii="Times New Roman;sans-serif" w:hAnsi="Times New Roman;sans-serif"/>
          <w:b w:val="false"/>
          <w:color w:val="000000"/>
          <w:sz w:val="20"/>
        </w:rPr>
        <w:t xml:space="preserve">During the third quarter of 2023, we completed initial development and began pilot testing a new internally developed point-of-sale system for our Rent-A-Center lease-to-own stores. Deployment of the new system across our lease-to-own store network began in the second quarter of 2024 and was completed in the third quarter of 2024, at which time our existing point-of-sale software was retired. Therefore, in the third quarter of 2023, we accelerated the remaining useful lives of our existing point-of-sale software assets to align with the deployment timeline of our new point-of-sale system, which resulted in the recognition of additional depreciation expense of $4.6 million for the three months ended March 31,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other gains and charges is summarized in the below table:</w:t>
      </w:r>
    </w:p>
    <w:tbl>
      <w:tblPr>
        <w:tblW w:w="8658" w:type="dxa"/>
        <w:jc w:val="left"/>
        <w:tblInd w:w="0" w:type="dxa"/>
        <w:tblLayout w:type="fixed"/>
        <w:tblCellMar>
          <w:top w:w="28" w:type="dxa"/>
          <w:left w:w="28" w:type="dxa"/>
          <w:bottom w:w="28" w:type="dxa"/>
          <w:right w:w="28" w:type="dxa"/>
        </w:tblCellMar>
      </w:tblPr>
      <w:tblGrid>
        <w:gridCol w:w="1849"/>
        <w:gridCol w:w="1628"/>
        <w:gridCol w:w="1637"/>
        <w:gridCol w:w="211"/>
        <w:gridCol w:w="721"/>
        <w:gridCol w:w="109"/>
        <w:gridCol w:w="109"/>
        <w:gridCol w:w="109"/>
        <w:gridCol w:w="109"/>
        <w:gridCol w:w="211"/>
        <w:gridCol w:w="721"/>
        <w:gridCol w:w="109"/>
        <w:gridCol w:w="109"/>
        <w:gridCol w:w="109"/>
        <w:gridCol w:w="109"/>
        <w:gridCol w:w="109"/>
        <w:gridCol w:w="109"/>
        <w:gridCol w:w="109"/>
        <w:gridCol w:w="109"/>
        <w:gridCol w:w="109"/>
        <w:gridCol w:w="109"/>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 acquired assets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matters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 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 acquired assets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 equity consideration vesting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 replacement awards and other agreement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 equity consideration vesting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software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gains and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Primarily represents shutdown and holding expenses related to store closures and severance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10 - Segment Information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operating performance of our operating segments as compared to Company projections and operating performance in prior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transactions, geographic location and store ownership. Within our operating segments, we offer merchandise for lease from certain basic product categories, such as: furniture, including mattresses; tires; consumer electronics; appliances; tools; handbags; computers; and accessories. On January 31, 2025, we established a new operating segment following the acquisition of Brigit. Please reference Note 2 for additional discussion of the acquisition. In addition we combined our Franchising segment with our Rent-A-Center segment. Financial information disclosed within this report has been recast for the related prior year period to reflect this change. We report four operating segments: Acima, Rent-A-Center, Brigit and Mexico.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as of and for the three months ended March 31, 2025 and 2024 is as follows:</w:t>
      </w:r>
    </w:p>
    <w:tbl>
      <w:tblPr>
        <w:tblW w:w="4720" w:type="dxa"/>
        <w:jc w:val="left"/>
        <w:tblInd w:w="0" w:type="dxa"/>
        <w:tblLayout w:type="fixed"/>
        <w:tblCellMar>
          <w:top w:w="28" w:type="dxa"/>
          <w:left w:w="28" w:type="dxa"/>
          <w:bottom w:w="28" w:type="dxa"/>
          <w:right w:w="28" w:type="dxa"/>
        </w:tblCellMar>
      </w:tblPr>
      <w:tblGrid>
        <w:gridCol w:w="560"/>
        <w:gridCol w:w="378"/>
        <w:gridCol w:w="382"/>
        <w:gridCol w:w="211"/>
        <w:gridCol w:w="976"/>
        <w:gridCol w:w="109"/>
        <w:gridCol w:w="109"/>
        <w:gridCol w:w="109"/>
        <w:gridCol w:w="109"/>
        <w:gridCol w:w="211"/>
        <w:gridCol w:w="976"/>
        <w:gridCol w:w="109"/>
        <w:gridCol w:w="109"/>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547"/>
        <w:gridCol w:w="481"/>
        <w:gridCol w:w="486"/>
        <w:gridCol w:w="211"/>
        <w:gridCol w:w="826"/>
        <w:gridCol w:w="109"/>
        <w:gridCol w:w="109"/>
        <w:gridCol w:w="109"/>
        <w:gridCol w:w="109"/>
        <w:gridCol w:w="211"/>
        <w:gridCol w:w="826"/>
        <w:gridCol w:w="109"/>
        <w:gridCol w:w="109"/>
        <w:gridCol w:w="109"/>
        <w:gridCol w:w="109"/>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065" w:type="dxa"/>
        <w:jc w:val="left"/>
        <w:tblInd w:w="0" w:type="dxa"/>
        <w:tblLayout w:type="fixed"/>
        <w:tblCellMar>
          <w:top w:w="28" w:type="dxa"/>
          <w:left w:w="28" w:type="dxa"/>
          <w:bottom w:w="28" w:type="dxa"/>
          <w:right w:w="28" w:type="dxa"/>
        </w:tblCellMar>
      </w:tblPr>
      <w:tblGrid>
        <w:gridCol w:w="788"/>
        <w:gridCol w:w="693"/>
        <w:gridCol w:w="694"/>
        <w:gridCol w:w="211"/>
        <w:gridCol w:w="721"/>
        <w:gridCol w:w="109"/>
        <w:gridCol w:w="109"/>
        <w:gridCol w:w="109"/>
        <w:gridCol w:w="109"/>
        <w:gridCol w:w="211"/>
        <w:gridCol w:w="721"/>
        <w:gridCol w:w="109"/>
        <w:gridCol w:w="109"/>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profit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Acima</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Rent-A-Center</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Brigit</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Mexico</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(5)(6)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operating profit</w:t>
            </w:r>
            <w:r>
              <w:rPr>
                <w:rFonts w:ascii="Times New Roman;sans-serif" w:hAnsi="Times New Roman;sans-serif"/>
                <w:b w:val="false"/>
                <w:color w:val="000000"/>
                <w:sz w:val="13"/>
              </w:rPr>
              <w:t>(7)</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Acima operating expenses for the three months ended March 31, 2025 and 2024 include operating labor expenses of $24.0 million and $25.9 million, respectively, and non-labor operating expenses of $76.9 million and $78.2 million, respectively. Acima non-labor operating expenses include Lease Charge-Offs ("LCOs") of $56.7 million and $53.9 million for the three months ended March 31, 2025 and 2024, respectively.</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Rent-A-Center operating expenses for the three months ended March 31, 2025 and 2024 include operating labor expenses of $120.2 million and $127.2 million, respectively, and non-labor operating expenses of $122.4 million and $129.8 million, respectively. Rent-A-Center non-labor operating expenses include LCOs of $20.4 million and $22.1 million for the three months ended March 31, 2025 and 2024, respectively.</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(3) </w:t>
      </w:r>
      <w:r>
        <w:rPr>
          <w:rFonts w:ascii="Times New Roman;sans-serif" w:hAnsi="Times New Roman;sans-serif"/>
          <w:b w:val="false"/>
          <w:color w:val="000000"/>
          <w:sz w:val="14"/>
        </w:rPr>
        <w:t>Brigit operating expenses for the three months ended March 31, 2025 include operating labor and non-labor operating expenses of $1.0 million and $14.4 million, respectively. Brigit non-labor operating expenses include net advance losses of $5.0 million for the three months ended March 31, 2025.</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(4)</w:t>
      </w:r>
      <w:r>
        <w:rPr>
          <w:color w:val="000000"/>
        </w:rPr>
        <w:t xml:space="preserve"> </w:t>
      </w:r>
      <w:r>
        <w:rPr>
          <w:rFonts w:ascii="Times New Roman;sans-serif" w:hAnsi="Times New Roman;sans-serif"/>
          <w:b w:val="false"/>
          <w:color w:val="000000"/>
          <w:sz w:val="14"/>
        </w:rPr>
        <w:t>Mexico operating expenses for the three months ended March 31, 2025 and 2024 include operating labor expenses of $4.3 million and $5.0 million, respectively, and non-labor operating expenses of $5.3 million and $5.9 million, respectively.</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(5) </w:t>
      </w:r>
      <w:r>
        <w:rPr>
          <w:rFonts w:ascii="Times New Roman;sans-serif" w:hAnsi="Times New Roman;sans-serif"/>
          <w:b w:val="false"/>
          <w:color w:val="000000"/>
          <w:sz w:val="14"/>
        </w:rPr>
        <w:t>Includes stock compensation expense of $4.1 million recognized for the three months ended March 31, 2025 related to common stock issued to Brigit employees under restricted stock agreements as part of the acquisition consideration subject to vesting restrictions as described in Note 11.</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(6) </w:t>
      </w:r>
      <w:r>
        <w:rPr>
          <w:rFonts w:ascii="Times New Roman;sans-serif" w:hAnsi="Times New Roman;sans-serif"/>
          <w:b w:val="false"/>
          <w:color w:val="000000"/>
          <w:sz w:val="14"/>
        </w:rPr>
        <w:t>Includes stock compensation expense of $4.9 million recognized for the three months ended March 31, 2024 related to common stock issued to Acima Holdings employees under restricted stock agreements as part of the acquisition consideration subject to vesting restrictions as described in Note 11. These restricted stock agreements were fully vested during the three months ended March 31, 2024.</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(7) </w:t>
      </w:r>
      <w:r>
        <w:rPr>
          <w:rFonts w:ascii="Times New Roman;sans-serif" w:hAnsi="Times New Roman;sans-serif"/>
          <w:b w:val="false"/>
          <w:color w:val="000000"/>
          <w:sz w:val="14"/>
        </w:rPr>
        <w:t>The accounting policies of each of our segments are the same as those described for the Company in Note 1.</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935" w:type="dxa"/>
        <w:jc w:val="left"/>
        <w:tblInd w:w="0" w:type="dxa"/>
        <w:tblLayout w:type="fixed"/>
        <w:tblCellMar>
          <w:top w:w="28" w:type="dxa"/>
          <w:left w:w="28" w:type="dxa"/>
          <w:bottom w:w="28" w:type="dxa"/>
          <w:right w:w="28" w:type="dxa"/>
        </w:tblCellMar>
      </w:tblPr>
      <w:tblGrid>
        <w:gridCol w:w="1100"/>
        <w:gridCol w:w="967"/>
        <w:gridCol w:w="978"/>
        <w:gridCol w:w="211"/>
        <w:gridCol w:w="721"/>
        <w:gridCol w:w="109"/>
        <w:gridCol w:w="109"/>
        <w:gridCol w:w="109"/>
        <w:gridCol w:w="109"/>
        <w:gridCol w:w="211"/>
        <w:gridCol w:w="721"/>
        <w:gridCol w:w="109"/>
        <w:gridCol w:w="109"/>
        <w:gridCol w:w="109"/>
        <w:gridCol w:w="109"/>
        <w:gridCol w:w="154"/>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Acima</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Brigit</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(3)(4)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Excludes amortization expense of approximately $10.9 million and $12.7 million for the three months ended March 31, 2025, and 2024, respectively, recorded to other gains and charges in the Condensed Consolidated Statements of Operations, related to intangible assets acquired upon closing of the Acima Holdings acquisition. See Note 9 for additional information.</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Excludes amortization expense of approximately $2.6 million for the three months ended March 31, 2025 recorded to other gains and charges in the Condensed Consolidated Statements of Operations, related to intangible assets acquired upon closing of the Brigit acquisition. See Note 9 for additional information.</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(3)</w:t>
      </w:r>
      <w:r>
        <w:rPr>
          <w:color w:val="000000"/>
        </w:rPr>
        <w:t xml:space="preserve"> </w:t>
      </w:r>
      <w:r>
        <w:rPr>
          <w:rFonts w:ascii="Times New Roman;sans-serif" w:hAnsi="Times New Roman;sans-serif"/>
          <w:b w:val="false"/>
          <w:color w:val="000000"/>
          <w:sz w:val="14"/>
        </w:rPr>
        <w:t>Excludes depreciation expense of approximately $4.0 million and $8.5 million for the three months ended March 31, 2025, and 2024, respectively, recorded to other gains and charges in the Condensed Consolidated Statements of Operations, related to software acquired upon closing of the Acima Holdings acquisition and accelerated software depreciation. See Note 9 for additional information.</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(4)</w:t>
      </w:r>
      <w:r>
        <w:rPr>
          <w:color w:val="000000"/>
        </w:rPr>
        <w:t xml:space="preserve"> </w:t>
      </w:r>
      <w:r>
        <w:rPr>
          <w:rFonts w:ascii="Times New Roman;sans-serif" w:hAnsi="Times New Roman;sans-serif"/>
          <w:b w:val="false"/>
          <w:color w:val="000000"/>
          <w:sz w:val="14"/>
        </w:rPr>
        <w:t>Excludes depreciation expense of approximately $1.6 million for the three months ended March 31, 2025 recorded to other gains and charges in the Condensed Consolidated Statements of Operations, related to software acquired upon closing of the Brigit acquisition. See Note 9 for additional information.</w:t>
      </w:r>
    </w:p>
    <w:tbl>
      <w:tblPr>
        <w:tblW w:w="5139" w:type="dxa"/>
        <w:jc w:val="left"/>
        <w:tblInd w:w="0" w:type="dxa"/>
        <w:tblLayout w:type="fixed"/>
        <w:tblCellMar>
          <w:top w:w="28" w:type="dxa"/>
          <w:left w:w="28" w:type="dxa"/>
          <w:bottom w:w="28" w:type="dxa"/>
          <w:right w:w="28" w:type="dxa"/>
        </w:tblCellMar>
      </w:tblPr>
      <w:tblGrid>
        <w:gridCol w:w="812"/>
        <w:gridCol w:w="714"/>
        <w:gridCol w:w="723"/>
        <w:gridCol w:w="211"/>
        <w:gridCol w:w="721"/>
        <w:gridCol w:w="109"/>
        <w:gridCol w:w="109"/>
        <w:gridCol w:w="109"/>
        <w:gridCol w:w="109"/>
        <w:gridCol w:w="211"/>
        <w:gridCol w:w="721"/>
        <w:gridCol w:w="109"/>
        <w:gridCol w:w="109"/>
        <w:gridCol w:w="109"/>
        <w:gridCol w:w="109"/>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258" w:type="dxa"/>
        <w:jc w:val="left"/>
        <w:tblInd w:w="0" w:type="dxa"/>
        <w:tblLayout w:type="fixed"/>
        <w:tblCellMar>
          <w:top w:w="28" w:type="dxa"/>
          <w:left w:w="28" w:type="dxa"/>
          <w:bottom w:w="28" w:type="dxa"/>
          <w:right w:w="28" w:type="dxa"/>
        </w:tblCellMar>
      </w:tblPr>
      <w:tblGrid>
        <w:gridCol w:w="1118"/>
        <w:gridCol w:w="982"/>
        <w:gridCol w:w="990"/>
        <w:gridCol w:w="211"/>
        <w:gridCol w:w="976"/>
        <w:gridCol w:w="109"/>
        <w:gridCol w:w="109"/>
        <w:gridCol w:w="109"/>
        <w:gridCol w:w="109"/>
        <w:gridCol w:w="243"/>
        <w:gridCol w:w="1125"/>
        <w:gridCol w:w="177"/>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 rental merchandise, net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 rent rental merchandise,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1,134,860 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40" w:type="dxa"/>
        <w:jc w:val="left"/>
        <w:tblInd w:w="0" w:type="dxa"/>
        <w:tblLayout w:type="fixed"/>
        <w:tblCellMar>
          <w:top w:w="28" w:type="dxa"/>
          <w:left w:w="28" w:type="dxa"/>
          <w:bottom w:w="28" w:type="dxa"/>
          <w:right w:w="28" w:type="dxa"/>
        </w:tblCellMar>
      </w:tblPr>
      <w:tblGrid>
        <w:gridCol w:w="1270"/>
        <w:gridCol w:w="1116"/>
        <w:gridCol w:w="1124"/>
        <w:gridCol w:w="232"/>
        <w:gridCol w:w="908"/>
        <w:gridCol w:w="119"/>
        <w:gridCol w:w="109"/>
        <w:gridCol w:w="109"/>
        <w:gridCol w:w="109"/>
        <w:gridCol w:w="273"/>
        <w:gridCol w:w="1072"/>
        <w:gridCol w:w="199"/>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 rental merchandise, net</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 for rent rental merchandise,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343" w:type="dxa"/>
        <w:jc w:val="left"/>
        <w:tblInd w:w="0" w:type="dxa"/>
        <w:tblLayout w:type="fixed"/>
        <w:tblCellMar>
          <w:top w:w="28" w:type="dxa"/>
          <w:left w:w="28" w:type="dxa"/>
          <w:bottom w:w="28" w:type="dxa"/>
          <w:right w:w="28" w:type="dxa"/>
        </w:tblCellMar>
      </w:tblPr>
      <w:tblGrid>
        <w:gridCol w:w="788"/>
        <w:gridCol w:w="693"/>
        <w:gridCol w:w="694"/>
        <w:gridCol w:w="211"/>
        <w:gridCol w:w="976"/>
        <w:gridCol w:w="109"/>
        <w:gridCol w:w="109"/>
        <w:gridCol w:w="109"/>
        <w:gridCol w:w="109"/>
        <w:gridCol w:w="243"/>
        <w:gridCol w:w="1125"/>
        <w:gridCol w:w="177"/>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segment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2,327,052 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2,649,662 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 Common Stock and Stock-Based Compensation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three months ended March 31, 2025 and 2024. Approximately $235.0 million remains available for repurchases under the current authorization at March 31, 2025.</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$7.7 million and $7.0 million in compensation expense related to stock awards issued under the Upbound Group, Inc. Amended 2021 Long-Term Incentive Plan (the “2021 Plan”) and 2016 Long-Term Incentive Plan (the “2016 Plan”) during the three months ended March 31, 2025 and 2024, respectively. During the three months ended March 31, 2025, we granted 757,704 market-based performance units and 797,437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three months ended March 31, 2025 was $27.09 and $26.68,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Acima Holdings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were recognized as stock compensation expense over the vesting term in accordance with ASC Topic 718, “Stock-based Compensation” and recorded to other gains and charges in our unaudited Condensed Consolidated Statements of Operations. We recognized $4.9 million in stock compensation expense related to these restricted stock agreements during the three months ended March 31, 2024. These restricted stock agreements were fully vested during the three months ended March 31,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2, in connection with the acquisition of Brigit on January 31, 2025, we issued to the former owners of Brigit approximately 2.7 million common shares valued at $29.75 per share, as of the Closing Date. Of this total, 1,313,331 common shares, valued at approximately $39 million, issued under restricted stock agreements and subject to vesting conditions, will be recognized as stock compensation expense over the vesting term in accordance with ASC Topic 718, “Stock-based Compensation”. We recognized $4.1 million in stock compensation expense related to these restricted stock agreements during the three months ended March 31, 2025 recorded to other gains and charges in our unaudited Condensed Consolidated Statements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 2024, we entered into a letter agreement with the Company’s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three months ended March 31, 2025 due to this letter agreement was approximately $1.6 million and was recorded to other gains and charges in our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 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below. In addition to the matters described below,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both March 31, 2025 and December 31, 2024, we had estimated legal accruals of $20.7 million, included in accrued liabilities in our Consolidated Balance Sheet for pending legal and regulatory matters for which we believe losses are probable and the amount of the loss can be reasonably estimated. However, as of the date of this Quarterly Report on Form 10-Q, we cannot predict the ultimate resolution of our pending legal proceedings, governmental inquiries and investigations (which include, but are not limited to, the matters discussed below) and, therefore, are unable to estimate a range of losses related to these matters that may be reasonably possible to occur. In addition to our estimated legal accruals, as of March 31, 2025 we have incurred legal and other related expenses, and expect to incur substantial additional legal and related expenses, associated with the litigation and investigations discussed below and other pending legal matters.</w:t>
      </w:r>
    </w:p>
    <w:p>
      <w:pPr>
        <w:pStyle w:val="TextBody"/>
        <w:bidi w:val="0"/>
        <w:spacing w:lineRule="auto" w:line="288" w:before="120" w:after="283"/>
        <w:jc w:val="both"/>
        <w:rPr/>
      </w:pPr>
      <w:r>
        <w:rPr>
          <w:rFonts w:ascii="Times New Roman;sans-serif" w:hAnsi="Times New Roman;sans-serif"/>
          <w:b w:val="false"/>
          <w:i/>
          <w:color w:val="000000"/>
          <w:sz w:val="20"/>
        </w:rPr>
        <w:t>Unclaimed Property.</w:t>
      </w:r>
      <w:r>
        <w:rPr>
          <w:color w:val="000000"/>
        </w:rPr>
        <w:t xml:space="preserve"> </w:t>
      </w:r>
      <w:r>
        <w:rPr>
          <w:rFonts w:ascii="Times New Roman;sans-serif" w:hAnsi="Times New Roman;sans-serif"/>
          <w:b w:val="false"/>
          <w:color w:val="000000"/>
          <w:sz w:val="20"/>
        </w:rPr>
        <w:t>We are subject to unclaimed property audits by states in the ordinary course of business. The property subject to review in the audit 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pStyle w:val="TextBody"/>
        <w:bidi w:val="0"/>
        <w:spacing w:lineRule="auto" w:line="288" w:before="120" w:after="283"/>
        <w:jc w:val="both"/>
        <w:rPr/>
      </w:pPr>
      <w:r>
        <w:rPr>
          <w:rFonts w:ascii="Times New Roman;sans-serif" w:hAnsi="Times New Roman;sans-serif"/>
          <w:b w:val="false"/>
          <w:i/>
          <w:color w:val="000000"/>
          <w:sz w:val="20"/>
        </w:rPr>
        <w:t>Former Consumer Financial Protection Bureau (</w:t>
      </w:r>
      <w:r>
        <w:rPr>
          <w:color w:val="000000"/>
        </w:rPr>
        <w:t>“</w:t>
      </w:r>
      <w:r>
        <w:rPr>
          <w:rFonts w:ascii="Times New Roman;sans-serif" w:hAnsi="Times New Roman;sans-serif"/>
          <w:b w:val="false"/>
          <w:i/>
          <w:color w:val="000000"/>
          <w:sz w:val="20"/>
        </w:rPr>
        <w:t>CFPB</w:t>
      </w:r>
      <w:r>
        <w:rPr>
          <w:color w:val="000000"/>
        </w:rPr>
        <w:t>”</w:t>
      </w:r>
      <w:r>
        <w:rPr>
          <w:rFonts w:ascii="Times New Roman;sans-serif" w:hAnsi="Times New Roman;sans-serif"/>
          <w:b w:val="false"/>
          <w:i/>
          <w:color w:val="000000"/>
          <w:sz w:val="20"/>
        </w:rPr>
        <w:t>) Litigation.</w:t>
      </w:r>
      <w:r>
        <w:rPr>
          <w:color w:val="000000"/>
        </w:rPr>
        <w:t xml:space="preserve"> </w:t>
      </w:r>
      <w:r>
        <w:rPr>
          <w:rFonts w:ascii="Times New Roman;sans-serif" w:hAnsi="Times New Roman;sans-serif"/>
          <w:b w:val="false"/>
          <w:color w:val="000000"/>
          <w:sz w:val="20"/>
        </w:rPr>
        <w:t xml:space="preserve">In October 2020, prior to the December 2020 execution of the definitive agreement to acquire Acima, Acima received a Civil Investigative Demand (the “CID”) from the CFPB requesting certain information, documents and data relating to Acima’s products, services and practices from January 1, 2015 forward. The stated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responded to all CIDs and cooperated with the CFPB throughout their investigation.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in accordance with the CFPB’s Notice and Opportunity to Respond and Advise (“NORA”) process, the CFPB staff notified Acima that the staff may recommend that the CFPB take legal action against Acima based on allegations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and seek remedies including restitution, disgorgement, damages, injunctive relief, and civil money penalties. In June 2023, Acima submitted its response to the NORA notice.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2024, Acima was informed by the CFPB staff that the CFPB authorized “sue or settle” authority pursuant to the NORA process. The CFPB subsequently provided Acima with a settlement proposal. Although Acima engaged in discussions with the CFPB regarding its settlement demands, Acima’s efforts to negotiate a resolution were met with the CFPB’s threat of imminent commencement of litigation, refusal to meet with Acima in person to discuss a potential resolution, and what Acima believes were unsupportable demands.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on July 22, 2024, Acima filed a lawsuit against the CFPB in the U.S. District Court for the Eastern District of Texas. Acima filed this action reluctantly, only after concluding in its judgment that the CFPB was not prepared to settle with Acima on acceptable terms. On July 26, 2024, the CFPB filed a lawsuit against Acima and its former founder in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District Court for the District of Utah, alleging violations of the consumer financial protection laws and regulations described above in connection with the CFPB’s May 2023 NORA notice.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2025, the CFPB voluntarily dismissed with prejudice its lawsuit against Acima in the United States District Court for the District of Utah. Acima did not pay any money, was not required to change any business practices, nor was it subject to any injunctive or other relief, and the dismissal with prejudice ended the CFPB’s challenge to the alleged business practices that were the subject of its investigation and lawsuit. In connection with the CFPB’s determination to drop its claims against Acima, Acima agreed to dismiss the lawsuit it filed against the CFPB in the United States District Court for the Eastern District of Texas.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Acima, $45 million of a $50 million initial holdback escrowed at the closing of the transaction was previously available for fines, penalties or customer restitution paid in connection with a resolution of the CFPB matter, including an adverse litigation outcome. As a result of the CFPB’s dismissal of its lawsuit against Acima, the full amount of the escrow was released to the former owners of Acima as provided by the merger agreement.</w:t>
      </w:r>
    </w:p>
    <w:p>
      <w:pPr>
        <w:pStyle w:val="TextBody"/>
        <w:bidi w:val="0"/>
        <w:spacing w:lineRule="auto" w:line="288" w:before="120" w:after="283"/>
        <w:jc w:val="both"/>
        <w:rPr/>
      </w:pPr>
      <w:r>
        <w:rPr>
          <w:rFonts w:ascii="Times New Roman;sans-serif" w:hAnsi="Times New Roman;sans-serif"/>
          <w:b w:val="false"/>
          <w:i/>
          <w:color w:val="000000"/>
          <w:sz w:val="20"/>
        </w:rPr>
        <w:t>Multi-State Attorneys’ General Investigation.</w:t>
      </w:r>
      <w:r>
        <w:rPr>
          <w:color w:val="000000"/>
        </w:rPr>
        <w:t xml:space="preserve"> </w:t>
      </w:r>
      <w:r>
        <w:rPr>
          <w:rFonts w:ascii="Times New Roman;sans-serif" w:hAnsi="Times New Roman;sans-serif"/>
          <w:b w:val="false"/>
          <w:color w:val="000000"/>
          <w:sz w:val="20"/>
        </w:rPr>
        <w:t>In November 2021, Acima received a letter from the Nebraska Attorney General’s office stating that the 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and attended meetings with officials at many of the applicable attorneys’ general offices, including members of the Executive Committee, which is leading the negotiations on behalf of the multistate group (the “Multistate”). Based on our engagement with the Multistate, it is our understanding that the investigation involves forty states and the District of Columbia. In April 2022, we received a request for information and documents, and we have produced various records in response to the request. In March 2024, the Multistate presented their findings and allegations from their investigation to Acima. In May 2024, Acima submitted its response to the Multistate’s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2024, Acima received a settlement proposal from the Multistate. Since then, the parties have continued to engage in conversations regarding a potential resolution and Acima has responded to the Multistate’s settlement proposals and monetary demands. As of the date of this Quarterly Report on Form 10-Q, although we would not be willing to agree to the Multistate’s most recent monetary demand which we believe is unsupportable or agree to a number of the other terms presented by the Multistate, we expect to continue to discuss the potential resolution of this matter. We are currently unable to predict whether or on what terms, including the amount of a monetary payment and the nature of business practice changes, any settlement with the Multistate, or individual members of the group, can be achieved. If we are unable to reach agreement on terms acceptable to us and to the various states involved in the group, some or all of such states may commence legal proceedings against Acima. We cannot provide any assurance that any settlement or adverse result in litigation will not require a monetary payment and/or changes to Acima’s business practices or operations that could materially and adversely affect our business, financial condition, results of operations or reputation.</w:t>
      </w:r>
    </w:p>
    <w:p>
      <w:pPr>
        <w:pStyle w:val="TextBody"/>
        <w:bidi w:val="0"/>
        <w:spacing w:lineRule="auto" w:line="288" w:before="120" w:after="283"/>
        <w:jc w:val="both"/>
        <w:rPr/>
      </w:pPr>
      <w:r>
        <w:rPr>
          <w:rFonts w:ascii="Times New Roman;sans-serif" w:hAnsi="Times New Roman;sans-serif"/>
          <w:b w:val="false"/>
          <w:i/>
          <w:color w:val="000000"/>
          <w:sz w:val="20"/>
        </w:rPr>
        <w:t xml:space="preserve">New York Attorney General Litigation. </w:t>
      </w:r>
      <w:r>
        <w:rPr>
          <w:rFonts w:ascii="Times New Roman;sans-serif" w:hAnsi="Times New Roman;sans-serif"/>
          <w:b w:val="false"/>
          <w:color w:val="000000"/>
          <w:sz w:val="20"/>
        </w:rPr>
        <w:t>The New York Attorney General (the “NYAG”) issued a subpoena to our Acima subsidiary in January 2020, prior to our acquisition of Acima, seeking information with respect to various business practices in connection with Acima’s lease-to-own transactions. Acima received additional subpoenas from the NYAG in August 2021 and July 2023. Acima cooperated with the NYAG throughout its investigation. In March 2023, the NYAG provided Acima with a proposed assurance of discontinuance alleging violations of 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On August 14, 2024, despite Acima’s cooperation with the investigation and its active engagement in settlement discussions with the NYAG, the NYAG filed a lawsuit against Acima in the Supreme Court of the State of New York, County of New York. The lawsuit alleges violations of various consumer financial protection laws and regulations similar to those set forth in the NYAG’s March 2023 proposed assurance of discontinuance. The lawsuit seeks injunctive relief, unspecified monetary relief and civil penalties and other relief. Acima filed a motion to dismiss the NYAG’s lawsuit. As of the date of filing this Quarterly Report on Form 10-Q, the trial court has not yet ruled on Acima’s motion to dismiss. Acima will continue to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pStyle w:val="TextBody"/>
        <w:bidi w:val="0"/>
        <w:spacing w:lineRule="auto" w:line="288" w:before="120" w:after="283"/>
        <w:jc w:val="both"/>
        <w:rPr/>
      </w:pPr>
      <w:r>
        <w:rPr>
          <w:rFonts w:ascii="Times New Roman;sans-serif" w:hAnsi="Times New Roman;sans-serif"/>
          <w:b w:val="false"/>
          <w:i/>
          <w:color w:val="000000"/>
          <w:sz w:val="20"/>
        </w:rPr>
        <w:t xml:space="preserve">McBurnie Litigation. </w:t>
      </w:r>
      <w:r>
        <w:rPr>
          <w:rFonts w:ascii="Times New Roman;sans-serif" w:hAnsi="Times New Roman;sans-serif"/>
          <w:b w:val="false"/>
          <w:color w:val="000000"/>
          <w:sz w:val="20"/>
        </w:rPr>
        <w:t xml:space="preserve">We are a defendant in a putative class action entitled </w:t>
      </w:r>
      <w:r>
        <w:rPr>
          <w:rFonts w:ascii="Times New Roman;sans-serif" w:hAnsi="Times New Roman;sans-serif"/>
          <w:b w:val="false"/>
          <w:i/>
          <w:color w:val="000000"/>
          <w:sz w:val="20"/>
        </w:rPr>
        <w:t>McBurnie, et al. v. Acceptance Now, LLC</w:t>
      </w:r>
      <w:r>
        <w:rPr>
          <w:rFonts w:ascii="Times New Roman;sans-serif" w:hAnsi="Times New Roman;sans-serif"/>
          <w:b w:val="false"/>
          <w:color w:val="000000"/>
          <w:sz w:val="20"/>
        </w:rPr>
        <w:t xml:space="preserve">, brought on behalf of individuals who entered into a rental purchase agreement with the Company’s Acceptance Now business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and were charged a processing fee and/or an expedited fee. Plaintiffs allege that the fees they were charged were neither “reasonable” nor “actually incurred” in violation of the Karnette Rental-Purchase Act and other California state consumer protection laws. Plaintiffs seek unspecified actual damages pursuant to the Karnette Rental-Purchase Act; statutory damages pursuant to the Karnette Rental-Purchase Act; attorneys’ fees and costs; exemplary damages; and public injunctions for alleged violations of the Karnette Rental-Purchase Act, the California Consumers Legal Remedies Act, and California unfair competition laws. The action is currently pending in the United States District Court for the Northern District of California. In November 2022, the District Court denied our motion to compel arbitration, and in December 2022, we filed an interlocutory appeal of that denial with the United States Court of Appeals for the Ninth Circuit, pending which the District Court proceedings were stayed. In March 2024, the Court of Appeals affirmed the District Court’s denial of our motion to compel arbitration and its finding that plaintiffs’ challenge to the processing fee was not moot, while remanding the action to the District Court to consider whether plaintiffs have standing to challenge the expedited payment fee. Plaintiffs have since notified the District Court that they do not intend to pursue their claims regarding the expedited payment fee. In June 2024, we filed a petition for certiorari with the U.S. Supreme Court, appealing the decision from the Court of Appeals. Our petition for certiorari was denied by the Supreme Court in October 2024. Proceedings before the District Court have resumed. In February 2025, the parties proposed a revised case schedule to the District Court. As of the date of filing this Quarterly Report on Form 10-Q, the District Court has not yet set any new pre-trial deadlines or ruled on the plaintiffs’ pending motion for class certification. If a class were to be certified and if we are not successful in defending against the allegations and claims in the litigation, the amount of a potential monetary judgment against us would be significantly increased. We will continue to vigorously defend this case. We are currently unable to predict the eventual timing or outcome of this litigation.</w:t>
      </w:r>
    </w:p>
    <w:p>
      <w:pPr>
        <w:pStyle w:val="TextBody"/>
        <w:bidi w:val="0"/>
        <w:spacing w:lineRule="auto" w:line="288" w:before="120" w:after="283"/>
        <w:jc w:val="both"/>
        <w:rPr/>
      </w:pPr>
      <w:r>
        <w:rPr>
          <w:rFonts w:ascii="Times New Roman;sans-serif" w:hAnsi="Times New Roman;sans-serif"/>
          <w:b w:val="false"/>
          <w:i/>
          <w:color w:val="000000"/>
          <w:sz w:val="20"/>
        </w:rPr>
        <w:t xml:space="preserve">FlexShopper Litigation. </w:t>
      </w:r>
      <w:r>
        <w:rPr>
          <w:rFonts w:ascii="Times New Roman;sans-serif" w:hAnsi="Times New Roman;sans-serif"/>
          <w:b w:val="false"/>
          <w:color w:val="000000"/>
          <w:sz w:val="20"/>
        </w:rPr>
        <w:t>On September 30, 2024, FlexShopper, Inc. (“FlexShopper”) filed a patent infringement lawsuit against Upbound Group, Inc, Acima Holdings, LLC and Acima Digital, LLC in the United States District Court for the Eastern District of Texas. On October 1, 2024, FlexShopper issued a press release announcing the lawsuit and a similar lawsuit it filed against another lease-to-own company, Katapult Holdings, Inc. The lawsuit filed against our company seeks damages and an injunction for alleged infringement of five patents assigned to FlexShopper. Flexshopper’s claims relate to certain technology allegedly used in connection with Acima’s e-commerce third-party retailer lease-to-own business. In February 2025, we filed a motion to dismiss all of Flexshopper’s claims. As of the date of filing this Quarterly Report on Form 10-Q, the District Court has not yet ruled on Acima’s motion to dismiss. We will continue to vigorously defend the lawsuit. We are currently unable to predict the eventual outcome of this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 Earnings Per Common Share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Summarized basic and diluted earnings per common share were calculated as follows:</w:t>
      </w:r>
    </w:p>
    <w:tbl>
      <w:tblPr>
        <w:tblW w:w="9040" w:type="dxa"/>
        <w:jc w:val="left"/>
        <w:tblInd w:w="0" w:type="dxa"/>
        <w:tblLayout w:type="fixed"/>
        <w:tblCellMar>
          <w:top w:w="28" w:type="dxa"/>
          <w:left w:w="28" w:type="dxa"/>
          <w:bottom w:w="28" w:type="dxa"/>
          <w:right w:w="28" w:type="dxa"/>
        </w:tblCellMar>
      </w:tblPr>
      <w:tblGrid>
        <w:gridCol w:w="2224"/>
        <w:gridCol w:w="1955"/>
        <w:gridCol w:w="1971"/>
        <w:gridCol w:w="211"/>
        <w:gridCol w:w="721"/>
        <w:gridCol w:w="109"/>
        <w:gridCol w:w="109"/>
        <w:gridCol w:w="109"/>
        <w:gridCol w:w="109"/>
        <w:gridCol w:w="211"/>
        <w:gridCol w:w="721"/>
        <w:gridCol w:w="109"/>
        <w:gridCol w:w="109"/>
        <w:gridCol w:w="109"/>
        <w:gridCol w:w="109"/>
        <w:gridCol w:w="154"/>
      </w:tblGrid>
      <w:tr>
        <w:trPr/>
        <w:tc>
          <w:tcPr>
            <w:tcW w:w="2224"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dilutive stock awards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earnings per common share</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securities excluded from diluted 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restricted share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share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Weighted-average dilutive shares outstanding for the three months ended March 31, 2025, includes approximately 1.3 million common shares, issued in connection with the acquisition of Brigit and subject to vesting conditions under restricted stock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(which includes Bridge IT, Inc. (“Brigit”) following the closing of our acquisition of Brigit (the “Merger”) on January 31, 2025) and our segments, our growth strategies, our expectations, plans and strategy relating to our capital structure and capital allocation, including any share repurchases under our share repurchase program, the potential impact of the matters discussed in Note 12, and other statements that are not historical facts. Unless expressly indicated or the context requires otherwise, the terms “Upbound Group, Inc.,” “Company,” “we,” “us,” and “our” in this document refer to Upbound Group, Inc. and, where appropriate, its subsidiaries.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in our Annual Report on Form 10-K for the year ended December 31, 2024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possibility that costs, difficulties or disruptions related to the integration of Brigit operations into our other operations will be greater than expected;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possibility that the anticipated benefits from the Brigit acquisition may not be fully realized or may take longer to realize than expected;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future cash requirements as a result of the Brigit acquisition, whether caused by unanticipated increases in capital expenditures or working capital needs, unanticipated liabilities or otherwise;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retain the talent and dedication of key employees of Brigit;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factors affecting the disposable income available to our current and potential customers;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the unemployment rate;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capital market conditions, including changes in interest rates and availability of funding sources for us;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credit ratings;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difficulties encountered in managing the financial and operational performance of our multiple business segments;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associated with pricing, value proposition and other changes to our consumer offerings and strategies being deployed in our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 xml:space="preserve">our ability to continue to effectively execute our strategic initiatives, including mitigating risks associated with any potential additional mergers and acquisitions, or lease-to-own refranchising opportunities; </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potential acquisition candidates, complete acquisitions and successfully integrate acquired companies, including Brigit;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failure to effectively manage our operating labor and non-labor operating expenses, including merchandise losses for our lease-to-own offerings;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caused by the operation of our information management systems or disruptions in the systems of our host retailers or other third parties with whom we do business;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related to our virtual lease-to-own business, including our ability to continue to develop and successfully implement the necessary technologies;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achieve the benefits expected from our integrated virtual and staffed third-party retailer offering and to successfully grow this business segment;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exposure to potential operating margin degradation due to the higher cost of merchandise and higher merchandise losses in our Acima segment compared to our Rent-A-Center segment;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 xml:space="preserve">additional risks associated with our recently acquired Brigit business and its consumer products and services, including managing losses and payment defaults, regulatory, licensing and other compliance risks, risks associated with Brigit’s reliance on regulated banks and on providers of third party data, technology and other third-party service providers; and other new risks for our company; </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litigation or administrative proceedings to which we are or may be a party to from time to time and changes in estimates relating to litigation reserves, including in each case in connection with the regulatory and litigation matters described in Note 12 to our condensed consolidated financial statements included in this Quarterly Report on Form 10-Q;</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compliance with applicable statutes and regulations governing our businesses, impacts from the enforcement of existing laws and regulations and the enactment of new laws and regulations adversely affecting our business, including in connection with the regulatory matters described in Note 12 to our condensed consolidated financial statements included in this Quarterly Report on Form 10-Q, and any legislative or other regulatory enforcement efforts that seek to re-characterize store-based or virtual lease-to-own transactions as credit sales and to apply consumer credit laws and regulations to our lease-to-own business or to apply credit laws to Brigit’s consumer offerings;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transition to more-readily scalable “cloud-based” solutions;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develop and successfully implement digital or e-commerce capabilities, including mobile applications;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protect our proprietary intellectual property;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or that of our host retailers or other third parties with whom we do business to protect the integrity and security of customer, employee, supplier and host retailer or other third party information, which may be adversely affected by hacking, computer viruses, or similar disruptions;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impairment of our goodwill or other intangible assets;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in our supply chain;</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limitations of, or disruptions in, our distribution network;</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rapid inflation or deflation in the prices of our lease-to-own products and other related costs;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allegations of product safety and quality control issues, including recalls of goods we lease to customers;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execute, as well as the effectiveness of, lease-to-own store consolidations, including our ability to retain the revenue from customer accounts merged into another store location as a result of a store consolidation;</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available cash flow and our ability to generate sufficient cash flow to continue paying dividends;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increased competition from traditional competitors, virtual lease-to-own competitors, online retailers, Buy-Now-Pay-Later, earned wage access and financial health technology competitors and other fintech companies and other competitors, including subprime lenders;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and successfully market products and services that appeal to our current and future targeted customer segments and to accurately estimate the size of the total addressable market;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consumer preferences and perceptions of our brands;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effectively provide consumers with additional products and services beyond lease-to-own and products and services currently offered by Brigit, including through third-party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retain the revenue associated with acquired lease-to-own customer accounts and enhance the performance of acquired stores;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enter into new rental or lease purchase agreements and collect on our existing rental or lease purchase agreements;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ongoing changes in tariff policies, including impacts from tariffs imposed by the current Presidential Administration on the price of imported goods, or consumer prices overall or other financial impacts of such tariffs or retaliatory tariffs enacted by U.S. trading partners on our costs or target consumers;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adverse changes in the economic conditions of the industries, countries or markets that we serve;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information technology and data security costs;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impact of any breaches in data security or other disturbances to our information technology and other networks;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estimates relating to self-insurance liabilities and income tax reserves;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effective tax rate;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maintain an effective system of internal controls;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other risks detailed from time to time in our reports furnished or filed with the United States Securities and Exchange Commission (the “SEC”).</w:t>
      </w:r>
    </w:p>
    <w:p>
      <w:pPr>
        <w:pStyle w:val="TextBody"/>
        <w:bidi w:val="0"/>
        <w:spacing w:lineRule="auto" w:line="288" w:before="120" w:after="283"/>
        <w:jc w:val="both"/>
        <w:rPr/>
      </w:pPr>
      <w:r>
        <w:rPr>
          <w:rFonts w:ascii="Times New Roman;sans-serif" w:hAnsi="Times New Roman;sans-serif"/>
          <w:b w:val="false"/>
          <w:color w:val="000000"/>
          <w:sz w:val="20"/>
        </w:rPr>
        <w:t>Additional important factors that could cause our actual results to differ materially from our expectations are discussed under the section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year ended December 31, 2024 and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 </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2025, we completed the acquisition of Brigit, a holistic financial health technology company that has helped millions of customers budget better, access their earned wages before their regularly scheduled payday, build their credit through savings, protect themselves from identity theft, and find ways to earn and save money. Its mission is to help customers build a better financial future. See Note 2 in our condensed consolidated financial statements included in this Quarterly Report on Form 10-Q for additional information.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in the State of Delaware in 1986, and our common stock is traded on the Nasdaq Global Select Market under the ticker symbol “UPBD.”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focused on achieving our mission to elevate financial opportunity for all and growing our business through emphasis on the following key initiatives: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Leverage data analytics capabilities to attract new customers, approve more customers and mitigate risk across business segments;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Upgrade and integrate technology platforms to allow for a more simplified and seamless consumer experience, third-party retailer and waterfall integration and consumer transaction process and coworker efficiency;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Execute on market opportunities and enhance our competitive position across both traditional and virtual lease-to-own solutions, and implement complementary products and services that supplement our current offerings and provide our customers more financial alternatives;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Develop centers of excellence that will be leveraged across the organization to support our various business segments, utilizing best practices to drive efficiency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Grow penetration with current Acima third-party retailers and build on our strength with small to medium size businesses while also adding new national and regional third-party retailers to our platform and expanding our direct-to-consumer channels;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At Rent-A-Center, accelerate the shift to e-commerce, improve the fully integrated omni-channel customer experience and expand product categories, which we expect will increase brand awareness and customer loyalty.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20" w:after="283"/>
        <w:jc w:val="both"/>
        <w:rPr/>
      </w:pPr>
      <w:r>
        <w:rPr>
          <w:rFonts w:ascii="Times New Roman;sans-serif" w:hAnsi="Times New Roman;sans-serif"/>
          <w:b w:val="false"/>
          <w:i/>
          <w:color w:val="000000"/>
          <w:sz w:val="20"/>
        </w:rPr>
        <w:t>Dividend.</w:t>
      </w:r>
      <w:r>
        <w:rPr>
          <w:color w:val="000000"/>
        </w:rPr>
        <w:t xml:space="preserve"> </w:t>
      </w:r>
      <w:r>
        <w:rPr>
          <w:rFonts w:ascii="Times New Roman;sans-serif" w:hAnsi="Times New Roman;sans-serif"/>
          <w:b w:val="false"/>
          <w:color w:val="000000"/>
          <w:sz w:val="20"/>
        </w:rPr>
        <w:t>On March 20, 2025, we announced that our board of directors approved a quarterly cash dividend of $0.39 per share for the first quarter of 2025. The dividend was paid on April 22, 2025 to our common stockholders of record as of the close of business on April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Business and Operational Trends</w:t>
      </w:r>
    </w:p>
    <w:p>
      <w:pPr>
        <w:pStyle w:val="TextBody"/>
        <w:bidi w:val="0"/>
        <w:spacing w:lineRule="auto" w:line="288" w:before="120" w:after="120"/>
        <w:jc w:val="both"/>
        <w:rPr/>
      </w:pPr>
      <w:r>
        <w:rPr>
          <w:rFonts w:ascii="Times New Roman;sans-serif" w:hAnsi="Times New Roman;sans-serif"/>
          <w:b w:val="false"/>
          <w:i/>
          <w:color w:val="000000"/>
          <w:sz w:val="20"/>
        </w:rPr>
        <w:t xml:space="preserve">Macroeconomic Conditions. </w:t>
      </w:r>
      <w:r>
        <w:rPr>
          <w:rFonts w:ascii="Times New Roman;sans-serif" w:hAnsi="Times New Roman;sans-serif"/>
          <w:b w:val="false"/>
          <w:color w:val="000000"/>
          <w:sz w:val="20"/>
        </w:rPr>
        <w:t>In recent years, we have experienced significant change in business and operational trends driven by macroeconomic 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changes in tariff policies, and global supply chain disruptions resulting in reduced product availability and rising product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lease-to-own industry has historically remained a resilient business model throughout various economic cycles, the full extent to which our risk management strategy and these macroeconomic trends (including consumer spending and payment behavior) may impact our business in future periods is uncertain. The continuation of volatile macroeconomic trends may have a material adverse impact on our financial statements, including our results of operations, operating cash flows, liquidity and capital resources.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in Part I, Item 1A in our Annual Report on Form 10-K for the year ended December 31, 2024, for additional discussion of impacts to our business and additional risks associated with macroeconomic conditions.</w:t>
      </w:r>
    </w:p>
    <w:p>
      <w:pPr>
        <w:pStyle w:val="TextBody"/>
        <w:bidi w:val="0"/>
        <w:spacing w:lineRule="auto" w:line="288" w:before="120" w:after="120"/>
        <w:jc w:val="both"/>
        <w:rPr/>
      </w:pPr>
      <w:r>
        <w:rPr>
          <w:rFonts w:ascii="Times New Roman;sans-serif" w:hAnsi="Times New Roman;sans-serif"/>
          <w:b w:val="false"/>
          <w:i/>
          <w:color w:val="000000"/>
          <w:sz w:val="20"/>
        </w:rPr>
        <w:t xml:space="preserve">Rent-A-Center e-commerce revenue. </w:t>
      </w:r>
      <w:r>
        <w:rPr>
          <w:rFonts w:ascii="Times New Roman;sans-serif" w:hAnsi="Times New Roman;sans-serif"/>
          <w:b w:val="false"/>
          <w:color w:val="000000"/>
          <w:sz w:val="20"/>
        </w:rPr>
        <w:t>In recent years, e-commerce revenues increased as a percentage of total rentals and fees revenue in our Rent-A-Center segment. For the three months ended March 31, 2025 and 2024, e-commerce revenues represented approximately 27% and 26% of total lease-to-own revenues, respectively.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focuses on our results of operations and our liquidity and capital resources. You should read this discussion in conjunction with the condensed consolidated financial statements and notes thereto for the three months ended March 31, 2025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Key Metrics</w:t>
      </w:r>
    </w:p>
    <w:p>
      <w:pPr>
        <w:pStyle w:val="TextBody"/>
        <w:bidi w:val="0"/>
        <w:spacing w:lineRule="auto" w:line="268" w:before="120" w:after="120"/>
        <w:jc w:val="both"/>
        <w:rPr/>
      </w:pPr>
      <w:r>
        <w:rPr>
          <w:rFonts w:ascii="Times New Roman;sans-serif" w:hAnsi="Times New Roman;sans-serif"/>
          <w:b w:val="false"/>
          <w:i/>
          <w:color w:val="000000"/>
          <w:sz w:val="20"/>
        </w:rPr>
        <w:t xml:space="preserve">Gross Merchandise Volume (“GMV”): </w:t>
      </w:r>
      <w:r>
        <w:rPr>
          <w:rFonts w:ascii="Times New Roman;sans-serif" w:hAnsi="Times New Roman;sans-serif"/>
          <w:b w:val="false"/>
          <w:color w:val="000000"/>
          <w:sz w:val="20"/>
        </w:rPr>
        <w:t xml:space="preserve">The Company defines Gross Merchandise Volume as the retail value in U.S. dollars of merchandise acquired by the Acima segment that is leased to customers through a transaction that occurs within a defined period, net of estimated cancellations as of the measurement date. </w:t>
      </w:r>
    </w:p>
    <w:p>
      <w:pPr>
        <w:pStyle w:val="TextBody"/>
        <w:bidi w:val="0"/>
        <w:spacing w:lineRule="auto" w:line="268" w:before="120" w:after="283"/>
        <w:jc w:val="both"/>
        <w:rPr/>
      </w:pPr>
      <w:r>
        <w:rPr>
          <w:rFonts w:ascii="Times New Roman;sans-serif" w:hAnsi="Times New Roman;sans-serif"/>
          <w:b w:val="false"/>
          <w:i/>
          <w:color w:val="000000"/>
          <w:sz w:val="20"/>
        </w:rPr>
        <w:t>Lease Portfolio Value:</w:t>
      </w:r>
      <w:r>
        <w:rPr>
          <w:color w:val="000000"/>
        </w:rPr>
        <w:t xml:space="preserve"> </w:t>
      </w:r>
      <w:r>
        <w:rPr>
          <w:rFonts w:ascii="Times New Roman;sans-serif" w:hAnsi="Times New Roman;sans-serif"/>
          <w:b w:val="false"/>
          <w:color w:val="000000"/>
          <w:sz w:val="20"/>
        </w:rPr>
        <w:t>Represents the aggregate dollar value of the expected monthly rental income associated with current active lease agreements from our Company-owned Rent-A-Center lease-to-own stores and e-commerce platform at the end of any given period.</w:t>
      </w:r>
    </w:p>
    <w:p>
      <w:pPr>
        <w:pStyle w:val="TextBody"/>
        <w:bidi w:val="0"/>
        <w:spacing w:lineRule="auto" w:line="268" w:before="120" w:after="283"/>
        <w:jc w:val="both"/>
        <w:rPr/>
      </w:pPr>
      <w:r>
        <w:rPr>
          <w:rFonts w:ascii="Times New Roman;sans-serif" w:hAnsi="Times New Roman;sans-serif"/>
          <w:b w:val="false"/>
          <w:i/>
          <w:color w:val="000000"/>
          <w:sz w:val="20"/>
        </w:rPr>
        <w:t>Same Store Lease Portfolio Value</w:t>
      </w:r>
      <w:r>
        <w:rPr>
          <w:rFonts w:ascii="Times New Roman;sans-serif" w:hAnsi="Times New Roman;sans-serif"/>
          <w:b w:val="false"/>
          <w:color w:val="000000"/>
          <w:sz w:val="20"/>
        </w:rPr>
        <w:t xml:space="preserve">: Represents the aggregate dollar value of the expected monthly rental income associated with current active lease agreements from our Company-owned Rent-A-Center lease-to-own stores that were operated by us for 13 months or more at the end of any given period. The Company excludes from the same store base any store that receives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level of customer accounts from closed stores or acquisitions. The receiving store will be eligible for inclusion in the same store base in the 30th full month following account transfer.</w:t>
      </w:r>
    </w:p>
    <w:p>
      <w:pPr>
        <w:pStyle w:val="TextBody"/>
        <w:bidi w:val="0"/>
        <w:spacing w:lineRule="auto" w:line="268" w:before="120" w:after="283"/>
        <w:jc w:val="both"/>
        <w:rPr/>
      </w:pPr>
      <w:r>
        <w:rPr>
          <w:rFonts w:ascii="Times New Roman;sans-serif" w:hAnsi="Times New Roman;sans-serif"/>
          <w:b w:val="false"/>
          <w:i/>
          <w:color w:val="000000"/>
          <w:sz w:val="20"/>
        </w:rPr>
        <w:t>Same Store Sales:</w:t>
      </w:r>
      <w:r>
        <w:rPr>
          <w:color w:val="000000"/>
        </w:rPr>
        <w:t xml:space="preserve"> </w:t>
      </w:r>
      <w:r>
        <w:rPr>
          <w:rFonts w:ascii="Times New Roman;sans-serif" w:hAnsi="Times New Roman;sans-serif"/>
          <w:b w:val="false"/>
          <w:color w:val="000000"/>
          <w:sz w:val="20"/>
        </w:rPr>
        <w:t>Same store sales generally represents revenue earned in Company-owned Rent-A-Center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pStyle w:val="TextBody"/>
        <w:bidi w:val="0"/>
        <w:spacing w:lineRule="auto" w:line="268" w:before="120" w:after="283"/>
        <w:jc w:val="both"/>
        <w:rPr/>
      </w:pPr>
      <w:r>
        <w:rPr>
          <w:rFonts w:ascii="Times New Roman;sans-serif" w:hAnsi="Times New Roman;sans-serif"/>
          <w:b w:val="false"/>
          <w:i/>
          <w:color w:val="000000"/>
          <w:sz w:val="20"/>
        </w:rPr>
        <w:t>Lease Charge-Offs (“LCOs”) (previously referred to as “skip / stolen losses”):</w:t>
      </w:r>
      <w:r>
        <w:rPr>
          <w:color w:val="000000"/>
        </w:rPr>
        <w:t xml:space="preserve"> </w:t>
      </w:r>
      <w:r>
        <w:rPr>
          <w:rFonts w:ascii="Times New Roman;sans-serif" w:hAnsi="Times New Roman;sans-serif"/>
          <w:b w:val="false"/>
          <w:color w:val="000000"/>
          <w:sz w:val="20"/>
        </w:rPr>
        <w:t>Represents charge-offs of the net book value of unrecoverable on-rent merchandise with lease-to-own customers who are past due. This is typically expressed as a percentage of revenues for the applicable period. For the Rent-A-Center segment, LCOs exclude Get It Now, Home Choice and franchise-owned Rent-A-Center locations.</w:t>
      </w:r>
    </w:p>
    <w:p>
      <w:pPr>
        <w:pStyle w:val="TextBody"/>
        <w:bidi w:val="0"/>
        <w:spacing w:lineRule="auto" w:line="268" w:before="120" w:after="283"/>
        <w:jc w:val="both"/>
        <w:rPr/>
      </w:pPr>
      <w:r>
        <w:rPr>
          <w:rFonts w:ascii="Times New Roman;sans-serif" w:hAnsi="Times New Roman;sans-serif"/>
          <w:b w:val="false"/>
          <w:i/>
          <w:color w:val="000000"/>
          <w:sz w:val="20"/>
        </w:rPr>
        <w:t>Brigit Paying Users:</w:t>
      </w:r>
      <w:r>
        <w:rPr>
          <w:color w:val="000000"/>
        </w:rPr>
        <w:t xml:space="preserve"> </w:t>
      </w:r>
      <w:r>
        <w:rPr>
          <w:rFonts w:ascii="Times New Roman;sans-serif" w:hAnsi="Times New Roman;sans-serif"/>
          <w:b w:val="false"/>
          <w:color w:val="000000"/>
          <w:sz w:val="20"/>
        </w:rPr>
        <w:t>Represents Brigit customers who have an active Plus or Premium subscription account, are not delinquent (not 45 days past due) on a cash advance, and have made at least one of their last two subscription payments.</w:t>
      </w:r>
    </w:p>
    <w:p>
      <w:pPr>
        <w:pStyle w:val="TextBody"/>
        <w:bidi w:val="0"/>
        <w:spacing w:lineRule="auto" w:line="268" w:before="120" w:after="283"/>
        <w:jc w:val="both"/>
        <w:rPr/>
      </w:pPr>
      <w:r>
        <w:rPr>
          <w:rFonts w:ascii="Times New Roman;sans-serif" w:hAnsi="Times New Roman;sans-serif"/>
          <w:b w:val="false"/>
          <w:i/>
          <w:color w:val="000000"/>
          <w:sz w:val="20"/>
        </w:rPr>
        <w:t>Brigit Net Advance Losses:</w:t>
      </w:r>
      <w:r>
        <w:rPr>
          <w:color w:val="000000"/>
        </w:rPr>
        <w:t xml:space="preserve"> </w:t>
      </w:r>
      <w:r>
        <w:rPr>
          <w:rFonts w:ascii="Times New Roman;sans-serif" w:hAnsi="Times New Roman;sans-serif"/>
          <w:b w:val="false"/>
          <w:color w:val="000000"/>
          <w:sz w:val="20"/>
        </w:rPr>
        <w:t>Represents charge-offs of Brigit uncollectible customer cash advances that are more than 45 days past due. This is typically expressed as a percentage of total cash advances originated in the applicable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2025 we established a new operating segment following the acquisition of Brigit. Please reference Note 2 for additional discussion of the acquisition. In addition we combined our Franchising segment with our Rent-A-Center segment. Financial information disclosed within this report has been recast for the related prior year period to reflect this change. We report four operating segments: Acima, Rent-A-Center, Brigit and Mexico. The following briefly summarizes certain of our financial information for the three months ended March 31, 2025 as compared to the three months ended March 31,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2025, consolidated revenues and gross profit increased by approximately $80.4 million and $21.1 million, respectively, primarily due to an increase in the Acima and Brigit segment revenues, partially offset by a decrease in Rent-A-Center segment revenues described below. Operating profit increased by approximately $0.9 million, primarily due to the increase in gross profit noted above and a decrease in operating labor expenses of $8.9 million, partially offset by increases in other gains and charges, general and administrative expenses and non-labor operating expenses of $16.5 million, $8.7 million and $5.2 million, respectively.</w:t>
      </w:r>
    </w:p>
    <w:p>
      <w:pPr>
        <w:pStyle w:val="TextBody"/>
        <w:bidi w:val="0"/>
        <w:spacing w:lineRule="auto" w:line="288" w:before="120" w:after="283"/>
        <w:jc w:val="both"/>
        <w:rPr/>
      </w:pPr>
      <w:r>
        <w:rPr>
          <w:rFonts w:ascii="Times New Roman;sans-serif" w:hAnsi="Times New Roman;sans-serif"/>
          <w:b w:val="false"/>
          <w:color w:val="000000"/>
          <w:sz w:val="20"/>
        </w:rPr>
        <w:t xml:space="preserve">The Acima segment revenues increased approximately $75.9 million for the three months ended March 31, 2025, due to increases in rentals and fees revenues and merchandise sales of $53.4 million and $22.4 million, respectively, primarily resulting from higher GMV. Growth in GMV was primarily due to an increase in third-party retailer locations and productivity, which resulted in more leases per retailer, and expanded direct-to-consumer offerings. Operating profit increased approximately $21.8 million for the three months ended March 31, 2025, primarily due to an increase in gross profit of $17.1 million and decreases in operating labor costs, other gains and charges and non-labor operating expenses of $2.0 million, $1.7 million, and $1.3 million, respectively.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below for further discussion of Acima segment operating results for the three months ended March 31, 2025.</w:t>
      </w:r>
    </w:p>
    <w:p>
      <w:pPr>
        <w:pStyle w:val="TextBody"/>
        <w:bidi w:val="0"/>
        <w:spacing w:lineRule="auto" w:line="288" w:before="120" w:after="283"/>
        <w:jc w:val="both"/>
        <w:rPr/>
      </w:pPr>
      <w:r>
        <w:rPr>
          <w:rFonts w:ascii="Times New Roman;sans-serif" w:hAnsi="Times New Roman;sans-serif"/>
          <w:b w:val="false"/>
          <w:color w:val="000000"/>
          <w:sz w:val="20"/>
        </w:rPr>
        <w:t xml:space="preserve">Revenues in our Rent-A-Center segment decreased approximately $25.0 million for the three months ended March 31, 2025, due to an decrease in same store sales of 2.0% driven by decreases in rentals and fees revenues and merchandise sales of $24.6 million and $1.3 million, respectively. Operating profit decreased approximately $11.7 million for the three months ended March 31, 2025, primarily due to the decrease in gross profit of approximately $22.2 million, partially offset by decreases in non-labor operating expenses and operating labor expense of $7.4 million and $7.0 million, respectively.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below for further discussion of Rent-A-Center segment operating results for the three months ended March 31, 2025.</w:t>
      </w:r>
    </w:p>
    <w:p>
      <w:pPr>
        <w:pStyle w:val="TextBody"/>
        <w:bidi w:val="0"/>
        <w:spacing w:lineRule="auto" w:line="288" w:before="120" w:after="283"/>
        <w:jc w:val="both"/>
        <w:rPr/>
      </w:pPr>
      <w:r>
        <w:rPr>
          <w:rFonts w:ascii="Times New Roman;sans-serif" w:hAnsi="Times New Roman;sans-serif"/>
          <w:b w:val="false"/>
          <w:color w:val="000000"/>
          <w:sz w:val="20"/>
        </w:rPr>
        <w:t xml:space="preserve">The Brigit segment had revenues and operating profit of $31.9 million and $8.8 million, respectively, since the Closing Date.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 xml:space="preserve">below for further discussion of Brigit segment operating results for the three months ended March 31, 2025. </w:t>
      </w:r>
    </w:p>
    <w:p>
      <w:pPr>
        <w:pStyle w:val="TextBody"/>
        <w:bidi w:val="0"/>
        <w:spacing w:lineRule="auto" w:line="288" w:before="120" w:after="283"/>
        <w:jc w:val="both"/>
        <w:rPr/>
      </w:pPr>
      <w:r>
        <w:rPr>
          <w:rFonts w:ascii="Times New Roman;sans-serif" w:hAnsi="Times New Roman;sans-serif"/>
          <w:b w:val="false"/>
          <w:color w:val="000000"/>
          <w:sz w:val="20"/>
        </w:rPr>
        <w:t xml:space="preserve">The Mexico segment revenues decreased by 11.6% for the three months ended March 31, 2025, contributing to an decrease in gross profit of 11.7%, or $1.7 million, primarily due to negative impacts of exchange rate fluctuations. Operating profit decreased $0.5 million for the three months ended March 31, 2025, primarily due to the decrease in gross profit described above.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below for further discussion of Mexico segment operating results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operations was $137.7 million for the three months ended March 31, 2025. As of March 31, 2025, we held $107.3 million of cash and cash equivalents and had outstanding indebtedness of $1.5 billion.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reference for the discussion that follows.</w:t>
      </w:r>
    </w:p>
    <w:tbl>
      <w:tblPr>
        <w:tblW w:w="8442" w:type="dxa"/>
        <w:jc w:val="left"/>
        <w:tblInd w:w="0" w:type="dxa"/>
        <w:tblLayout w:type="fixed"/>
        <w:tblCellMar>
          <w:top w:w="28" w:type="dxa"/>
          <w:left w:w="28" w:type="dxa"/>
          <w:bottom w:w="28" w:type="dxa"/>
          <w:right w:w="28" w:type="dxa"/>
        </w:tblCellMar>
      </w:tblPr>
      <w:tblGrid>
        <w:gridCol w:w="977"/>
        <w:gridCol w:w="859"/>
        <w:gridCol w:w="86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78"/>
        <w:gridCol w:w="278"/>
        <w:gridCol w:w="256"/>
        <w:gridCol w:w="109"/>
        <w:gridCol w:w="109"/>
        <w:gridCol w:w="109"/>
        <w:gridCol w:w="109"/>
        <w:gridCol w:w="109"/>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Rentals and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rentals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subscriptions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labor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Non-labor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gains and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percent change is not meaningful for comparison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Three Months Ended March 31, 2024 </w:t>
      </w:r>
    </w:p>
    <w:p>
      <w:pPr>
        <w:pStyle w:val="TextBody"/>
        <w:bidi w:val="0"/>
        <w:spacing w:lineRule="auto" w:line="288" w:before="120" w:after="283"/>
        <w:jc w:val="both"/>
        <w:rPr/>
      </w:pPr>
      <w:r>
        <w:rPr>
          <w:rFonts w:ascii="Times New Roman;sans-serif" w:hAnsi="Times New Roman;sans-serif"/>
          <w:b w:val="false"/>
          <w:i/>
          <w:color w:val="000000"/>
          <w:sz w:val="20"/>
        </w:rPr>
        <w:t>Revenue.</w:t>
      </w:r>
      <w:r>
        <w:rPr>
          <w:color w:val="000000"/>
        </w:rPr>
        <w:t> </w:t>
      </w:r>
      <w:r>
        <w:rPr>
          <w:rFonts w:ascii="Times New Roman;sans-serif" w:hAnsi="Times New Roman;sans-serif"/>
          <w:b w:val="false"/>
          <w:color w:val="000000"/>
          <w:sz w:val="20"/>
        </w:rPr>
        <w:t xml:space="preserve">Total revenues increased by $80.4 million, or 7.3%, to $1,176.4 million for the three months ended March 31, 2025, from $1,096.0 million for the three months ended March 31, 2024. This increase was primarily due to an increase of approximately $75.9 million in the Acima segment and the addition of the Brigit segment with $31.9 million in revenues, partially offset by a decrease of approximately $25.0 million in the Rent-A-Center segment, as discussed further in the section “Segment Performance” below. </w:t>
      </w:r>
    </w:p>
    <w:p>
      <w:pPr>
        <w:pStyle w:val="TextBody"/>
        <w:bidi w:val="0"/>
        <w:spacing w:lineRule="auto" w:line="288" w:before="120" w:after="283"/>
        <w:jc w:val="both"/>
        <w:rPr/>
      </w:pPr>
      <w:r>
        <w:rPr>
          <w:rFonts w:ascii="Times New Roman;sans-serif" w:hAnsi="Times New Roman;sans-serif"/>
          <w:b w:val="false"/>
          <w:i/>
          <w:color w:val="000000"/>
          <w:sz w:val="20"/>
        </w:rPr>
        <w:t>Cost of Rentals and Fees.</w:t>
      </w:r>
      <w:r>
        <w:rPr>
          <w:color w:val="000000"/>
        </w:rPr>
        <w:t> </w:t>
      </w:r>
      <w:r>
        <w:rPr>
          <w:rFonts w:ascii="Times New Roman;sans-serif" w:hAnsi="Times New Roman;sans-serif"/>
          <w:b w:val="false"/>
          <w:color w:val="000000"/>
          <w:sz w:val="20"/>
        </w:rPr>
        <w:t>Cost of rentals and fees consists primarily of depreciation of rental merchandise. Cost of rentals and fees for the three months ended March 31, 2025 increased by $25.4 million, or 7.8%, to $352.5 million as compared to $327.1 million for the three months ended March 31, 2024. The increase was primarily attributable to an increase of approximately $31.3 million in the Acima segment, driven by an increase in rentals and fees revenues. Cost of rentals and fees expressed as a percentage of rentals and fees revenue was 39.2% for the three months ended March 31, 2025, as compared to 37.5% for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Cost of Merchandise Sold.</w:t>
      </w:r>
      <w:r>
        <w:rPr>
          <w:color w:val="000000"/>
        </w:rPr>
        <w:t> </w:t>
      </w:r>
      <w:r>
        <w:rPr>
          <w:rFonts w:ascii="Times New Roman;sans-serif" w:hAnsi="Times New Roman;sans-serif"/>
          <w:b w:val="false"/>
          <w:color w:val="000000"/>
          <w:sz w:val="20"/>
        </w:rPr>
        <w:t>Cost of merchandise sold represents the net book value of rental merchandise at time of sale. Cost of merchandise sold increased by $29.9 million, or 12.5%, to $269.7 million for the three months ended March 31, 2025, from $239.8 million for the three months ended March 31, 2024, primarily attributable to an increase of $27.5 million in the Acima segment, driven primarily by higher merchandise sales. The gross margin percent of merchandise sales decreased to (14.2)% for the three months ended March 31, 2025, from (11.4)%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increased by $21.0 million, or 4.0%, to $550.1 million for the three months ended March 31, 2025, from $529.1 million for the three months ended March 31, 2024, primarily due to the addition of the Brigit segment with $27.9 million in gross profit and an increase of $17.1 million in the Acima segment, partially offset by a decrease of $22.2 million in the Rent-A-Center segment, as discussed further in the section “Segment Performance” below. Gross profit as a percentage of total revenue decreased to 46.8% for the three months ended March 31, 2025, as compared to 48.3% for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Operating Labor.</w:t>
      </w:r>
      <w:r>
        <w:rPr>
          <w:color w:val="000000"/>
        </w:rPr>
        <w:t xml:space="preserve"> </w:t>
      </w:r>
      <w:r>
        <w:rPr>
          <w:rFonts w:ascii="Times New Roman;sans-serif" w:hAnsi="Times New Roman;sans-serif"/>
          <w:b w:val="false"/>
          <w:color w:val="000000"/>
          <w:sz w:val="20"/>
        </w:rPr>
        <w:t>Operating labor includes all salaries and wages paid to operational employees and district managers, together with payroll taxes and benefits. Operating labor decreased by $8.9 million, or 5.7%, to $149.2 million for the three months ended March 31, 2025, as compared to $158.1 million for the three months ended March 31, 2024, primarily due to a decrease of $7.0 million in the Rent-A-Center segment. Operating labor expressed as a percentage of total revenue was 12.7% for the three months ended March 31, 2025, as compared to 14.4% for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Non-Labor Operating Expenses.</w:t>
      </w:r>
      <w:r>
        <w:rPr>
          <w:color w:val="000000"/>
        </w:rPr>
        <w:t> </w:t>
      </w:r>
      <w:r>
        <w:rPr>
          <w:rFonts w:ascii="Times New Roman;sans-serif" w:hAnsi="Times New Roman;sans-serif"/>
          <w:b w:val="false"/>
          <w:color w:val="000000"/>
          <w:sz w:val="20"/>
        </w:rPr>
        <w:t>Non-labor operating expenses include LCOs, occupancy, delivery, advertising, selling, insurance, travel and other operating expenses. Non-labor operating expenses increased by $5.2 million, or 2.4%, to $219.0 million for the three months ended March 31, 2025, as compared to $213.8 million for the three months ended March 31, 2024, primarily due to the addition of the Brigit segment with $14.4 million in non-labor operating expenses, partially offset by a decrease of $7.4 million in the Rent-A-Center segment, primarily attributable to a decrease in corporate-owned store count, resulting from prior year store closures and refranchising. Non-labor operating expenses expressed as a percentage of total revenue was 18.6% for the three months ended March 31, 2025, compared to 19.5% for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General and Administrative Expenses.</w:t>
      </w:r>
      <w:r>
        <w:rPr>
          <w:color w:val="000000"/>
        </w:rPr>
        <w:t> </w:t>
      </w:r>
      <w:r>
        <w:rPr>
          <w:rFonts w:ascii="Times New Roman;sans-serif" w:hAnsi="Times New Roman;sans-serif"/>
          <w:b w:val="false"/>
          <w:color w:val="000000"/>
          <w:sz w:val="20"/>
        </w:rPr>
        <w:t>General and administrative expenses include all corporate overhead expenses related to our headquarters such as salaries, payroll taxes and benefits, stock-based compensation, occupancy, administrative and other expenses, as well as salaries and labor costs for our regional directors, divisional vice presidents and executive vice presidents. General and administrative expenses increased by $8.7 million, or 15.8%, to $63.8 million for the three months ended March 31, 2025, as compared to $55.1 million for the three months ended March 31, 2024, primarily due to increases in overhead labor costs. General and administrative expenses expressed as a percentage of total revenue was 5.4% for the three months ended March 31, 2025, compared to 5.0% for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 xml:space="preserve">Other Gains and Charges. </w:t>
      </w:r>
      <w:r>
        <w:rPr>
          <w:rFonts w:ascii="Times New Roman;sans-serif" w:hAnsi="Times New Roman;sans-serif"/>
          <w:b w:val="false"/>
          <w:color w:val="000000"/>
          <w:sz w:val="20"/>
        </w:rPr>
        <w:t>Other gains and charges increased by $16.5 million, or 61.6%, to $43.3 million for the three months ended March 31, 2025, as compared to $26.8 million for the three months ended March 31, 2024. The increase in other gains and charges was driven primarily by increases of $10.0 million in legal settlement reserve and $6.0 million in transaction expenses related to the Brigit acquisition.</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increased by $0.8 million, or 1.4%, to $62.6 million for the three months ended March 31, 2025, as compared to $61.8 million for the three months ended March 31, 2024, primarily due to an increase in gross profit and a decrease in operating labor, partially offset by increases in other gains and charges, general and administrative expenses and non-labor operating expenses, as described above. Operating profit expressed as a percentage of total revenue was 5.3% for the three months ended March 31, 2025, compared to 5.6% for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Income Tax Expense. </w:t>
      </w:r>
      <w:r>
        <w:rPr>
          <w:rFonts w:ascii="Times New Roman;sans-serif" w:hAnsi="Times New Roman;sans-serif"/>
          <w:b w:val="false"/>
          <w:color w:val="000000"/>
          <w:sz w:val="20"/>
        </w:rPr>
        <w:t xml:space="preserve">Income tax expense increased by $5.8 million to $10.7 million for the three months ended March 31, 2025, as compared to $4.9 million for the three months ended March 31, 2024, primarily due to a higher effective tax rate for the three months ended March 31, 2025, attributable to the tax impact on non-deductible expenses related to the Brigit acquisition. Additionally, in the three months ended March 31, 2024 we recorded a favorable adjustment related to foreign deferred tax assets that did not reoccur in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Segment Performance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Acima segment</w:t>
      </w:r>
    </w:p>
    <w:tbl>
      <w:tblPr>
        <w:tblW w:w="7981" w:type="dxa"/>
        <w:jc w:val="left"/>
        <w:tblInd w:w="0" w:type="dxa"/>
        <w:tblLayout w:type="fixed"/>
        <w:tblCellMar>
          <w:top w:w="28" w:type="dxa"/>
          <w:left w:w="28" w:type="dxa"/>
          <w:bottom w:w="28" w:type="dxa"/>
          <w:right w:w="28" w:type="dxa"/>
        </w:tblCellMar>
      </w:tblPr>
      <w:tblGrid>
        <w:gridCol w:w="803"/>
        <w:gridCol w:w="707"/>
        <w:gridCol w:w="7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256"/>
        <w:gridCol w:w="109"/>
        <w:gridCol w:w="109"/>
        <w:gridCol w:w="109"/>
        <w:gridCol w:w="109"/>
        <w:gridCol w:w="109"/>
        <w:gridCol w:w="109"/>
        <w:gridCol w:w="109"/>
        <w:gridCol w:w="109"/>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Gross merchandise volume</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The increase in revenues for the three months ended March 31, 2025, as compared to the three months ended March 31, 2024, included increases in rentals and fees revenues and merchandise sales revenue of $53.4 million and $22.4 million, respectively, resulting from higher GMV. Growth in GMV was primarily due to an increase in third-party retailer locations and productivity, which resulted in more leases per merchant, and expanding direct-to-consumer offerings.</w:t>
      </w:r>
    </w:p>
    <w:p>
      <w:pPr>
        <w:pStyle w:val="TextBody"/>
        <w:bidi w:val="0"/>
        <w:spacing w:lineRule="auto" w:line="288" w:before="120" w:after="283"/>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Gross profit increased for the three months ended March 31, 2025, as compared to the three months ended March 31, 2024, driven primarily by the increase in revenues described above. Gross profit as a percentage of segment revenues decreased to 29.3% for the three months ended March 31, 2025, compared to 30.2% for the three months ended March 31, 2024, partly due to an increase in merchandise sales resulting from a larger portfolio at the beginning of 2025 compared to 2024, in addition to the conversion of Acceptance Now locations to the Acima Holdings Lease Management platform.</w:t>
      </w:r>
    </w:p>
    <w:p>
      <w:pPr>
        <w:pStyle w:val="TextBody"/>
        <w:bidi w:val="0"/>
        <w:spacing w:lineRule="auto" w:line="288" w:before="120" w:after="283"/>
        <w:jc w:val="both"/>
        <w:rPr/>
      </w:pPr>
      <w:r>
        <w:rPr>
          <w:rFonts w:ascii="Times New Roman;sans-serif" w:hAnsi="Times New Roman;sans-serif"/>
          <w:b w:val="false"/>
          <w:i/>
          <w:color w:val="000000"/>
          <w:sz w:val="20"/>
        </w:rPr>
        <w:t xml:space="preserve">Operating Profit. </w:t>
      </w:r>
      <w:r>
        <w:rPr>
          <w:rFonts w:ascii="Times New Roman;sans-serif" w:hAnsi="Times New Roman;sans-serif"/>
          <w:b w:val="false"/>
          <w:color w:val="000000"/>
          <w:sz w:val="20"/>
        </w:rPr>
        <w:t>Operating profit as a percentage of segment revenues increased to 11.6% for the three months ended March 31, 2025, compared to 9.2% for the three months ended March 31, 2024. The increase in operating profit for the three months ended March 31, 2025 is primarily due to the increase in gross profit and decreases in operating labor, other gains and charges and non-labor operating expenses of approximately $2.0 million, $1.7 million and $1.3 million, respectively. Merchandise losses in our Acima locations due to LCOs, expressed as a percentage of segment revenues, were approximately 8.9% for the three months ended March 31, 2025, compared to 9.6% for the three months ended March 31, 2024. Merchandise losses in our Acima locations due to other merchandise losses, expressed as a percentage of segment revenues, were approximately 0.3% for both the three months ended March 31, 2025 and 2024.</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Rent-A-Center segment</w:t>
      </w:r>
    </w:p>
    <w:tbl>
      <w:tblPr>
        <w:tblW w:w="8657" w:type="dxa"/>
        <w:jc w:val="left"/>
        <w:tblInd w:w="0" w:type="dxa"/>
        <w:tblLayout w:type="fixed"/>
        <w:tblCellMar>
          <w:top w:w="28" w:type="dxa"/>
          <w:left w:w="28" w:type="dxa"/>
          <w:bottom w:w="28" w:type="dxa"/>
          <w:right w:w="28" w:type="dxa"/>
        </w:tblCellMar>
      </w:tblPr>
      <w:tblGrid>
        <w:gridCol w:w="988"/>
        <w:gridCol w:w="870"/>
        <w:gridCol w:w="872"/>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76"/>
        <w:gridCol w:w="280"/>
        <w:gridCol w:w="256"/>
        <w:gridCol w:w="109"/>
        <w:gridCol w:w="109"/>
        <w:gridCol w:w="109"/>
        <w:gridCol w:w="109"/>
        <w:gridCol w:w="109"/>
        <w:gridCol w:w="109"/>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Lease portfolio value</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Same store sales lease portfolio</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same store sales</w:t>
            </w:r>
            <w:r>
              <w:rPr>
                <w:rFonts w:ascii="Times New Roman;sans-serif" w:hAnsi="Times New Roman;sans-serif"/>
                <w:b w:val="false"/>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sales calculation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The decrease in revenue for the three months ended March 31, 2025, as compared to the three months ended March 31, 2024, was primarily due to a decrease in corporate-owned store count, resulting from prior year store closures and refranchising, and a decrease in same store sales of 2.0%, driven by an decrease in rentals and fees revenues of $24.6 million resulting from tightening of underwriting and removing certain products from our lineup to protect our LCO rate.</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decreased for the three months ended March 31, 2025, as compared to the three months ended March 31, 2024, driven primarily by the decrease in revenues described above. Gross profit as a percentage of segment revenues was 66.0% for the three months ended March 31, 2025, as compared to 67.1% for the three months ended March 31, 2024, primarily due to mix-shift changes between lease merchandise product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as a percentage of segment revenues was 13.6% for the three months ended March 31, 2025, compared to 15.2% for the three months ended March 31, 2024. The decrease in operating margin for the three months ended March 31, 2025, as compared to the three months ended March 31, 2024, was primarily driven by the decrease in gross profit described above. Merchandise losses in our company-owned Rent-A-Center lease-to-own stores due to LCOs, expressed as a percentage of Rent-A-Center lease-to-own revenues, were approximately 4.6% for the three months ended March 31, 2025, compared to 4.7% for the three months ended March 31, 2024. Other merchandise losses in our company-owned Rent-A-Center lease-to-own stores, expressed as a percentage of Rent-A-Center lease-to-own revenues, were approximately 0.8% for the three months ended March 31, 2025, compared to approximately 1.1% for the three months ended March 31, 2024. Other merchandise losses include unrepairable and missing merchandise, and loss/damage waiver claims.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Brigit segment</w:t>
      </w:r>
    </w:p>
    <w:tbl>
      <w:tblPr>
        <w:tblW w:w="7090" w:type="dxa"/>
        <w:jc w:val="left"/>
        <w:tblInd w:w="0" w:type="dxa"/>
        <w:tblLayout w:type="fixed"/>
        <w:tblCellMar>
          <w:top w:w="28" w:type="dxa"/>
          <w:left w:w="28" w:type="dxa"/>
          <w:bottom w:w="28" w:type="dxa"/>
          <w:right w:w="28" w:type="dxa"/>
        </w:tblCellMar>
      </w:tblPr>
      <w:tblGrid>
        <w:gridCol w:w="803"/>
        <w:gridCol w:w="707"/>
        <w:gridCol w:w="709"/>
        <w:gridCol w:w="202"/>
        <w:gridCol w:w="669"/>
        <w:gridCol w:w="109"/>
        <w:gridCol w:w="109"/>
        <w:gridCol w:w="109"/>
        <w:gridCol w:w="109"/>
        <w:gridCol w:w="196"/>
        <w:gridCol w:w="406"/>
        <w:gridCol w:w="109"/>
        <w:gridCol w:w="109"/>
        <w:gridCol w:w="109"/>
        <w:gridCol w:w="109"/>
        <w:gridCol w:w="196"/>
        <w:gridCol w:w="646"/>
        <w:gridCol w:w="109"/>
        <w:gridCol w:w="109"/>
        <w:gridCol w:w="109"/>
        <w:gridCol w:w="109"/>
        <w:gridCol w:w="110"/>
        <w:gridCol w:w="110"/>
        <w:gridCol w:w="111"/>
        <w:gridCol w:w="109"/>
        <w:gridCol w:w="109"/>
        <w:gridCol w:w="109"/>
        <w:gridCol w:w="109"/>
        <w:gridCol w:w="109"/>
        <w:gridCol w:w="109"/>
        <w:gridCol w:w="109"/>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Brigit paying users</w:t>
            </w:r>
            <w:r>
              <w:rPr>
                <w:rFonts w:ascii="Times New Roman;sans-serif" w:hAnsi="Times New Roman;sans-serif"/>
                <w:b w:val="false"/>
                <w:color w:val="000000"/>
                <w:sz w:val="12"/>
              </w:rPr>
              <w:t>(1)</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Revenues for the three months ended March 31, 2025 included $24.0 million in subscription revenue, $5.7 million in transfer fee revenue and $2.2 million in marketplace revenue.</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as a percentage of segment revenues was 87.4% for the three months ended March 31, 2025.</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 xml:space="preserve">Operating profit as a percentage of segment revenues was 27.7% for the three months ended March 31, 2025. Net advance losses expressed as a percentage of total cash advances originated was approximately 2.4% for the three months ended March 31, 2025.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to our condensed consolidated financial statements included in this Quarterly Report on Form 10-Q for information about the acquisition of Brigit that was completed on January 31, 2025.</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Mexico segment</w:t>
      </w:r>
    </w:p>
    <w:tbl>
      <w:tblPr>
        <w:tblW w:w="8472" w:type="dxa"/>
        <w:jc w:val="left"/>
        <w:tblInd w:w="0" w:type="dxa"/>
        <w:tblLayout w:type="fixed"/>
        <w:tblCellMar>
          <w:top w:w="28" w:type="dxa"/>
          <w:left w:w="28" w:type="dxa"/>
          <w:bottom w:w="28" w:type="dxa"/>
          <w:right w:w="28" w:type="dxa"/>
        </w:tblCellMar>
      </w:tblPr>
      <w:tblGrid>
        <w:gridCol w:w="1064"/>
        <w:gridCol w:w="937"/>
        <w:gridCol w:w="93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9"/>
        <w:gridCol w:w="271"/>
        <w:gridCol w:w="256"/>
        <w:gridCol w:w="109"/>
        <w:gridCol w:w="109"/>
        <w:gridCol w:w="109"/>
        <w:gridCol w:w="109"/>
        <w:gridCol w:w="109"/>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same store revenue</w:t>
            </w:r>
            <w:r>
              <w:rPr>
                <w:rFonts w:ascii="Times New Roman;sans-serif" w:hAnsi="Times New Roman;sans-serif"/>
                <w:b w:val="false"/>
                <w:color w:val="000000"/>
                <w:sz w:val="12"/>
              </w:rPr>
              <w:t>(1)</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revenue calculation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Revenues.</w:t>
      </w:r>
      <w:r>
        <w:rPr>
          <w:color w:val="000000"/>
        </w:rPr>
        <w:t> </w:t>
      </w:r>
      <w:r>
        <w:rPr>
          <w:rFonts w:ascii="Times New Roman;sans-serif" w:hAnsi="Times New Roman;sans-serif"/>
          <w:b w:val="false"/>
          <w:color w:val="000000"/>
          <w:sz w:val="20"/>
        </w:rPr>
        <w:t>Revenues were negatively impacted by exchange rate fluctuations of approximately $3.7 million for the three months ended March 31, 2025, as compared to the three months ended March 31, 2024. On a constant currency basis, revenues for the three months ended March 31, 2025 increased approximately $1.3 million, compared to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was negatively impacted by exchange rate fluctuations of approximately $2.6 million for the three months ended March 31, 2025, as compared to the three months ended March 31, 2024. On a constant currency basis, gross profit for the three months ended March 31, 2025 increased by approximately $0.9 million as compared to the three months ended March 31, 2024. Gross profit as a percentage of segment revenues was 71.5% for the three months ended March 31, 2025, compared to 71.6% for the three months ended March 31, 2024.</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 xml:space="preserve">Operating profit was negatively impacted by exchange rate fluctuations of approximately $0.3 million for the three months ended March 31, 2025, as compared to the three months ended March 31, 2024. On a constant currency basis, operating profit for the three months ended March 31, 2025 decreased by approximately $0.2 million as compared to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March 31, 2024. Operating profit as a percentage of segment revenues decreased to 6.7% for the three months ended March 31, 2025, compared to 8.2% for the three months ended March 31, 2024, primarily due to lower LCOs.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pP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For the three months ended March 31, 2025, we generated $137.7 million in operating cash flow, used cash in the amount of $274.9 million for the Brigit acquisition, $237.2 million for debt repayments, $21.4 million for dividends and $10.6 million for capital expenditures, and had cash proceeds from indebtedness of $459.0 million. We ended the first quarter of 2025 with $107.3 million of cash and cash equivalents and outstanding indebtedness of $1.5 billion.</w:t>
      </w:r>
    </w:p>
    <w:p>
      <w:pPr>
        <w:pStyle w:val="TextBody"/>
        <w:bidi w:val="0"/>
        <w:spacing w:lineRule="auto" w:line="288" w:before="120" w:after="283"/>
        <w:jc w:val="both"/>
        <w:rPr/>
      </w:pPr>
      <w:r>
        <w:rPr>
          <w:rFonts w:ascii="Times New Roman;sans-serif" w:hAnsi="Times New Roman;sans-serif"/>
          <w:b w:val="false"/>
          <w:i/>
          <w:color w:val="000000"/>
          <w:sz w:val="20"/>
        </w:rPr>
        <w:t>Analysis of Cash Flow.</w:t>
      </w:r>
      <w:r>
        <w:rPr>
          <w:color w:val="000000"/>
        </w:rPr>
        <w:t xml:space="preserve"> </w:t>
      </w:r>
      <w:r>
        <w:rPr>
          <w:rFonts w:ascii="Times New Roman;sans-serif" w:hAnsi="Times New Roman;sans-serif"/>
          <w:b w:val="false"/>
          <w:color w:val="000000"/>
          <w:sz w:val="20"/>
        </w:rPr>
        <w:t>Cash provided by operating activities increased by $92.3 million to $137.7 million for the three months ended March 31, 2025, from $45.4 million for the three months ended March 31, 2024, primarily due the decrease in Rent-A-Center segment corporate-owned store count, resulting from prior year store closures and refranchising, and decreases in inventory purchases and incentive compensation payouts for the three months ended March 31, 2025.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increased by $273.7 million to $285.4 million for the three months ended March 31, 2025, compared to $11.7 million for the three months ended March 31, 2024, primarily due to payment of cash consideration for acquisition of Brigit of $274.9 million for the three months ended March 31, 2025, partially offset by a decrease in investment in store-related assets in our Rent-A-Center segment.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financing activities increased by $237.0 million to $194.2 million for the three months ended March 31, 2025, compared to $(42.8) million for the three months ended March 31, 2024, primarily due to an increase in borrowings under the ABL Credit Facility of $399.0 million, used to facilitate Brigit acquisition, partially offset by an increase in debt repayments of $158.0 million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Liquidity Requirements</w:t>
      </w:r>
      <w:r>
        <w:rPr>
          <w:rFonts w:ascii="Times New Roman;sans-serif" w:hAnsi="Times New Roman;sans-serif"/>
          <w:b w:val="false"/>
          <w:color w:val="000000"/>
          <w:sz w:val="20"/>
        </w:rPr>
        <w:t>. Our primary liquidity requirements are for rental merchandise purchases, which are impacted by consumer demand for our lease-to-own solutions. Other capital requirements include expenditures for technology and property assets, and debt service. Our primary source of liquidity has been cash provided by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April 24, 2025, we had approximately $59.3 million in cash on hand, and $134.5 million available under our ABL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Merchandise Losses</w:t>
      </w:r>
      <w:r>
        <w:rPr>
          <w:rFonts w:ascii="Times New Roman;sans-serif" w:hAnsi="Times New Roman;sans-serif"/>
          <w:b w:val="false"/>
          <w:color w:val="000000"/>
          <w:sz w:val="20"/>
        </w:rPr>
        <w:t>. Merchandise losses consist of the following:</w:t>
      </w:r>
    </w:p>
    <w:tbl>
      <w:tblPr>
        <w:tblW w:w="5215" w:type="dxa"/>
        <w:jc w:val="left"/>
        <w:tblInd w:w="0" w:type="dxa"/>
        <w:tblLayout w:type="fixed"/>
        <w:tblCellMar>
          <w:top w:w="28" w:type="dxa"/>
          <w:left w:w="28" w:type="dxa"/>
          <w:bottom w:w="28" w:type="dxa"/>
          <w:right w:w="28" w:type="dxa"/>
        </w:tblCellMar>
      </w:tblPr>
      <w:tblGrid>
        <w:gridCol w:w="842"/>
        <w:gridCol w:w="740"/>
        <w:gridCol w:w="743"/>
        <w:gridCol w:w="211"/>
        <w:gridCol w:w="721"/>
        <w:gridCol w:w="109"/>
        <w:gridCol w:w="109"/>
        <w:gridCol w:w="109"/>
        <w:gridCol w:w="109"/>
        <w:gridCol w:w="211"/>
        <w:gridCol w:w="721"/>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charge-offs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merchandise losses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merchandise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Arial;sans-serif" w:hAnsi="Arial;sans-serif"/>
          <w:b w:val="false"/>
          <w:color w:val="000000"/>
          <w:sz w:val="9"/>
        </w:rPr>
        <w:t>(1)</w:t>
      </w:r>
      <w:r>
        <w:rPr>
          <w:rFonts w:ascii="Times New Roman;sans-serif" w:hAnsi="Times New Roman;sans-serif"/>
          <w:b w:val="false"/>
          <w:color w:val="000000"/>
          <w:sz w:val="14"/>
        </w:rPr>
        <w:t>Other merchandise losses include unrepairable and missing merchandise, and loss/damage waiver claims.</w:t>
      </w:r>
    </w:p>
    <w:p>
      <w:pPr>
        <w:pStyle w:val="TextBody"/>
        <w:bidi w:val="0"/>
        <w:spacing w:lineRule="auto" w:line="288" w:before="120" w:after="283"/>
        <w:jc w:val="both"/>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We make capital expenditures in order to maintain our existing operations, acquire new capital assets in new and acquired stores and invest in information technology. We spent $10.6 million and $11.8 million on capital expenditures during the three months ended March 31, 2025 and 2024, respectively. The decrease of $1.2 million is primarily due to lower investment in store-related assets in our Rent-A-Center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Acquisitions and New Location Openings.</w:t>
      </w:r>
      <w:r>
        <w:rPr>
          <w:color w:val="000000"/>
        </w:rPr>
        <w:t xml:space="preserve"> </w:t>
      </w:r>
      <w:r>
        <w:rPr>
          <w:rFonts w:ascii="Times New Roman;sans-serif" w:hAnsi="Times New Roman;sans-serif"/>
          <w:b w:val="false"/>
          <w:color w:val="000000"/>
          <w:sz w:val="20"/>
        </w:rPr>
        <w:t>The table below summarizes the store location activity for the three-month period ended March 31, 2025 for our Rent-A-Center and Mexico operating segments.</w:t>
      </w:r>
    </w:p>
    <w:tbl>
      <w:tblPr>
        <w:tblW w:w="7056" w:type="dxa"/>
        <w:jc w:val="left"/>
        <w:tblInd w:w="0" w:type="dxa"/>
        <w:tblLayout w:type="fixed"/>
        <w:tblCellMar>
          <w:top w:w="28" w:type="dxa"/>
          <w:left w:w="28" w:type="dxa"/>
          <w:bottom w:w="28" w:type="dxa"/>
          <w:right w:w="28" w:type="dxa"/>
        </w:tblCellMar>
      </w:tblPr>
      <w:tblGrid>
        <w:gridCol w:w="1260"/>
        <w:gridCol w:w="1108"/>
        <w:gridCol w:w="1112"/>
        <w:gridCol w:w="395"/>
        <w:gridCol w:w="395"/>
        <w:gridCol w:w="396"/>
        <w:gridCol w:w="109"/>
        <w:gridCol w:w="109"/>
        <w:gridCol w:w="109"/>
        <w:gridCol w:w="233"/>
        <w:gridCol w:w="233"/>
        <w:gridCol w:w="211"/>
        <w:gridCol w:w="109"/>
        <w:gridCol w:w="109"/>
        <w:gridCol w:w="109"/>
        <w:gridCol w:w="109"/>
        <w:gridCol w:w="109"/>
        <w:gridCol w:w="308"/>
        <w:gridCol w:w="308"/>
        <w:gridCol w:w="225"/>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beginning of period</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 locations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Merged with existing locations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Sold or closed with no surviving location</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end of period</w:t>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Senior Debt.</w:t>
      </w:r>
      <w:r>
        <w:rPr>
          <w:color w:val="000000"/>
        </w:rPr>
        <w:t xml:space="preserve"> </w:t>
      </w:r>
      <w:r>
        <w:rPr>
          <w:rFonts w:ascii="Times New Roman;sans-serif" w:hAnsi="Times New Roman;sans-serif"/>
          <w:b w:val="false"/>
          <w:color w:val="000000"/>
          <w:sz w:val="20"/>
        </w:rPr>
        <w:t>On February 17, 2021, we entered into a credit agreement with JPMorgan Chase Bank, N.A., as administrative agent, and lenders party 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June 7, 2024,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April 24, 2025, was 6.42%.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June 7, 2029 (subject to certain springing maturity provisions), at which time all amounts borrowed must be repaid.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also entered into a term loan credit agreement with JPMorgan Chase Bank, N.A., as administrative agent, and lenders party thereto, that provides for a seven-year $875 million senior secured term loan facility (as amended on May 28, 2024, the “Term Loan Facility”). Subject in each case to certain restrictions and conditions, we may add up to $500 million (plus additional amounts subject to satisfaction of certain financial ratios)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April 24, 2025 was 7.04%.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April 24, 2025, we had outstanding borrowings of $800.1 million under the Term Loan Facility and available commitments of $134.5 million under our ABL Credit Facility, net of letters of credit.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6 of our condensed consolidated financial statements included in this Quarterly Report on Form 10-Q for additional information regarding our senior debt.</w:t>
      </w:r>
    </w:p>
    <w:p>
      <w:pPr>
        <w:pStyle w:val="TextBody"/>
        <w:bidi w:val="0"/>
        <w:spacing w:lineRule="auto" w:line="288" w:before="120" w:after="283"/>
        <w:jc w:val="both"/>
        <w:rPr/>
      </w:pPr>
      <w:r>
        <w:rPr>
          <w:rFonts w:ascii="Times New Roman;sans-serif" w:hAnsi="Times New Roman;sans-serif"/>
          <w:b w:val="false"/>
          <w:i/>
          <w:color w:val="000000"/>
          <w:sz w:val="20"/>
        </w:rPr>
        <w:t>Senior Notes</w:t>
      </w:r>
      <w:r>
        <w:rPr>
          <w:rFonts w:ascii="Times New Roman;sans-serif" w:hAnsi="Times New Roman;sans-serif"/>
          <w:b w:val="false"/>
          <w:color w:val="000000"/>
          <w:sz w:val="20"/>
        </w:rPr>
        <w:t>. On February 17, 2021, we issued $450 million in senior unsecured notes due February 15, 2029, at par value, bearing interest at 6.375% (the “Notes”).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Operating Leases</w:t>
      </w:r>
      <w:r>
        <w:rPr>
          <w:rFonts w:ascii="Times New Roman;sans-serif" w:hAnsi="Times New Roman;sans-serif"/>
          <w:b w:val="false"/>
          <w:color w:val="000000"/>
          <w:sz w:val="20"/>
        </w:rPr>
        <w:t>. We lease space for all of our Rent-A-Center and Mexico stores under operating leases expiring at various times through 2036.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As of March 31, 2025, our total remaining obligation for existing store lease contracts was approximately $329.4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vehicles for all of our Rent-A-Center stores under operating leases with lease terms expiring twelve months after the start date of the lease. We classify these leases as short-term and have elected the short-term lease exemption for our vehicle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leases, and have therefore excluded them from our operating lease right-of-use assets within our Condensed Consolidated Balance Sheets. As of March 31, 2025, our total remaining minimum obligation for existing Rent-A-Center vehicle lease contracts was approximately $3.4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lease vehicles for all of our Mexico stores which have terms expiring at various times through 2029 with rental rates adjusted periodically for inflation. As of March 31, 2025, our total remaining obligation for existing Mexico vehicle lease contracts was approximately $3.1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Uncertain Tax Position.</w:t>
      </w:r>
      <w:r>
        <w:rPr>
          <w:color w:val="000000"/>
        </w:rPr>
        <w:t xml:space="preserve"> </w:t>
      </w:r>
      <w:r>
        <w:rPr>
          <w:rFonts w:ascii="Times New Roman;sans-serif" w:hAnsi="Times New Roman;sans-serif"/>
          <w:b w:val="false"/>
          <w:color w:val="000000"/>
          <w:sz w:val="20"/>
        </w:rPr>
        <w:t>As of March 31, 2025, we have recorded $0.4 million in uncertain tax positions. Although these positions represent a potential future cash liability to us, the amounts and timing of such payments are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Seasonality.</w:t>
      </w:r>
      <w:r>
        <w:rPr>
          <w:color w:val="000000"/>
        </w:rPr>
        <w:t xml:space="preserve"> </w:t>
      </w:r>
      <w:r>
        <w:rPr>
          <w:rFonts w:ascii="Times New Roman;sans-serif" w:hAnsi="Times New Roman;sans-serif"/>
          <w:b w:val="false"/>
          <w:color w:val="000000"/>
          <w:sz w:val="20"/>
        </w:rPr>
        <w:t>Our revenue mix is moderately seasonal, with the first quarter of each fiscal year generally providing higher sales than any other 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20" w:after="283"/>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—Reporting Comprehensive Income—Expense Disaggregation Disclosures (Subtopic 220-40): Disaggregation of Income Statement Expenses</w:t>
      </w:r>
      <w:r>
        <w:rPr>
          <w:rFonts w:ascii="Times New Roman;sans-serif" w:hAnsi="Times New Roman;sans-serif"/>
          <w:b w:val="false"/>
          <w:color w:val="000000"/>
          <w:sz w:val="20"/>
        </w:rPr>
        <w:t>, which requires new tabular disclosures disaggregating prescribed expense categories within relevant income statement captions. In January 2025, the FASB issued ASU 2025-01, which clarifies the effective date for ASU No. 2024-03. The adoption of ASU 2024-03 will be required for us for annual reporting periods beginning after December 15, 2026 and interim reporting periods beginning after December 15, 2027. We are currently assessing the ASU and the impact it will have on our financial statements following adoption.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standards setting bodies that we adopt as of the specified effective date. As of March 31, 2025, unless otherwise discussed (including with respect to ASU 2023-07), we believe the impact of any other recently issued standards that are not yet effective are either not applicable to us at this time, or will not have a material impact on our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$450 million in Notes outstanding at a fixed interest rate of 6.375%. We also had $800.1 million outstanding under the Term Loan Facility and $299.0 million outstanding under our ABL Credit Facility, each at interest rates indexed to the Term SOFR rate or the prime rate. Carrying value of the Term Loan Facility and ABL Credit Facility approximates fair value for such indebtedness. Based on our overall interest rate exposure at March 31, 2025, a hypothetical 1.0% increase or decrease in market interest rates would have the effect of causing an additional $11.0 million annualized pre-tax charge or credit to our Condensed Consolidated Statements of Operations. We have not entered into any interest rate swap agreements as of March 31, 2025.</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Controls and Procedures.</w:t>
      </w:r>
    </w:p>
    <w:p>
      <w:pPr>
        <w:pStyle w:val="TextBody"/>
        <w:bidi w:val="0"/>
        <w:spacing w:lineRule="auto" w:line="288" w:before="120" w:after="283"/>
        <w:jc w:val="both"/>
        <w:rPr/>
      </w:pPr>
      <w:r>
        <w:rPr>
          <w:rFonts w:ascii="Times New Roman;sans-serif" w:hAnsi="Times New Roman;sans-serif"/>
          <w:b w:val="false"/>
          <w:i/>
          <w:color w:val="000000"/>
          <w:sz w:val="20"/>
        </w:rPr>
        <w:t>Disclosure Controls and Procedures</w:t>
      </w:r>
      <w:r>
        <w:rPr>
          <w:rFonts w:ascii="Times New Roman;sans-serif" w:hAnsi="Times New Roman;sans-serif"/>
          <w:b w:val="false"/>
          <w:color w:val="000000"/>
          <w:sz w:val="20"/>
        </w:rPr>
        <w:t xml:space="preserve">. 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March 31, 2025, our disclosure controls and procedures (as defined in Rules 13a–15(e) and 15d–15(e) under the Securities Exchange Act of 1934) were effective.</w:t>
      </w:r>
    </w:p>
    <w:p>
      <w:pPr>
        <w:pStyle w:val="TextBody"/>
        <w:bidi w:val="0"/>
        <w:spacing w:lineRule="auto" w:line="288" w:before="120" w:after="283"/>
        <w:jc w:val="both"/>
        <w:rPr/>
      </w:pPr>
      <w:r>
        <w:rPr>
          <w:rFonts w:ascii="Times New Roman;sans-serif" w:hAnsi="Times New Roman;sans-serif"/>
          <w:b w:val="false"/>
          <w:i/>
          <w:color w:val="000000"/>
          <w:sz w:val="20"/>
        </w:rPr>
        <w:t>Changes in Internal Controls over Financial Reporting</w:t>
      </w:r>
      <w:r>
        <w:rPr>
          <w:rFonts w:ascii="Times New Roman;sans-serif" w:hAnsi="Times New Roman;sans-serif"/>
          <w:b w:val="false"/>
          <w:color w:val="000000"/>
          <w:sz w:val="20"/>
        </w:rPr>
        <w:t>. On January 31 2025, we acquired Brigit. We are currently in the process of integrating Brigit into our assessment of our internal control over financial reporting. Management’s assessment and conclusions on the effectiveness of our disclosure controls and procedures as of March 31, 2025 excludes an assessment of the internal control over financial reporting of Brigit.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described above, for the quarter ended March 31, 2025,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herein. In addition to the matters described herein,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ultimate resolution of our pending legal proceedings, governmental inquiries and investigations (which include, but are not limited to, the matters discussed herein) and, therefore, are unable to estimate a range of losses related to these matters that may be reasonably possible to occur. Please see Note 12 of our condensed consolidated financial statements included in this Quarterly Report on Form 10-Q for additional discussion of certain of our legal proceedings and governmental inquiries.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of Part 1, “Risk Factors”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w:t>
      </w: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495"/>
        <w:gridCol w:w="435"/>
        <w:gridCol w:w="437"/>
        <w:gridCol w:w="2967"/>
        <w:gridCol w:w="2744"/>
        <w:gridCol w:w="2752"/>
        <w:gridCol w:w="109"/>
        <w:gridCol w:w="109"/>
        <w:gridCol w:w="157"/>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Plan of acquisition, reorganization, arrangement, liquidation or succession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Agreement and Plan of Merger, dated as of December 12, 2024, by and among Upbound Group Inc., Fortuna Merger Sub Inc., Bridge IT Inc. and Shareholder Representative Services LLC, solely in its capacity as the Representative (incorporated herein by reference to Exhibit 2.1 to the registrant’s Current Report on Form 8-K dated as of December 12,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Articles of Incorporation and Bylaws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Restated Certificate of Incorporation of the registrant, dated as of December 5, 2024 (incorporated herein by reference to Exhibit 3.1 to the registrant’s Registration Statement on Form S-3 dated as of February 20,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the registrant (incorporated herein by reference to Exhibit 10.3 to the registrant’s Current Report on Form 8-K dated as of June 4,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Certificate of Correction to the Certificate of Elimination of the Series A Preferred Stock of the registrant, dated June 4, 2024 (incorporated herein by reference to Exhibit 10.2 to the registrant’s Current Report on Form 8-K dated as of June 5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Instruments Defining the Rights of Security Holders, Including Indentures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Description of the registrant’s Common Stock (incorporated herein by reference to Exhibit 4.1 to the registrant’s Registration Statement on Form S-3 dated as of February 20,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Form of Certificate evidencing Common Stock (incorporated herein by reference to Exhibit 4.6 to the registrant’s Registration Statement on Form S-8 dated as of June 7,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Indenture, dated as of February 17, 2021, by and between Radiant Funding SPV, LLC and Truist Bank (incorporated herein by reference to Exhibit 4.1 to the registrant’s Current Report on Form 8-K dated as of February 17,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Material Contracts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Employment Agreement, by and between the Company and Mr. Fahmi Karam, dated February 19, 2025 (incorporated herein by reference to Exhibit 10.1 to the registrant's Current Report on Form 8-K dated as of February 20,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Registration Rights Agreement, dated as of January 31, 2025, by and among Upbound Group, Inc. and the Brigit Securityholders party thereto (incorporated herein by reference to Exhibit 10.1 to the registrant's Current Report on Form 8-K dated as of February 5,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Exhibits and Certifications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q1x2025.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Mitchell Fadel</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q1x2025.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q1x2025.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Mitchell Fadel</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_q1x2025.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files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897" w:type="dxa"/>
        <w:jc w:val="left"/>
        <w:tblInd w:w="0" w:type="dxa"/>
        <w:tblLayout w:type="fixed"/>
        <w:tblCellMar>
          <w:top w:w="28" w:type="dxa"/>
          <w:left w:w="28" w:type="dxa"/>
          <w:bottom w:w="28" w:type="dxa"/>
          <w:right w:w="28" w:type="dxa"/>
        </w:tblCellMar>
      </w:tblPr>
      <w:tblGrid>
        <w:gridCol w:w="124"/>
        <w:gridCol w:w="109"/>
        <w:gridCol w:w="109"/>
        <w:gridCol w:w="345"/>
        <w:gridCol w:w="345"/>
        <w:gridCol w:w="345"/>
        <w:gridCol w:w="736"/>
        <w:gridCol w:w="736"/>
        <w:gridCol w:w="1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UPBOUND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EVP, Chief Financial Officer</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2025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31.1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Mitchell E. Fadel, certify that: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2025 </w:t>
      </w:r>
    </w:p>
    <w:p>
      <w:pPr>
        <w:pStyle w:val="TextBody"/>
        <w:bidi w:val="0"/>
        <w:spacing w:lineRule="auto" w:line="288" w:before="0" w:after="0"/>
        <w:jc w:val="left"/>
        <w:rPr/>
      </w:pPr>
      <w:r>
        <w:rPr>
          <w:rFonts w:ascii="Times New Roman;sans-serif" w:hAnsi="Times New Roman;sans-serif"/>
          <w:b w:val="false"/>
          <w:color w:val="000000"/>
          <w:sz w:val="20"/>
          <w:u w:val="single"/>
        </w:rPr>
        <w:t>/s/ Mitchell E. Fadel</w:t>
      </w: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Mitchell E. Fadel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31.2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Fahmi W. Karam, certify that: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2025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Fahmi W. Karam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Fahmi W. Karam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32.1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March 31, 2025,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Mitchell E. Fadel, Chief Executive Officer and Director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 Mitchell E. Fadel</w:t>
      </w: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Mitchell E. Fadel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and Director</w:t>
      </w:r>
    </w:p>
    <w:p>
      <w:pPr>
        <w:pStyle w:val="TextBody"/>
        <w:bidi w:val="0"/>
        <w:spacing w:before="0" w:after="0"/>
        <w:ind w:left="0" w:right="0" w:firstLine="630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May 1, 2025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32.2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March 31, 2025,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Fahmi W. Karam, Chief Financial Officer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 Fahmi W. Karam</w:t>
      </w: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Fahmi W. Karam</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Chief Financial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May 1, 2025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33036/000110465924128068/tm2430553d1_ex2-1.htm" TargetMode="External"/><Relationship Id="rId3" Type="http://schemas.openxmlformats.org/officeDocument/2006/relationships/hyperlink" Target="https://www.sec.gov/Archives/edgar/data/933036/000110465925015482/tm256884d2_ex3-1.htm" TargetMode="External"/><Relationship Id="rId4" Type="http://schemas.openxmlformats.org/officeDocument/2006/relationships/hyperlink" Target="https://www.sec.gov/Archives/edgar/data/933036/000110465924068516/tm2415591d1_10-3.htm" TargetMode="External"/><Relationship Id="rId5" Type="http://schemas.openxmlformats.org/officeDocument/2006/relationships/hyperlink" Target="https://www.sec.gov/Archives/edgar/data/933036/000110465924068516/tm2415591d1_10-2.htm" TargetMode="External"/><Relationship Id="rId6" Type="http://schemas.openxmlformats.org/officeDocument/2006/relationships/hyperlink" Target="https://www.sec.gov/Archives/edgar/data/933036/000110465925015482/tm256884d2_ex4-1.htm" TargetMode="External"/><Relationship Id="rId7" Type="http://schemas.openxmlformats.org/officeDocument/2006/relationships/hyperlink" Target="https://www.sec.gov/Archives/edgar/data/933036/000110465923068936/tm2316186d1_ex4-6.htm" TargetMode="External"/><Relationship Id="rId8" Type="http://schemas.openxmlformats.org/officeDocument/2006/relationships/hyperlink" Target="https://www.sec.gov/Archives/edgar/data/933036/000110465921024846/tm216741d1_ex4-1.htm" TargetMode="External"/><Relationship Id="rId9" Type="http://schemas.openxmlformats.org/officeDocument/2006/relationships/hyperlink" Target="https://www.sec.gov/Archives/edgar/data/0000933036/000110465925015439/tm256882d1_ex10-1.htm" TargetMode="External"/><Relationship Id="rId10" Type="http://schemas.openxmlformats.org/officeDocument/2006/relationships/hyperlink" Target="https://www.sec.gov/Archives/edgar/data/933036/000110465925009700/tm254758d1_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25682</Words>
  <Characters>144498</Characters>
  <CharactersWithSpaces>169047</CharactersWithSpaces>
  <Paragraphs>2076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