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Pfirrman Christopher Keith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5501 HEADQUARTERS DR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PLANO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75024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UPBOUND GROUP,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UPBD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General Counsel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95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59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104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95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59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59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10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59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PERFORMANCE STOCK UNITS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82,755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0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82,755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82,755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 supplemental equity award consisting of restricted stock units and performance stock units to promote retention of key executives and to incentivize share price appreciation measured against predetermined stock prices.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the portion of the supplemental equity award granted as performance stock units, which are eligible to vest, if at all, based on the achievement of predetermined 20-trading-day average closing stock prices during a four-year performance period, subject to the reporting person's continued employment through the applicable vesting date. The performance stock units are divided into three tranches: 33% eligible to be earned upon a 20-trading-day average closing price of $24.18, 33% upon a 20-trading-day average closing price of $31.43, and 34% upon a 20-trading-day average closing price of $38.68. For each tranche, the vesting date is the later of the third anniversary of the grant date September 1, 2029, and the date the applicable stock price is attained.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Andrew West,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58741" TargetMode="External"/><Relationship Id="rId5" Type="http://schemas.openxmlformats.org/officeDocument/2006/relationships/hyperlink" Target="http://www.sec.gov/cgi-bin/browse-edgar?action=getcompany&amp;CIK=000093303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720</Words>
  <Characters>3972</Characters>
  <CharactersWithSpaces>4620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