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jc w:val="center"/>
        <w:rPr/>
      </w:pPr>
      <w:r>
        <w:rPr>
          <w:rFonts w:ascii="Times New Roman;sans-serif" w:hAnsi="Times New Roman;sans-serif"/>
          <w:b/>
          <w:color w:val="000000"/>
          <w:sz w:val="20"/>
        </w:rPr>
        <w:t>or</w:t>
      </w:r>
      <w:r>
        <w:rPr>
          <w:color w:val="000000"/>
        </w:rPr>
        <w:t> </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001-38047 </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Upbound Group,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45-0491516</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5501 Headquarters Drive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Plano, Texas 75024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including zip code of registrant’s principal executive offices)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972-801-1100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662" w:type="dxa"/>
        <w:jc w:val="center"/>
        <w:tblInd w:w="0" w:type="dxa"/>
        <w:tblCellMar>
          <w:top w:w="28" w:type="dxa"/>
          <w:left w:w="28" w:type="dxa"/>
          <w:bottom w:w="28" w:type="dxa"/>
          <w:right w:w="28" w:type="dxa"/>
        </w:tblCellMar>
      </w:tblPr>
      <w:tblGrid>
        <w:gridCol w:w="970"/>
        <w:gridCol w:w="852"/>
        <w:gridCol w:w="862"/>
        <w:gridCol w:w="109"/>
        <w:gridCol w:w="109"/>
        <w:gridCol w:w="109"/>
        <w:gridCol w:w="499"/>
        <w:gridCol w:w="499"/>
        <w:gridCol w:w="501"/>
        <w:gridCol w:w="109"/>
        <w:gridCol w:w="109"/>
        <w:gridCol w:w="109"/>
        <w:gridCol w:w="1118"/>
        <w:gridCol w:w="1118"/>
        <w:gridCol w:w="1589"/>
      </w:tblGrid>
      <w:tr>
        <w:trPr/>
        <w:tc>
          <w:tcPr>
            <w:tcW w:w="97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spacing w:lineRule="auto" w:line="288" w:before="0" w:after="0"/>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6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1428"/>
        <w:gridCol w:w="1255"/>
        <w:gridCol w:w="1214"/>
        <w:gridCol w:w="214"/>
        <w:gridCol w:w="214"/>
        <w:gridCol w:w="214"/>
        <w:gridCol w:w="214"/>
        <w:gridCol w:w="214"/>
        <w:gridCol w:w="214"/>
        <w:gridCol w:w="214"/>
        <w:gridCol w:w="214"/>
        <w:gridCol w:w="214"/>
        <w:gridCol w:w="1330"/>
        <w:gridCol w:w="1330"/>
        <w:gridCol w:w="1338"/>
        <w:gridCol w:w="109"/>
        <w:gridCol w:w="109"/>
        <w:gridCol w:w="166"/>
      </w:tblGrid>
      <w:tr>
        <w:trPr/>
        <w:tc>
          <w:tcPr>
            <w:tcW w:w="142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8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8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spacing w:lineRule="auto" w:line="288" w:before="0" w:after="0"/>
        <w:rPr/>
      </w:pP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 xml:space="preserve">No </w:t>
      </w:r>
      <w:r>
        <w:rPr>
          <w:color w:val="000000"/>
        </w:rPr>
        <w:t>☒</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these error corrections are restatements that require a recovery analysis of incentive-based compensation received by any of the registrant's executive officers during the relevant recovery period pursuant to §240 10D-1(b).  ☐</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April 27, 2023:</w:t>
      </w:r>
    </w:p>
    <w:tbl>
      <w:tblPr>
        <w:tblW w:w="3642" w:type="dxa"/>
        <w:jc w:val="left"/>
        <w:tblInd w:w="0" w:type="dxa"/>
        <w:tblCellMar>
          <w:top w:w="28" w:type="dxa"/>
          <w:left w:w="28" w:type="dxa"/>
          <w:bottom w:w="28" w:type="dxa"/>
          <w:right w:w="28" w:type="dxa"/>
        </w:tblCellMar>
      </w:tblPr>
      <w:tblGrid>
        <w:gridCol w:w="830"/>
        <w:gridCol w:w="727"/>
        <w:gridCol w:w="737"/>
        <w:gridCol w:w="109"/>
        <w:gridCol w:w="109"/>
        <w:gridCol w:w="109"/>
        <w:gridCol w:w="299"/>
        <w:gridCol w:w="299"/>
        <w:gridCol w:w="423"/>
      </w:tblGrid>
      <w:tr>
        <w:trPr/>
        <w:tc>
          <w:tcPr>
            <w:tcW w:w="83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Outstanding</w:t>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55,933,492</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21"/>
        <w:gridCol w:w="281"/>
        <w:gridCol w:w="284"/>
        <w:gridCol w:w="2833"/>
        <w:gridCol w:w="2833"/>
        <w:gridCol w:w="2840"/>
        <w:gridCol w:w="237"/>
        <w:gridCol w:w="237"/>
        <w:gridCol w:w="339"/>
      </w:tblGrid>
      <w:tr>
        <w:trPr/>
        <w:tc>
          <w:tcPr>
            <w:tcW w:w="32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33" w:type="dxa"/>
            <w:tcBorders/>
            <w:shd w:fill="auto" w:val="clear"/>
            <w:vAlign w:val="center"/>
          </w:tcPr>
          <w:p>
            <w:pPr>
              <w:pStyle w:val="TableContents"/>
              <w:spacing w:before="0" w:after="283"/>
              <w:rPr>
                <w:sz w:val="4"/>
                <w:szCs w:val="4"/>
              </w:rPr>
            </w:pPr>
            <w:r>
              <w:rPr>
                <w:sz w:val="4"/>
                <w:szCs w:val="4"/>
              </w:rPr>
            </w:r>
          </w:p>
        </w:tc>
        <w:tc>
          <w:tcPr>
            <w:tcW w:w="2833" w:type="dxa"/>
            <w:tcBorders/>
            <w:shd w:fill="auto" w:val="clear"/>
            <w:vAlign w:val="center"/>
          </w:tcPr>
          <w:p>
            <w:pPr>
              <w:pStyle w:val="TableContents"/>
              <w:spacing w:before="0" w:after="283"/>
              <w:rPr>
                <w:sz w:val="4"/>
                <w:szCs w:val="4"/>
              </w:rPr>
            </w:pPr>
            <w:r>
              <w:rPr>
                <w:sz w:val="4"/>
                <w:szCs w:val="4"/>
              </w:rPr>
            </w:r>
          </w:p>
        </w:tc>
        <w:tc>
          <w:tcPr>
            <w:tcW w:w="284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
              <w:r>
                <w:rPr>
                  <w:rStyle w:val="InternetLink"/>
                  <w:rFonts w:ascii="Times New Roman;sans-serif" w:hAnsi="Times New Roman;sans-serif"/>
                  <w:b/>
                  <w:strike w:val="false"/>
                  <w:dstrike w:val="false"/>
                  <w:color w:val="000000"/>
                  <w:sz w:val="20"/>
                  <w:u w:val="none"/>
                  <w:effect w:val="none"/>
                </w:rPr>
                <w:t>PART I.</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
              <w:r>
                <w:rPr>
                  <w:rStyle w:val="InternetLink"/>
                  <w:rFonts w:ascii="Times New Roman;sans-serif" w:hAnsi="Times New Roman;sans-serif"/>
                  <w:b/>
                  <w:strike w:val="false"/>
                  <w:dstrike w:val="false"/>
                  <w:color w:val="000000"/>
                  <w:sz w:val="20"/>
                  <w:u w:val="none"/>
                  <w:effect w:val="none"/>
                </w:rPr>
                <w:t>FINANCIAL INFORMATION</w:t>
              </w:r>
            </w:hyperlink>
          </w:p>
        </w:tc>
        <w:tc>
          <w:tcPr>
            <w:tcW w:w="8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
              <w:r>
                <w:rPr>
                  <w:rStyle w:val="InternetLink"/>
                  <w:rFonts w:ascii="Times New Roman;sans-serif" w:hAnsi="Times New Roman;sans-serif"/>
                  <w:b w:val="false"/>
                  <w:strike w:val="false"/>
                  <w:dstrike w:val="false"/>
                  <w:color w:val="000000"/>
                  <w:sz w:val="20"/>
                  <w:u w:val="none"/>
                  <w:effect w:val="none"/>
                </w:rPr>
                <w:t>Condensed Consolidated Financial Statements</w:t>
              </w:r>
            </w:hyperlink>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6">
              <w:r>
                <w:rPr>
                  <w:rStyle w:val="InternetLink"/>
                </w:rPr>
                <w:t>Condensed Consolidated Statements of Operations for the</w:t>
              </w:r>
            </w:hyperlink>
            <w:hyperlink w:anchor="i6dafd3f7a53045629913635389ab86d6_16">
              <w:r>
                <w:rPr>
                  <w:rStyle w:val="InternetLink"/>
                </w:rPr>
                <w:t xml:space="preserve"> </w:t>
              </w:r>
            </w:hyperlink>
            <w:r>
              <w:rPr>
                <w:rFonts w:ascii="Times New Roman;sans-serif" w:hAnsi="Times New Roman;sans-serif"/>
                <w:b w:val="false"/>
                <w:color w:val="000000"/>
                <w:sz w:val="20"/>
              </w:rPr>
              <w:t>three-month</w:t>
            </w:r>
            <w:hyperlink w:anchor="i6dafd3f7a53045629913635389ab86d6_16">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March 31, 2023</w:t>
            </w:r>
            <w:hyperlink w:anchor="i6dafd3f7a53045629913635389ab86d6_16">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9">
              <w:r>
                <w:rPr>
                  <w:rStyle w:val="InternetLink"/>
                </w:rPr>
                <w:t>Condensed Consolidated Statements of Comprehensive</w:t>
              </w:r>
            </w:hyperlink>
            <w:hyperlink w:anchor="i6dafd3f7a53045629913635389ab86d6_19">
              <w:r>
                <w:rPr>
                  <w:rStyle w:val="InternetLink"/>
                </w:rPr>
                <w:t xml:space="preserve"> </w:t>
              </w:r>
            </w:hyperlink>
            <w:hyperlink w:anchor="i6dafd3f7a53045629913635389ab86d6_19">
              <w:r>
                <w:rPr>
                  <w:rStyle w:val="InternetLink"/>
                </w:rPr>
                <w:t xml:space="preserve">Income </w:t>
              </w:r>
            </w:hyperlink>
            <w:hyperlink w:anchor="i6dafd3f7a53045629913635389ab86d6_19">
              <w:r>
                <w:rPr>
                  <w:rStyle w:val="InternetLink"/>
                </w:rPr>
                <w:t>(Lo</w:t>
              </w:r>
            </w:hyperlink>
            <w:hyperlink w:anchor="i6dafd3f7a53045629913635389ab86d6_19">
              <w:r>
                <w:rPr>
                  <w:rStyle w:val="InternetLink"/>
                </w:rPr>
                <w:t xml:space="preserve">ss) </w:t>
              </w:r>
            </w:hyperlink>
            <w:hyperlink w:anchor="i6dafd3f7a53045629913635389ab86d6_19">
              <w:r>
                <w:rPr>
                  <w:rStyle w:val="InternetLink"/>
                </w:rPr>
                <w:t>for the</w:t>
              </w:r>
            </w:hyperlink>
            <w:hyperlink w:anchor="i6dafd3f7a53045629913635389ab86d6_19">
              <w:r>
                <w:rPr>
                  <w:rStyle w:val="InternetLink"/>
                </w:rPr>
                <w:t xml:space="preserve"> </w:t>
              </w:r>
            </w:hyperlink>
            <w:r>
              <w:rPr>
                <w:rFonts w:ascii="Times New Roman;sans-serif" w:hAnsi="Times New Roman;sans-serif"/>
                <w:b w:val="false"/>
                <w:color w:val="000000"/>
                <w:sz w:val="20"/>
              </w:rPr>
              <w:t>three-month</w:t>
            </w:r>
            <w:hyperlink w:anchor="i6dafd3f7a53045629913635389ab86d6_19">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March 31, 2023</w:t>
            </w:r>
            <w:hyperlink w:anchor="i6dafd3f7a53045629913635389ab86d6_19">
              <w:r>
                <w:rPr>
                  <w:rStyle w:val="InternetLink"/>
                </w:rPr>
                <w:t xml:space="preserve"> and</w:t>
              </w:r>
            </w:hyperlink>
            <w:hyperlink w:anchor="i6dafd3f7a53045629913635389ab86d6_19">
              <w:r>
                <w:rPr>
                  <w:rStyle w:val="InternetLink"/>
                </w:rPr>
                <w:t xml:space="preserve"> </w:t>
              </w:r>
            </w:hyperlink>
            <w:r>
              <w:rPr>
                <w:rFonts w:ascii="Times New Roman;sans-serif" w:hAnsi="Times New Roman;sans-serif"/>
                <w:b w:val="false"/>
                <w:color w:val="000000"/>
                <w:sz w:val="20"/>
              </w:rPr>
              <w:t>2022</w:t>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9">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22">
              <w:r>
                <w:rPr>
                  <w:rStyle w:val="InternetLink"/>
                  <w:rFonts w:ascii="Times New Roman;sans-serif" w:hAnsi="Times New Roman;sans-serif"/>
                  <w:b w:val="false"/>
                  <w:strike w:val="false"/>
                  <w:dstrike w:val="false"/>
                  <w:color w:val="000000"/>
                  <w:sz w:val="20"/>
                  <w:u w:val="none"/>
                  <w:effect w:val="none"/>
                </w:rPr>
                <w:t>Condensed Consolidated Balance Sheets as of</w:t>
              </w:r>
            </w:hyperlink>
            <w:r>
              <w:rPr>
                <w:rFonts w:ascii="Times New Roman;sans-serif" w:hAnsi="Times New Roman;sans-serif"/>
                <w:b w:val="false"/>
                <w:color w:val="000000"/>
                <w:sz w:val="20"/>
              </w:rPr>
              <w:t xml:space="preserve"> March 31, 2023</w:t>
            </w:r>
            <w:hyperlink w:anchor="i6dafd3f7a53045629913635389ab86d6_22">
              <w:r>
                <w:rPr>
                  <w:rStyle w:val="InternetLink"/>
                </w:rPr>
                <w:t xml:space="preserve"> and</w:t>
              </w:r>
            </w:hyperlink>
            <w:hyperlink w:anchor="i6dafd3f7a53045629913635389ab86d6_22">
              <w:r>
                <w:rPr>
                  <w:rStyle w:val="InternetLink"/>
                </w:rPr>
                <w:t xml:space="preserve"> </w:t>
              </w:r>
            </w:hyperlink>
            <w:r>
              <w:rPr>
                <w:rFonts w:ascii="Times New Roman;sans-serif" w:hAnsi="Times New Roman;sans-serif"/>
                <w:b w:val="false"/>
                <w:color w:val="000000"/>
                <w:sz w:val="20"/>
              </w:rPr>
              <w:t>December 31, 2022</w:t>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25">
              <w:r>
                <w:rPr>
                  <w:rStyle w:val="InternetLink"/>
                </w:rPr>
                <w:t>Condensed Consolidated Statement</w:t>
              </w:r>
            </w:hyperlink>
            <w:hyperlink w:anchor="i6dafd3f7a53045629913635389ab86d6_25">
              <w:r>
                <w:rPr>
                  <w:rStyle w:val="InternetLink"/>
                </w:rPr>
                <w:t>s</w:t>
              </w:r>
            </w:hyperlink>
            <w:hyperlink w:anchor="i6dafd3f7a53045629913635389ab86d6_25">
              <w:r>
                <w:rPr>
                  <w:rStyle w:val="InternetLink"/>
                </w:rPr>
                <w:t xml:space="preserve"> of Stockholders</w:t>
              </w:r>
            </w:hyperlink>
            <w:hyperlink w:anchor="i6dafd3f7a53045629913635389ab86d6_25">
              <w:r>
                <w:rPr>
                  <w:rStyle w:val="InternetLink"/>
                </w:rPr>
                <w:t>'</w:t>
              </w:r>
            </w:hyperlink>
            <w:hyperlink w:anchor="i6dafd3f7a53045629913635389ab86d6_25">
              <w:r>
                <w:rPr>
                  <w:rStyle w:val="InternetLink"/>
                </w:rPr>
                <w:t xml:space="preserve"> Equity for the</w:t>
              </w:r>
            </w:hyperlink>
            <w:hyperlink w:anchor="i6dafd3f7a53045629913635389ab86d6_25">
              <w:r>
                <w:rPr>
                  <w:rStyle w:val="InternetLink"/>
                </w:rPr>
                <w:t xml:space="preserve"> </w:t>
              </w:r>
            </w:hyperlink>
            <w:r>
              <w:rPr>
                <w:rFonts w:ascii="Times New Roman;sans-serif" w:hAnsi="Times New Roman;sans-serif"/>
                <w:b w:val="false"/>
                <w:color w:val="000000"/>
                <w:sz w:val="20"/>
              </w:rPr>
              <w:t>three-month</w:t>
            </w:r>
            <w:hyperlink w:anchor="i6dafd3f7a53045629913635389ab86d6_25">
              <w:r>
                <w:rPr>
                  <w:rStyle w:val="InternetLink"/>
                  <w:rFonts w:ascii="Times New Roman;sans-serif" w:hAnsi="Times New Roman;sans-serif"/>
                  <w:b w:val="false"/>
                  <w:strike w:val="false"/>
                  <w:dstrike w:val="false"/>
                  <w:color w:val="000000"/>
                  <w:sz w:val="20"/>
                  <w:u w:val="none"/>
                  <w:effect w:val="none"/>
                </w:rPr>
                <w:t xml:space="preserve"> periods ending</w:t>
              </w:r>
            </w:hyperlink>
            <w:r>
              <w:rPr>
                <w:rFonts w:ascii="Times New Roman;sans-serif" w:hAnsi="Times New Roman;sans-serif"/>
                <w:b w:val="false"/>
                <w:color w:val="000000"/>
                <w:sz w:val="20"/>
              </w:rPr>
              <w:t xml:space="preserve"> March 31, 2023</w:t>
            </w:r>
            <w:hyperlink w:anchor="i6dafd3f7a53045629913635389ab86d6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for the </w:t>
              </w:r>
            </w:hyperlink>
            <w:r>
              <w:rPr>
                <w:rFonts w:ascii="Times New Roman;sans-serif" w:hAnsi="Times New Roman;sans-serif"/>
                <w:b w:val="false"/>
                <w:color w:val="000000"/>
                <w:sz w:val="20"/>
              </w:rPr>
              <w:t>three-month</w:t>
            </w:r>
            <w:hyperlink w:anchor="i6dafd3f7a53045629913635389ab86d6_28">
              <w:r>
                <w:rPr>
                  <w:rStyle w:val="InternetLink"/>
                  <w:rFonts w:ascii="Times New Roman;sans-serif" w:hAnsi="Times New Roman;sans-serif"/>
                  <w:b w:val="false"/>
                  <w:strike w:val="false"/>
                  <w:dstrike w:val="false"/>
                  <w:color w:val="000000"/>
                  <w:sz w:val="20"/>
                  <w:u w:val="none"/>
                  <w:effect w:val="none"/>
                </w:rPr>
                <w:t xml:space="preserve"> periods ended </w:t>
              </w:r>
            </w:hyperlink>
            <w:r>
              <w:rPr>
                <w:rFonts w:ascii="Times New Roman;sans-serif" w:hAnsi="Times New Roman;sans-serif"/>
                <w:b w:val="false"/>
                <w:color w:val="000000"/>
                <w:sz w:val="20"/>
              </w:rPr>
              <w:t>March 31, 2023</w:t>
            </w:r>
            <w:hyperlink w:anchor="i6dafd3f7a53045629913635389ab86d6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31">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8506"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8506"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76">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76">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79">
              <w:r>
                <w:rPr>
                  <w:rStyle w:val="InternetLink"/>
                  <w:rFonts w:ascii="Times New Roman;sans-serif" w:hAnsi="Times New Roman;sans-serif"/>
                  <w:b w:val="false"/>
                  <w:strike w:val="false"/>
                  <w:dstrike w:val="false"/>
                  <w:color w:val="000000"/>
                  <w:sz w:val="20"/>
                  <w:u w:val="none"/>
                  <w:effect w:val="none"/>
                </w:rPr>
                <w:t>20</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6">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6">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36">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9">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39">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39">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42">
              <w:r>
                <w:rPr>
                  <w:rStyle w:val="InternetLink"/>
                  <w:rFonts w:ascii="Times New Roman;sans-serif" w:hAnsi="Times New Roman;sans-serif"/>
                  <w:b/>
                  <w:strike w:val="false"/>
                  <w:dstrike w:val="false"/>
                  <w:color w:val="000000"/>
                  <w:sz w:val="20"/>
                  <w:u w:val="none"/>
                  <w:effect w:val="none"/>
                </w:rPr>
                <w:t>PART II.</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42">
              <w:r>
                <w:rPr>
                  <w:rStyle w:val="InternetLink"/>
                  <w:rFonts w:ascii="Times New Roman;sans-serif" w:hAnsi="Times New Roman;sans-serif"/>
                  <w:b/>
                  <w:strike w:val="false"/>
                  <w:dstrike w:val="false"/>
                  <w:color w:val="000000"/>
                  <w:sz w:val="20"/>
                  <w:u w:val="none"/>
                  <w:effect w:val="none"/>
                </w:rPr>
                <w:t>OTHER INFORMATION</w:t>
              </w:r>
            </w:hyperlink>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8506"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8506"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45">
              <w:r>
                <w:rPr>
                  <w:rStyle w:val="InternetLink"/>
                  <w:rFonts w:ascii="Times New Roman;sans-serif" w:hAnsi="Times New Roman;sans-serif"/>
                  <w:b w:val="false"/>
                  <w:strike w:val="false"/>
                  <w:dstrike w:val="false"/>
                  <w:color w:val="000000"/>
                  <w:sz w:val="20"/>
                  <w:u w:val="none"/>
                  <w:effect w:val="none"/>
                </w:rPr>
                <w:t>Item 1.</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45">
              <w:r>
                <w:rPr>
                  <w:rStyle w:val="InternetLink"/>
                  <w:rFonts w:ascii="Times New Roman;sans-serif" w:hAnsi="Times New Roman;sans-serif"/>
                  <w:b w:val="false"/>
                  <w:strike w:val="false"/>
                  <w:dstrike w:val="false"/>
                  <w:color w:val="000000"/>
                  <w:sz w:val="20"/>
                  <w:u w:val="none"/>
                  <w:effect w:val="none"/>
                </w:rPr>
                <w:t>Legal Proceedings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45">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48">
              <w:r>
                <w:rPr>
                  <w:rStyle w:val="InternetLink"/>
                  <w:rFonts w:ascii="Times New Roman;sans-serif" w:hAnsi="Times New Roman;sans-serif"/>
                  <w:b w:val="false"/>
                  <w:strike w:val="false"/>
                  <w:dstrike w:val="false"/>
                  <w:color w:val="000000"/>
                  <w:sz w:val="20"/>
                  <w:u w:val="none"/>
                  <w:effect w:val="none"/>
                </w:rPr>
                <w:t>Item 1A.</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48">
              <w:r>
                <w:rPr>
                  <w:rStyle w:val="InternetLink"/>
                  <w:rFonts w:ascii="Times New Roman;sans-serif" w:hAnsi="Times New Roman;sans-serif"/>
                  <w:b w:val="false"/>
                  <w:strike w:val="false"/>
                  <w:dstrike w:val="false"/>
                  <w:color w:val="000000"/>
                  <w:sz w:val="20"/>
                  <w:u w:val="none"/>
                  <w:effect w:val="none"/>
                </w:rPr>
                <w:t>Risk Factors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48">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51">
              <w:r>
                <w:rPr>
                  <w:rStyle w:val="InternetLink"/>
                  <w:rFonts w:ascii="Times New Roman;sans-serif" w:hAnsi="Times New Roman;sans-serif"/>
                  <w:b w:val="false"/>
                  <w:strike w:val="false"/>
                  <w:dstrike w:val="false"/>
                  <w:color w:val="000000"/>
                  <w:sz w:val="20"/>
                  <w:u w:val="none"/>
                  <w:effect w:val="none"/>
                </w:rPr>
                <w:t>Item 2.</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51">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51">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54">
              <w:r>
                <w:rPr>
                  <w:rStyle w:val="InternetLink"/>
                  <w:rFonts w:ascii="Times New Roman;sans-serif" w:hAnsi="Times New Roman;sans-serif"/>
                  <w:b w:val="false"/>
                  <w:strike w:val="false"/>
                  <w:dstrike w:val="false"/>
                  <w:color w:val="000000"/>
                  <w:sz w:val="20"/>
                  <w:u w:val="none"/>
                  <w:effect w:val="none"/>
                </w:rPr>
                <w:t>Item 3.</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pPr>
            <w:hyperlink w:anchor="i6dafd3f7a53045629913635389ab86d6_154">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54">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57">
              <w:r>
                <w:rPr>
                  <w:rStyle w:val="InternetLink"/>
                  <w:rFonts w:ascii="Times New Roman;sans-serif" w:hAnsi="Times New Roman;sans-serif"/>
                  <w:b w:val="false"/>
                  <w:strike w:val="false"/>
                  <w:dstrike w:val="false"/>
                  <w:color w:val="000000"/>
                  <w:sz w:val="20"/>
                  <w:u w:val="none"/>
                  <w:effect w:val="none"/>
                </w:rPr>
                <w:t>Item 4.</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57">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57">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60">
              <w:r>
                <w:rPr>
                  <w:rStyle w:val="InternetLink"/>
                  <w:rFonts w:ascii="Times New Roman;sans-serif" w:hAnsi="Times New Roman;sans-serif"/>
                  <w:b w:val="false"/>
                  <w:strike w:val="false"/>
                  <w:dstrike w:val="false"/>
                  <w:color w:val="000000"/>
                  <w:sz w:val="20"/>
                  <w:u w:val="none"/>
                  <w:effect w:val="none"/>
                </w:rPr>
                <w:t>Item 5.</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60">
              <w:r>
                <w:rPr>
                  <w:rStyle w:val="InternetLink"/>
                  <w:rFonts w:ascii="Times New Roman;sans-serif" w:hAnsi="Times New Roman;sans-serif"/>
                  <w:b w:val="false"/>
                  <w:strike w:val="false"/>
                  <w:dstrike w:val="false"/>
                  <w:color w:val="000000"/>
                  <w:sz w:val="20"/>
                  <w:u w:val="none"/>
                  <w:effect w:val="none"/>
                </w:rPr>
                <w:t>Other Information</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60">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63">
              <w:r>
                <w:rPr>
                  <w:rStyle w:val="InternetLink"/>
                  <w:rFonts w:ascii="Times New Roman;sans-serif" w:hAnsi="Times New Roman;sans-serif"/>
                  <w:b w:val="false"/>
                  <w:strike w:val="false"/>
                  <w:dstrike w:val="false"/>
                  <w:color w:val="000000"/>
                  <w:sz w:val="20"/>
                  <w:u w:val="none"/>
                  <w:effect w:val="none"/>
                </w:rPr>
                <w:t>Item 6.</w:t>
              </w:r>
            </w:hyperlink>
          </w:p>
        </w:tc>
        <w:tc>
          <w:tcPr>
            <w:tcW w:w="85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63">
              <w:r>
                <w:rPr>
                  <w:rStyle w:val="InternetLink"/>
                  <w:rFonts w:ascii="Times New Roman;sans-serif" w:hAnsi="Times New Roman;sans-serif"/>
                  <w:b w:val="false"/>
                  <w:strike w:val="false"/>
                  <w:dstrike w:val="false"/>
                  <w:color w:val="000000"/>
                  <w:sz w:val="20"/>
                  <w:u w:val="none"/>
                  <w:effect w:val="none"/>
                </w:rPr>
                <w:t>Exhibits</w:t>
              </w:r>
            </w:hyperlink>
          </w:p>
        </w:tc>
        <w:tc>
          <w:tcPr>
            <w:tcW w:w="81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dafd3f7a53045629913635389ab86d6_163">
              <w:r>
                <w:rPr>
                  <w:rStyle w:val="InternetLink"/>
                  <w:rFonts w:ascii="Times New Roman;sans-serif" w:hAnsi="Times New Roman;sans-serif"/>
                  <w:b w:val="false"/>
                  <w:strike w:val="false"/>
                  <w:dstrike w:val="false"/>
                  <w:color w:val="000000"/>
                  <w:sz w:val="20"/>
                  <w:u w:val="none"/>
                  <w:effect w:val="none"/>
                </w:rPr>
                <w:t>34</w:t>
              </w:r>
            </w:hyperlink>
          </w:p>
        </w:tc>
      </w:tr>
      <w:tr>
        <w:trPr/>
        <w:tc>
          <w:tcPr>
            <w:tcW w:w="939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9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dafd3f7a53045629913635389ab86d6_166">
              <w:r>
                <w:rPr>
                  <w:rStyle w:val="InternetLink"/>
                  <w:rFonts w:ascii="Times New Roman;sans-serif" w:hAnsi="Times New Roman;sans-serif"/>
                  <w:b/>
                  <w:strike w:val="false"/>
                  <w:dstrike w:val="false"/>
                  <w:color w:val="000000"/>
                  <w:sz w:val="20"/>
                  <w:u w:val="none"/>
                  <w:effect w:val="none"/>
                </w:rPr>
                <w:t>SIGNATURES</w:t>
              </w:r>
            </w:hyperlink>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7764" w:type="dxa"/>
        <w:jc w:val="left"/>
        <w:tblInd w:w="0" w:type="dxa"/>
        <w:tblCellMar>
          <w:top w:w="28" w:type="dxa"/>
          <w:left w:w="28" w:type="dxa"/>
          <w:bottom w:w="28" w:type="dxa"/>
          <w:right w:w="28" w:type="dxa"/>
        </w:tblCellMar>
      </w:tblPr>
      <w:tblGrid>
        <w:gridCol w:w="1313"/>
        <w:gridCol w:w="1154"/>
        <w:gridCol w:w="1163"/>
        <w:gridCol w:w="109"/>
        <w:gridCol w:w="109"/>
        <w:gridCol w:w="165"/>
        <w:gridCol w:w="165"/>
        <w:gridCol w:w="165"/>
        <w:gridCol w:w="165"/>
        <w:gridCol w:w="320"/>
        <w:gridCol w:w="1253"/>
        <w:gridCol w:w="165"/>
        <w:gridCol w:w="109"/>
        <w:gridCol w:w="109"/>
        <w:gridCol w:w="109"/>
        <w:gridCol w:w="211"/>
        <w:gridCol w:w="826"/>
        <w:gridCol w:w="154"/>
      </w:tblGrid>
      <w:tr>
        <w:trPr/>
        <w:tc>
          <w:tcPr>
            <w:tcW w:w="1313"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7"/>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shd w:fill="auto" w:val="clea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806,717 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986,998 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rentals and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297,146 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184,260 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installment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store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487,025 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cost of merchandise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509,797 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506,264 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store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541,377 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(110,123)</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before="0" w:after="0"/>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(LOSS)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529"/>
        <w:gridCol w:w="2166"/>
        <w:gridCol w:w="2060"/>
        <w:gridCol w:w="109"/>
        <w:gridCol w:w="109"/>
        <w:gridCol w:w="162"/>
        <w:gridCol w:w="162"/>
        <w:gridCol w:w="314"/>
        <w:gridCol w:w="1075"/>
        <w:gridCol w:w="162"/>
        <w:gridCol w:w="109"/>
        <w:gridCol w:w="109"/>
        <w:gridCol w:w="109"/>
        <w:gridCol w:w="211"/>
        <w:gridCol w:w="663"/>
        <w:gridCol w:w="156"/>
      </w:tblGrid>
      <w:tr>
        <w:trPr/>
        <w:tc>
          <w:tcPr>
            <w:tcW w:w="2529"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57" w:type="dxa"/>
            <w:gridSpan w:val="6"/>
            <w:tcBorders/>
            <w:shd w:fill="auto" w:val="clear"/>
          </w:tcPr>
          <w:p>
            <w:pPr>
              <w:pStyle w:val="TableContents"/>
              <w:spacing w:before="0" w:after="283"/>
              <w:rPr>
                <w:sz w:val="4"/>
                <w:szCs w:val="4"/>
              </w:rPr>
            </w:pPr>
            <w:r>
              <w:rPr>
                <w:sz w:val="4"/>
                <w:szCs w:val="4"/>
              </w:rPr>
            </w:r>
          </w:p>
        </w:tc>
      </w:tr>
      <w:tr>
        <w:trPr/>
        <w:tc>
          <w:tcPr>
            <w:tcW w:w="6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5" w:type="dxa"/>
            <w:gridSpan w:val="5"/>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6"/>
            <w:tcBorders/>
            <w:shd w:fill="auto" w:val="clear"/>
          </w:tcPr>
          <w:p>
            <w:pPr>
              <w:pStyle w:val="TableContents"/>
              <w:spacing w:before="0" w:after="283"/>
              <w:rPr>
                <w:sz w:val="4"/>
                <w:szCs w:val="4"/>
              </w:rPr>
            </w:pPr>
            <w:r>
              <w:rPr>
                <w:sz w:val="4"/>
                <w:szCs w:val="4"/>
              </w:rPr>
            </w:r>
          </w:p>
        </w:tc>
      </w:tr>
      <w:tr>
        <w:trPr/>
        <w:tc>
          <w:tcPr>
            <w:tcW w:w="6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 of $825 and $176 for the three months ended March 31, 2023 and 2022,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before="0" w:after="0"/>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09"/>
        <w:gridCol w:w="2111"/>
        <w:gridCol w:w="2127"/>
        <w:gridCol w:w="211"/>
        <w:gridCol w:w="976"/>
        <w:gridCol w:w="109"/>
        <w:gridCol w:w="109"/>
        <w:gridCol w:w="109"/>
        <w:gridCol w:w="109"/>
        <w:gridCol w:w="225"/>
        <w:gridCol w:w="1043"/>
        <w:gridCol w:w="167"/>
      </w:tblGrid>
      <w:tr>
        <w:trPr/>
        <w:tc>
          <w:tcPr>
            <w:tcW w:w="2909" w:type="dxa"/>
            <w:tcBorders/>
            <w:shd w:fill="auto" w:val="clear"/>
            <w:vAlign w:val="center"/>
          </w:tcPr>
          <w:p>
            <w:pPr>
              <w:pStyle w:val="TableContents"/>
              <w:spacing w:before="0" w:after="283"/>
              <w:rPr>
                <w:sz w:val="4"/>
                <w:szCs w:val="4"/>
              </w:rPr>
            </w:pPr>
            <w:r>
              <w:rPr>
                <w:sz w:val="4"/>
                <w:szCs w:val="4"/>
              </w:rPr>
            </w:r>
          </w:p>
        </w:tc>
        <w:tc>
          <w:tcPr>
            <w:tcW w:w="2111"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7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par value data)</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doubtful accounts of $12,937 and $13,214 in 2023 and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 net</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989,869 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held for installment sale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assets, net of accumulated depreciation of $592,048 and $576,675 in 2023 and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302,311 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289,750 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359,409 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2,763,619 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155,449 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320,624 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305,556 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930,902 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437,956 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2,238,473 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250,000,000 shares authorized; 125,286,720 and 125,028,169 shares issued in March 31,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1,298,094 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1,077,189 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69,354,651 shares in March 31, 2023 and December 31, 2022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(1,840,591)</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525,146 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2,763,619 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before="0" w:after="0"/>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786" w:type="dxa"/>
        <w:jc w:val="center"/>
        <w:tblInd w:w="0" w:type="dxa"/>
        <w:tblCellMar>
          <w:top w:w="28" w:type="dxa"/>
          <w:left w:w="28" w:type="dxa"/>
          <w:bottom w:w="28" w:type="dxa"/>
          <w:right w:w="28" w:type="dxa"/>
        </w:tblCellMar>
      </w:tblPr>
      <w:tblGrid>
        <w:gridCol w:w="448"/>
        <w:gridCol w:w="368"/>
        <w:gridCol w:w="370"/>
        <w:gridCol w:w="368"/>
        <w:gridCol w:w="368"/>
        <w:gridCol w:w="196"/>
        <w:gridCol w:w="109"/>
        <w:gridCol w:w="109"/>
        <w:gridCol w:w="109"/>
        <w:gridCol w:w="196"/>
        <w:gridCol w:w="55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46"/>
        <w:gridCol w:w="832"/>
        <w:gridCol w:w="138"/>
        <w:gridCol w:w="109"/>
        <w:gridCol w:w="109"/>
        <w:gridCol w:w="109"/>
        <w:gridCol w:w="196"/>
        <w:gridCol w:w="736"/>
        <w:gridCol w:w="154"/>
      </w:tblGrid>
      <w:tr>
        <w:trPr/>
        <w:tc>
          <w:tcPr>
            <w:tcW w:w="44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125,028 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(1,840,591)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525,146 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share units, net of 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stock awards vested and options exercised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tbl>
      <w:tblPr>
        <w:tblW w:w="10906" w:type="dxa"/>
        <w:jc w:val="center"/>
        <w:tblInd w:w="0" w:type="dxa"/>
        <w:tblCellMar>
          <w:top w:w="28" w:type="dxa"/>
          <w:left w:w="28" w:type="dxa"/>
          <w:bottom w:w="28" w:type="dxa"/>
          <w:right w:w="28" w:type="dxa"/>
        </w:tblCellMar>
      </w:tblPr>
      <w:tblGrid>
        <w:gridCol w:w="568"/>
        <w:gridCol w:w="368"/>
        <w:gridCol w:w="370"/>
        <w:gridCol w:w="368"/>
        <w:gridCol w:w="368"/>
        <w:gridCol w:w="196"/>
        <w:gridCol w:w="109"/>
        <w:gridCol w:w="109"/>
        <w:gridCol w:w="109"/>
        <w:gridCol w:w="196"/>
        <w:gridCol w:w="55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46"/>
        <w:gridCol w:w="832"/>
        <w:gridCol w:w="138"/>
        <w:gridCol w:w="109"/>
        <w:gridCol w:w="109"/>
        <w:gridCol w:w="109"/>
        <w:gridCol w:w="196"/>
        <w:gridCol w:w="736"/>
        <w:gridCol w:w="154"/>
      </w:tblGrid>
      <w:tr>
        <w:trPr/>
        <w:tc>
          <w:tcPr>
            <w:tcW w:w="5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124,398 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1,143,647 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(1,765,574)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share units, net of 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stock awards vested and options exercised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before="0" w:after="0"/>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9309" w:type="dxa"/>
        <w:jc w:val="left"/>
        <w:tblInd w:w="0" w:type="dxa"/>
        <w:tblCellMar>
          <w:top w:w="28" w:type="dxa"/>
          <w:left w:w="28" w:type="dxa"/>
          <w:bottom w:w="28" w:type="dxa"/>
          <w:right w:w="28" w:type="dxa"/>
        </w:tblCellMar>
      </w:tblPr>
      <w:tblGrid>
        <w:gridCol w:w="2444"/>
        <w:gridCol w:w="2151"/>
        <w:gridCol w:w="2155"/>
        <w:gridCol w:w="211"/>
        <w:gridCol w:w="826"/>
        <w:gridCol w:w="109"/>
        <w:gridCol w:w="109"/>
        <w:gridCol w:w="109"/>
        <w:gridCol w:w="109"/>
        <w:gridCol w:w="211"/>
        <w:gridCol w:w="721"/>
        <w:gridCol w:w="154"/>
      </w:tblGrid>
      <w:tr>
        <w:trPr/>
        <w:tc>
          <w:tcPr>
            <w:tcW w:w="2444"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559"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rental merchandise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disposal of property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fees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acquired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merchandise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and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trade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payment of employee tax withholdings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rPr/>
      </w:pPr>
      <w:r>
        <w:rPr/>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1 - Basis of Presentation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2022.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Nature of Operations</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included herein include the accounts of Upbound Group, Inc. (formerly Rent-A-Center,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report four operating segments: Rent-A-Center Business, Acima, Mexico, and Franchising.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Acima segment, which operates in the United States and Puerto Rico, and includes the operations of Acima Holdings and certain locations previously operating under our Preferred Lease brand, generally offers the lease-to-own transaction to consumers who do not qualify for financing from the traditional retailer through staffed or unstaffed kiosks located within such retailer’s locations, or other virtual options. Virtual locations employ a virtual solution where customers, either directly or with the assistance of a representative of the third-party retailer, initiate the lease-to-own transaction online in the retailers’ locations using our virtual solutions.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Mexico segment consists of our company-owned lease-to-own stores in Mexico that lease household durable goods to customers on a lease-to-own basis.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Rent-A-Center Franchising International, Inc., an indirect wholly-owned subsidiary of Upbound Group, Inc.,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2- Revenues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our revenue:</w:t>
      </w:r>
    </w:p>
    <w:tbl>
      <w:tblPr>
        <w:tblW w:w="9821" w:type="dxa"/>
        <w:jc w:val="left"/>
        <w:tblInd w:w="0" w:type="dxa"/>
        <w:tblCellMar>
          <w:top w:w="28" w:type="dxa"/>
          <w:left w:w="28" w:type="dxa"/>
          <w:bottom w:w="28" w:type="dxa"/>
          <w:right w:w="28" w:type="dxa"/>
        </w:tblCellMar>
      </w:tblPr>
      <w:tblGrid>
        <w:gridCol w:w="771"/>
        <w:gridCol w:w="678"/>
        <w:gridCol w:w="681"/>
        <w:gridCol w:w="333"/>
        <w:gridCol w:w="1307"/>
        <w:gridCol w:w="174"/>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7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9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 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691" w:type="dxa"/>
            <w:gridSpan w:val="27"/>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6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both"/>
        <w:rPr/>
      </w:pPr>
      <w:r>
        <w:rPr/>
      </w:r>
    </w:p>
    <w:tbl>
      <w:tblPr>
        <w:tblW w:w="9820" w:type="dxa"/>
        <w:jc w:val="left"/>
        <w:tblInd w:w="0" w:type="dxa"/>
        <w:tblCellMar>
          <w:top w:w="28" w:type="dxa"/>
          <w:left w:w="28" w:type="dxa"/>
          <w:bottom w:w="28" w:type="dxa"/>
          <w:right w:w="28" w:type="dxa"/>
        </w:tblCellMar>
      </w:tblPr>
      <w:tblGrid>
        <w:gridCol w:w="772"/>
        <w:gridCol w:w="676"/>
        <w:gridCol w:w="681"/>
        <w:gridCol w:w="333"/>
        <w:gridCol w:w="1307"/>
        <w:gridCol w:w="174"/>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7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91"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Rent-A-Center Business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Acima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691" w:type="dxa"/>
            <w:gridSpan w:val="27"/>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w:t>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Rentals and fees</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442,695 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Installment sales</w:t>
            </w:r>
          </w:p>
        </w:tc>
        <w:tc>
          <w:tcPr>
            <w:tcW w:w="1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store revenues</w:t>
            </w:r>
          </w:p>
        </w:tc>
        <w:tc>
          <w:tcPr>
            <w:tcW w:w="16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1,134,307 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w:t>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sales</w:t>
            </w:r>
          </w:p>
        </w:tc>
        <w:tc>
          <w:tcPr>
            <w:tcW w:w="1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and fees</w:t>
            </w:r>
          </w:p>
        </w:tc>
        <w:tc>
          <w:tcPr>
            <w:tcW w:w="1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i/>
          <w:color w:val="000000"/>
          <w:sz w:val="20"/>
        </w:rPr>
      </w:pPr>
      <w:r>
        <w:rPr>
          <w:rFonts w:ascii="Times New Roman;sans-serif" w:hAnsi="Times New Roman;sans-serif"/>
          <w:b/>
          <w:i/>
          <w:color w:val="000000"/>
          <w:sz w:val="20"/>
        </w:rPr>
        <w:t>Lease Purchase Agreements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Rent-A-Center Business, Acima, and Mexico</w:t>
      </w:r>
    </w:p>
    <w:p>
      <w:pPr>
        <w:pStyle w:val="TextBody"/>
        <w:spacing w:lineRule="auto" w:line="288" w:before="120" w:after="283"/>
        <w:jc w:val="both"/>
        <w:rPr/>
      </w:pPr>
      <w:r>
        <w:rPr>
          <w:rFonts w:ascii="Times New Roman;sans-serif" w:hAnsi="Times New Roman;sans-serif"/>
          <w:b w:val="false"/>
          <w:i/>
          <w:color w:val="000000"/>
          <w:sz w:val="20"/>
        </w:rPr>
        <w:t>Rentals and Fees.</w:t>
      </w:r>
      <w:r>
        <w:rPr>
          <w:color w:val="000000"/>
        </w:rPr>
        <w:t xml:space="preserve"> </w:t>
      </w:r>
      <w:r>
        <w:rPr>
          <w:rFonts w:ascii="Times New Roman;sans-serif" w:hAnsi="Times New Roman;sans-serif"/>
          <w:b w:val="false"/>
          <w:color w:val="000000"/>
          <w:sz w:val="20"/>
        </w:rPr>
        <w:t xml:space="preserve">Rental merchandise is leased to customers pursuant to lease-to-own agreements, which provide for weekly, bi-weekly, semi-monthly or monthly terms with non-refundable lease payments. At the expiration of each lease term, customers may renew the lease-to-own agreement for the next lease term. Generally, the customer has the right to acquire title of the merchandise either through a purchase option or through payment of all required lease terms. Customers can terminate the lease-to-own agreement at the end of any lease term without penalty. Therefore, lease-to-own agreements are accounted for as operating leases.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payments received at our Rent-A-Center Business stores, certain Acima staffed locations formerly operating under the Preferred Lease brand, and Mexico stores must be prepaid in advance of the next lease term. Under the Acima Holdings business model, revenues may be earned prior to the lease payment due date, in which case revenue is accrued prior to receipt of the lease payment, net of estimated returns and uncollectible renewal payments. Under both models, rental revenue is recognized over the lease term. See Note 3 for additional information regarding accrued lease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received for rental payments, including fees, prior to the period in which it should be recognized, is deferred and recognized according to the lease term. At March 31, 2023 and December 31, 2022, we had $49.0 million and $54.9 million, respectively, in deferred revenue included in accrued liabilities related to our lease-to-own agreements. Revenue related to various payment, reinstatement or late fees is recognized when paid by the customer at the point service is provided. Rental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merchandise in our Rent-A-Center Business, certain Acima staffed locations formerly operating under the Preferred Lease brand, and Mexico stores is depreciated using the income forecasting method and recognized in cost of rentals and fees in our Consolidated Statement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additional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Rent-A-Center Business, Acima, and Mexico</w:t>
      </w:r>
    </w:p>
    <w:p>
      <w:pPr>
        <w:pStyle w:val="TextBody"/>
        <w:spacing w:lineRule="auto" w:line="288" w:before="120" w:after="283"/>
        <w:jc w:val="both"/>
        <w:rPr/>
      </w:pPr>
      <w:r>
        <w:rPr>
          <w:rFonts w:ascii="Times New Roman;sans-serif" w:hAnsi="Times New Roman;sans-serif"/>
          <w:b w:val="false"/>
          <w:i/>
          <w:color w:val="000000"/>
          <w:sz w:val="20"/>
        </w:rPr>
        <w:t>Merchandise Sales.</w:t>
      </w:r>
      <w:r>
        <w:rPr>
          <w:color w:val="000000"/>
        </w:rPr>
        <w:t xml:space="preserve"> </w:t>
      </w:r>
      <w:r>
        <w:rPr>
          <w:rFonts w:ascii="Times New Roman;sans-serif" w:hAnsi="Times New Roman;sans-serif"/>
          <w:b w:val="false"/>
          <w:color w:val="000000"/>
          <w:sz w:val="20"/>
        </w:rPr>
        <w:t>Merchandise sales include payments received for the exercise of the early purchase options offered through our lease-to-own 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pStyle w:val="TextBody"/>
        <w:spacing w:lineRule="auto" w:line="288" w:before="120" w:after="283"/>
        <w:jc w:val="both"/>
        <w:rPr/>
      </w:pPr>
      <w:r>
        <w:rPr>
          <w:rFonts w:ascii="Times New Roman;sans-serif" w:hAnsi="Times New Roman;sans-serif"/>
          <w:b w:val="false"/>
          <w:i/>
          <w:color w:val="000000"/>
          <w:sz w:val="20"/>
        </w:rPr>
        <w:t>Installment Sales.</w:t>
      </w:r>
      <w:r>
        <w:rPr>
          <w:color w:val="000000"/>
        </w:rPr>
        <w:t xml:space="preserve"> </w:t>
      </w:r>
      <w:r>
        <w:rPr>
          <w:rFonts w:ascii="Times New Roman;sans-serif" w:hAnsi="Times New Roman;sans-serif"/>
          <w:b w:val="false"/>
          <w:color w:val="000000"/>
          <w:sz w:val="20"/>
        </w:rPr>
        <w:t>Revenue from the sale of merchandise in our retail installment stores is recognized when the installment note is signed and control of the 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March 31, 2023 and December 31, 2022, we had $1.7 million and $2.0 million, respectively, in deferred revenue included in accrued liabilities related to extended service plans.</w:t>
      </w:r>
    </w:p>
    <w:p>
      <w:pPr>
        <w:pStyle w:val="TextBody"/>
        <w:spacing w:lineRule="auto" w:line="288" w:before="120" w:after="283"/>
        <w:jc w:val="both"/>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Other revenue consists of revenue generated by other miscellaneous product plans offered to our rental and installment customers. Revenue for other product plans is recognized in accordance with the terms of the applicable plan agreement.</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Franchising</w:t>
      </w:r>
    </w:p>
    <w:p>
      <w:pPr>
        <w:pStyle w:val="TextBody"/>
        <w:spacing w:lineRule="auto" w:line="288" w:before="120" w:after="283"/>
        <w:jc w:val="both"/>
        <w:rPr/>
      </w:pPr>
      <w:r>
        <w:rPr>
          <w:rFonts w:ascii="Times New Roman;sans-serif" w:hAnsi="Times New Roman;sans-serif"/>
          <w:b w:val="false"/>
          <w:i/>
          <w:color w:val="000000"/>
          <w:sz w:val="20"/>
        </w:rPr>
        <w:t>Merchandise Sales.</w:t>
      </w:r>
      <w:r>
        <w:rPr>
          <w:color w:val="000000"/>
        </w:rPr>
        <w:t xml:space="preserve"> </w:t>
      </w:r>
      <w:r>
        <w:rPr>
          <w:rFonts w:ascii="Times New Roman;sans-serif" w:hAnsi="Times New Roman;sans-serif"/>
          <w:b w:val="false"/>
          <w:color w:val="000000"/>
          <w:sz w:val="20"/>
        </w:rPr>
        <w:t xml:space="preserve">Revenue from the sale of rental merchandise is recognized upon shipment of the merchandise to the franchisee. </w:t>
      </w:r>
    </w:p>
    <w:p>
      <w:pPr>
        <w:pStyle w:val="TextBody"/>
        <w:spacing w:lineRule="auto" w:line="288" w:before="120" w:after="283"/>
        <w:jc w:val="both"/>
        <w:rPr/>
      </w:pPr>
      <w:r>
        <w:rPr>
          <w:rFonts w:ascii="Times New Roman;sans-serif" w:hAnsi="Times New Roman;sans-serif"/>
          <w:b w:val="false"/>
          <w:i/>
          <w:color w:val="000000"/>
          <w:sz w:val="20"/>
        </w:rPr>
        <w:t>Royalty Income and Fees.</w:t>
      </w:r>
      <w:r>
        <w:rPr>
          <w:color w:val="000000"/>
        </w:rPr>
        <w:t xml:space="preserve"> </w:t>
      </w:r>
      <w:r>
        <w:rPr>
          <w:rFonts w:ascii="Times New Roman;sans-serif" w:hAnsi="Times New Roman;sans-serif"/>
          <w:b w:val="false"/>
          <w:color w:val="000000"/>
          <w:sz w:val="20"/>
        </w:rPr>
        <w:t>Franchise royalties, including franchisee contributions to corporate advertising funds, represent sales-based royalties calculated 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March 31, 2023 and December 31, 2022, we had $3.2 million and $3.4 million, respectively, in deferred revenue included in accrued liabilities related to franchise fees.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3 - Receivables and Allowance for Doubtful Accounts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each of the three months ended March 31, 2023 and 2022 was $3.0 million and $3.1 million,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and other corporate related receivables. Credit is extended to franchisees based on an evaluation of each franchisee’s financial condition and collateral is generally not required. Trade receivables are generally due within 30 days.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consist of the following:</w:t>
      </w:r>
    </w:p>
    <w:tbl>
      <w:tblPr>
        <w:tblW w:w="7242" w:type="dxa"/>
        <w:jc w:val="left"/>
        <w:tblInd w:w="0" w:type="dxa"/>
        <w:tblCellMar>
          <w:top w:w="28" w:type="dxa"/>
          <w:left w:w="28" w:type="dxa"/>
          <w:bottom w:w="28" w:type="dxa"/>
          <w:right w:w="28" w:type="dxa"/>
        </w:tblCellMar>
      </w:tblPr>
      <w:tblGrid>
        <w:gridCol w:w="1489"/>
        <w:gridCol w:w="1309"/>
        <w:gridCol w:w="1312"/>
        <w:gridCol w:w="237"/>
        <w:gridCol w:w="891"/>
        <w:gridCol w:w="132"/>
        <w:gridCol w:w="109"/>
        <w:gridCol w:w="109"/>
        <w:gridCol w:w="109"/>
        <w:gridCol w:w="279"/>
        <w:gridCol w:w="1047"/>
        <w:gridCol w:w="219"/>
      </w:tblGrid>
      <w:tr>
        <w:trPr/>
        <w:tc>
          <w:tcPr>
            <w:tcW w:w="148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sales receivables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Trade and notes receivables</w:t>
            </w:r>
            <w:r>
              <w:rPr>
                <w:rFonts w:ascii="Times New Roman;sans-serif" w:hAnsi="Times New Roman;sans-serif"/>
                <w:b w:val="false"/>
                <w:color w:val="000000"/>
                <w:sz w:val="12"/>
              </w:rPr>
              <w:t>(1)</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55,529 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125,079 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Less allowance for doubtful accounts</w:t>
            </w:r>
            <w:r>
              <w:rPr>
                <w:rFonts w:ascii="Times New Roman;sans-serif" w:hAnsi="Times New Roman;sans-serif"/>
                <w:b w:val="false"/>
                <w:color w:val="000000"/>
                <w:sz w:val="12"/>
              </w:rPr>
              <w:t>(2)</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(12,937)</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(13,214)</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 net of allowance for doubtful accounts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101,772 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111,865 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 xml:space="preserve">Trade and notes receivables includes accrued revenue, adjusted for the probability of collection, related to our lease-to-own agreements of $21.9 million and $28.7 million at March 31, 2023 and December 31, 2022, respectively. </w:t>
      </w:r>
    </w:p>
    <w:p>
      <w:pPr>
        <w:pStyle w:val="TextBody"/>
        <w:spacing w:lineRule="auto" w:line="288" w:before="0" w:after="0"/>
        <w:ind w:left="0" w:right="0" w:hanging="180"/>
        <w:jc w:val="both"/>
        <w:rPr/>
      </w:pPr>
      <w:r>
        <w:rPr>
          <w:rFonts w:ascii="Times New Roman;sans-serif" w:hAnsi="Times New Roman;sans-serif"/>
          <w:b w:val="false"/>
          <w:color w:val="000000"/>
          <w:sz w:val="9"/>
        </w:rPr>
        <w:t xml:space="preserve">(2) </w:t>
      </w:r>
      <w:r>
        <w:rPr>
          <w:rFonts w:ascii="Times New Roman;sans-serif" w:hAnsi="Times New Roman;sans-serif"/>
          <w:b w:val="false"/>
          <w:color w:val="000000"/>
          <w:sz w:val="14"/>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doubtful accounts related to Franchising trade and notes receivables was $0.9 million and $1.2 million, and the allowance for doubtful accounts related to installment sales receivables was $12.0 million at both March 31, 2023 and December 31, 2022.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Changes in our allowance for doubtful accounts are as follows:</w:t>
      </w:r>
    </w:p>
    <w:tbl>
      <w:tblPr>
        <w:tblW w:w="4905" w:type="dxa"/>
        <w:jc w:val="left"/>
        <w:tblInd w:w="0" w:type="dxa"/>
        <w:tblCellMar>
          <w:top w:w="28" w:type="dxa"/>
          <w:left w:w="28" w:type="dxa"/>
          <w:bottom w:w="28" w:type="dxa"/>
          <w:right w:w="28" w:type="dxa"/>
        </w:tblCellMar>
      </w:tblPr>
      <w:tblGrid>
        <w:gridCol w:w="1146"/>
        <w:gridCol w:w="1008"/>
        <w:gridCol w:w="1011"/>
        <w:gridCol w:w="259"/>
        <w:gridCol w:w="856"/>
        <w:gridCol w:w="144"/>
        <w:gridCol w:w="109"/>
        <w:gridCol w:w="109"/>
        <w:gridCol w:w="109"/>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allowance for doubtful accounts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Bad debt expense</w:t>
            </w:r>
            <w:r>
              <w:rPr>
                <w:rFonts w:ascii="Times New Roman;sans-serif" w:hAnsi="Times New Roman;sans-serif"/>
                <w:b w:val="false"/>
                <w:color w:val="000000"/>
                <w:sz w:val="12"/>
              </w:rPr>
              <w:t>(1)</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written off, net of recoveries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Ending allowance for doubtful accounts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Uncollectible installment payments, franchisee obligations, and other corporate receivables are recognized in other store operating expenses in our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4 - Leases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space for all of our Rent-A-Center Business and Mexico stores under operating leases expiring at various times through 2038. In addition, we lease space for certain support facilities under operating leases expiring at various times through 2032. Most of our store leases are five year leases and contain renewal options for additional periods ranging from three years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We also lease vehicles for all of our Mexico stores which have terms expiring at various times through 2026 with rental rates adjusted periodically for inflation. Finally, we have a minimal number of equipment leases, primarily related to temporary storage containers and certain back-office technology hardware assets.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calculation of operating lease right-of-use assets and operating lease liabilities we have elected not to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are recorded on a straight-line basis within other store expenses in our Condensed Consolidated Statements of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costs by expense type:</w:t>
      </w:r>
    </w:p>
    <w:tbl>
      <w:tblPr>
        <w:tblW w:w="8797" w:type="dxa"/>
        <w:jc w:val="left"/>
        <w:tblInd w:w="0" w:type="dxa"/>
        <w:tblCellMar>
          <w:top w:w="28" w:type="dxa"/>
          <w:left w:w="28" w:type="dxa"/>
          <w:bottom w:w="28" w:type="dxa"/>
          <w:right w:w="28" w:type="dxa"/>
        </w:tblCellMar>
      </w:tblPr>
      <w:tblGrid>
        <w:gridCol w:w="1727"/>
        <w:gridCol w:w="1519"/>
        <w:gridCol w:w="1523"/>
        <w:gridCol w:w="109"/>
        <w:gridCol w:w="109"/>
        <w:gridCol w:w="207"/>
        <w:gridCol w:w="207"/>
        <w:gridCol w:w="402"/>
        <w:gridCol w:w="1374"/>
        <w:gridCol w:w="207"/>
        <w:gridCol w:w="109"/>
        <w:gridCol w:w="109"/>
        <w:gridCol w:w="109"/>
        <w:gridCol w:w="211"/>
        <w:gridCol w:w="721"/>
        <w:gridCol w:w="154"/>
      </w:tblGrid>
      <w:tr>
        <w:trPr/>
        <w:tc>
          <w:tcPr>
            <w:tcW w:w="1727"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cost included in Other store expenses</w:t>
            </w:r>
            <w:r>
              <w:rPr>
                <w:rFonts w:ascii="Times New Roman;sans-serif" w:hAnsi="Times New Roman;sans-serif"/>
                <w:b w:val="false"/>
                <w:color w:val="000000"/>
                <w:sz w:val="13"/>
              </w:rPr>
              <w:t>(1)(2)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cost included in Other charges</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receipts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lease charges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30,077 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Includes short-term lease costs, which are not significant.</w:t>
      </w:r>
    </w:p>
    <w:p>
      <w:pPr>
        <w:pStyle w:val="TextBody"/>
        <w:spacing w:lineRule="auto" w:line="288" w:before="0" w:after="0"/>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Excludes variable lease costs of $9.4 million and $8.7 million for the three months ended March 31, 2023 and 2022, respectively.</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w:t>
      </w:r>
    </w:p>
    <w:tbl>
      <w:tblPr>
        <w:tblW w:w="9264" w:type="dxa"/>
        <w:jc w:val="left"/>
        <w:tblInd w:w="0" w:type="dxa"/>
        <w:tblCellMar>
          <w:top w:w="28" w:type="dxa"/>
          <w:left w:w="28" w:type="dxa"/>
          <w:bottom w:w="28" w:type="dxa"/>
          <w:right w:w="28" w:type="dxa"/>
        </w:tblCellMar>
      </w:tblPr>
      <w:tblGrid>
        <w:gridCol w:w="2464"/>
        <w:gridCol w:w="2164"/>
        <w:gridCol w:w="2182"/>
        <w:gridCol w:w="211"/>
        <w:gridCol w:w="721"/>
        <w:gridCol w:w="109"/>
        <w:gridCol w:w="109"/>
        <w:gridCol w:w="109"/>
        <w:gridCol w:w="109"/>
        <w:gridCol w:w="211"/>
        <w:gridCol w:w="721"/>
        <w:gridCol w:w="154"/>
      </w:tblGrid>
      <w:tr>
        <w:trPr/>
        <w:tc>
          <w:tcPr>
            <w:tcW w:w="2464"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short-term operating leases not included in 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and weighted-average remaining lease term:</w:t>
      </w:r>
    </w:p>
    <w:tbl>
      <w:tblPr>
        <w:tblW w:w="7256" w:type="dxa"/>
        <w:jc w:val="left"/>
        <w:tblInd w:w="0" w:type="dxa"/>
        <w:tblCellMar>
          <w:top w:w="28" w:type="dxa"/>
          <w:left w:w="28" w:type="dxa"/>
          <w:bottom w:w="28" w:type="dxa"/>
          <w:right w:w="28" w:type="dxa"/>
        </w:tblCellMar>
      </w:tblPr>
      <w:tblGrid>
        <w:gridCol w:w="1492"/>
        <w:gridCol w:w="1312"/>
        <w:gridCol w:w="1321"/>
        <w:gridCol w:w="279"/>
        <w:gridCol w:w="279"/>
        <w:gridCol w:w="701"/>
        <w:gridCol w:w="109"/>
        <w:gridCol w:w="109"/>
        <w:gridCol w:w="109"/>
        <w:gridCol w:w="314"/>
        <w:gridCol w:w="314"/>
        <w:gridCol w:w="917"/>
      </w:tblGrid>
      <w:tr>
        <w:trPr/>
        <w:tc>
          <w:tcPr>
            <w:tcW w:w="149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Weighted-average discount rate</w:t>
            </w:r>
            <w:r>
              <w:rPr>
                <w:rFonts w:ascii="Times New Roman;sans-serif" w:hAnsi="Times New Roman;sans-serif"/>
                <w:b w:val="false"/>
                <w:color w:val="000000"/>
                <w:sz w:val="13"/>
              </w:rPr>
              <w:t>(1)</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spacing w:lineRule="auto" w:line="288" w:before="0" w:after="0"/>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The January 1, 2019 incremental borrowing rate was used for leases in existence at the time of adoption of ASU 2016-02.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undiscounted operating lease liabilities to the present value operating lease liabilities at March 31, 2023:</w:t>
      </w:r>
    </w:p>
    <w:tbl>
      <w:tblPr>
        <w:tblW w:w="4830" w:type="dxa"/>
        <w:jc w:val="left"/>
        <w:tblInd w:w="0" w:type="dxa"/>
        <w:tblCellMar>
          <w:top w:w="28" w:type="dxa"/>
          <w:left w:w="28" w:type="dxa"/>
          <w:bottom w:w="28" w:type="dxa"/>
          <w:right w:w="28" w:type="dxa"/>
        </w:tblCellMar>
      </w:tblPr>
      <w:tblGrid>
        <w:gridCol w:w="1238"/>
        <w:gridCol w:w="1089"/>
        <w:gridCol w:w="1092"/>
        <w:gridCol w:w="254"/>
        <w:gridCol w:w="956"/>
        <w:gridCol w:w="201"/>
      </w:tblGrid>
      <w:tr>
        <w:trPr/>
        <w:tc>
          <w:tcPr>
            <w:tcW w:w="1238"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80,631 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94,594 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2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76,210 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2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undiscounted operating lease liabilities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356,319 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(52,256)</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present value of operating lease liabilities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304,063 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5 - Income Taxes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175.4% for the three months ended March 31, 2023, compared to 46.2% for the corresponding period in 2022. The effective tax rate for the three months ended March 31, 2023 was primarily attributable to the tax impact of accelerated stock compensation expense recognized for the three months ended March 31, 2023 related to restricted stock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agreements issued to the former owners of Acima Holdings upon acquisition of Acima Holdings, as described further in Note 11 below. For tax purposes, restricted stock units subject to restricted stock agreements issued to the former owners of Acima Holdings were recorded as goodwill and will be amortized over a period of 15 years.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6 - Senior Debt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2021 we entered into a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First Amendment, and in accordance with ASC Topic 470, “Debt”, we recorded approximately $5.4 million in write-offs of unamortized debt issuance costs and original issue discount previously capitalized upon the issuance of the Term Loan Facility on February 17, 2021.</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we entered into a First Amendment to the ABL Credit Facility, effective as of August 10, 2022. The amendment effected the replacement of LIBOR with Term Secured Overnight Financing Rate (“Term SOFR”) as the benchmark rate of interest thereunder.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total remaining balance of unamortized debt issuance costs and original issue discount related to our senior debt reported in the Condensed Consolidated Balance Sheets were approximately $15.3 million and $2.3 million, respectively. Remaining unamortized debt issuance costs and original issue discount will be amortized to interest expense over the remaining term of the Term Loan Facility.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outstanding under the Term Loan Facility was $817.6 million at March 31, 2023. In addition, we had $90.0 million of outstanding borrowings under our ABL Credit Facility at March 31, 2023 and borrowing capacity of $397.1 million, net of outstanding borrowings and issued letters of credit of approximately $62.9 million, primarily relating to workers compensation insurance claims.</w:t>
      </w:r>
    </w:p>
    <w:p>
      <w:pPr>
        <w:pStyle w:val="TextBody"/>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Term Loan Credit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borrowings under the Term Loan Facility is payable at a fluctuating rate of interest determined by reference to the eurodollar rate plus an applicable margin of 3.25%, subject to a 0.50% LIBOR floor. The total interest rate on the Term Loan Facility was 8.125% at March 31, 2023. Borrowings under the Term Loan Facility amortize in equal quarterly installments in an amount equal to 1.000% per annum of the original aggregate principal amount thereof, with the remaining balance due at final maturity.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contains covenants that are usual and customary for similar facilities and transactions and that, among other things, restrict our ability and our restricted subsidiaries to create certain liens and enter into certain sale and lease-back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governing documents of the Term Loan.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ABL Credit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bears interest at a fluctuating rate determined by reference to Term SOFR plus an applicable margin of 1.50% to 2.00%. The total interest rate on the ABL Credit Facility at March 31, 2023 was 6.635%. A commitment fee equal to 0.250% to 0.375% of the unused portion of the ABL Credit Facility fluctuates dependent upon average utilization for the prior month as defined by a pricing grid included in the governing documents of the ABL Credit Facility. The commitment fee at March 31, 2023 was 0.375%. We paid $0.7 million of commitment fees during the first quarter of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governing documents of the ABL Credit Facility. The fixed charge coverage ratio as of March 31, 2023 was 1.16 to 1.00.</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governing documents of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 As of March 31, 2023, we were in compliance with all requirements and conditions set forth in our ABL Credit Facility governing documents.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scheduled maturity dates of our outstanding debt at March 31, 2023 for each of the years ending December 31:</w:t>
      </w:r>
    </w:p>
    <w:tbl>
      <w:tblPr>
        <w:tblW w:w="6224" w:type="dxa"/>
        <w:jc w:val="left"/>
        <w:tblInd w:w="0" w:type="dxa"/>
        <w:tblCellMar>
          <w:top w:w="28" w:type="dxa"/>
          <w:left w:w="28" w:type="dxa"/>
          <w:bottom w:w="28" w:type="dxa"/>
          <w:right w:w="28" w:type="dxa"/>
        </w:tblCellMar>
      </w:tblPr>
      <w:tblGrid>
        <w:gridCol w:w="472"/>
        <w:gridCol w:w="415"/>
        <w:gridCol w:w="417"/>
        <w:gridCol w:w="308"/>
        <w:gridCol w:w="1156"/>
        <w:gridCol w:w="171"/>
        <w:gridCol w:w="109"/>
        <w:gridCol w:w="109"/>
        <w:gridCol w:w="109"/>
        <w:gridCol w:w="318"/>
        <w:gridCol w:w="1050"/>
        <w:gridCol w:w="177"/>
        <w:gridCol w:w="109"/>
        <w:gridCol w:w="109"/>
        <w:gridCol w:w="109"/>
        <w:gridCol w:w="196"/>
        <w:gridCol w:w="736"/>
        <w:gridCol w:w="154"/>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Term Loan Facility</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ABL Credit 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4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4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4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4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815,938 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debt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817,646 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 xml:space="preserve">Annual installment requirements were reduced by the amount of the excess cash flow payment described above, in accordance with the terms of the credit agreement governing the Term Loan Facility.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Senior Notes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March 31, 2023, the total remaining balance of unamortized debt issuance costs related to our senior notes reported in the Condensed Consolidated Balance Sheets was approximately $11.6 million.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also provides for events of default, which, if any of them occurs, would permit or require the principal, premium, if any, and interest on all the then outstanding Notes to be due and payable.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8 - Fair Value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include cash and cash equivalents, receivables, payables, borrowings against our ABL Credit Facility and Term Loan Facility, and outstanding Notes. The carrying amount of cash and cash equivalents, receivables and payables approximates fair value at March 31, 2023 and December 31, 2022, because of the short maturities of these instruments. In addition, the interest rates on our Term Loan Facility and ABL Credit Facility are variable and, therefore, we believe the carrying value of outstanding borrowings approximates their fair value.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Notes is based on Level 1 inputs and was as follows at March 31, 2023:</w:t>
      </w:r>
    </w:p>
    <w:tbl>
      <w:tblPr>
        <w:tblW w:w="5134" w:type="dxa"/>
        <w:jc w:val="left"/>
        <w:tblInd w:w="0" w:type="dxa"/>
        <w:tblCellMar>
          <w:top w:w="28" w:type="dxa"/>
          <w:left w:w="28" w:type="dxa"/>
          <w:bottom w:w="28" w:type="dxa"/>
          <w:right w:w="28" w:type="dxa"/>
        </w:tblCellMar>
      </w:tblPr>
      <w:tblGrid>
        <w:gridCol w:w="407"/>
        <w:gridCol w:w="358"/>
        <w:gridCol w:w="359"/>
        <w:gridCol w:w="234"/>
        <w:gridCol w:w="880"/>
        <w:gridCol w:w="130"/>
        <w:gridCol w:w="109"/>
        <w:gridCol w:w="109"/>
        <w:gridCol w:w="109"/>
        <w:gridCol w:w="196"/>
        <w:gridCol w:w="736"/>
        <w:gridCol w:w="109"/>
        <w:gridCol w:w="109"/>
        <w:gridCol w:w="109"/>
        <w:gridCol w:w="109"/>
        <w:gridCol w:w="196"/>
        <w:gridCol w:w="721"/>
        <w:gridCol w:w="154"/>
      </w:tblGrid>
      <w:tr>
        <w:trPr/>
        <w:tc>
          <w:tcPr>
            <w:tcW w:w="40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Difference</w:t>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Note 9 - Other Charges</w:t>
      </w:r>
    </w:p>
    <w:p>
      <w:pPr>
        <w:pStyle w:val="TextBody"/>
        <w:spacing w:lineRule="auto" w:line="288" w:before="120" w:after="283"/>
        <w:jc w:val="both"/>
        <w:rPr/>
      </w:pPr>
      <w:r>
        <w:rPr>
          <w:rFonts w:ascii="Times New Roman;sans-serif" w:hAnsi="Times New Roman;sans-serif"/>
          <w:b w:val="false"/>
          <w:i/>
          <w:color w:val="000000"/>
          <w:sz w:val="20"/>
        </w:rPr>
        <w:t>Acima Holdings Acquisition.</w:t>
      </w:r>
      <w:r>
        <w:rPr>
          <w:color w:val="000000"/>
        </w:rPr>
        <w:t xml:space="preserve"> </w:t>
      </w:r>
      <w:r>
        <w:rPr>
          <w:rFonts w:ascii="Times New Roman;sans-serif" w:hAnsi="Times New Roman;sans-serif"/>
          <w:b w:val="false"/>
          <w:color w:val="000000"/>
          <w:sz w:val="20"/>
        </w:rPr>
        <w:t>On February 17, 2021, we completed the acquisition of Acima Holdings, a leading provider of virtual lease-to-own solutions. 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During the three months ended March 31, 2023 and 2022, we recognized approximately $109.5 million and $36.6 million in stock compensation expense, respectively, related to these restricted stock agreements. See Note 11 for additional information.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assets acquired as part of the transaction included $520 million in intangible assets and $170 million in developed technology. During the three months ended March 31, 2023 and 2022, we recognized approximately $14.2 million and $22.1 million in amortization expense, respectively, related acquired intangible assets. We also recognized approximately $4.0 million in incremental depreciation expense related to acquired technology assets in both the three months ended March 31, 2023 and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recognized approximately $0.2 million in transaction costs associated with the closing of the transaction.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Other charges for the three months ended March 31, 2023 is summarized in the below table:</w:t>
      </w:r>
    </w:p>
    <w:tbl>
      <w:tblPr>
        <w:tblW w:w="10205" w:type="dxa"/>
        <w:jc w:val="left"/>
        <w:tblInd w:w="0" w:type="dxa"/>
        <w:tblCellMar>
          <w:top w:w="28" w:type="dxa"/>
          <w:left w:w="28" w:type="dxa"/>
          <w:bottom w:w="28" w:type="dxa"/>
          <w:right w:w="28" w:type="dxa"/>
        </w:tblCellMar>
      </w:tblPr>
      <w:tblGrid>
        <w:gridCol w:w="1031"/>
        <w:gridCol w:w="735"/>
        <w:gridCol w:w="737"/>
        <w:gridCol w:w="438"/>
        <w:gridCol w:w="1279"/>
        <w:gridCol w:w="226"/>
        <w:gridCol w:w="109"/>
        <w:gridCol w:w="109"/>
        <w:gridCol w:w="109"/>
        <w:gridCol w:w="269"/>
        <w:gridCol w:w="1056"/>
        <w:gridCol w:w="140"/>
        <w:gridCol w:w="109"/>
        <w:gridCol w:w="109"/>
        <w:gridCol w:w="109"/>
        <w:gridCol w:w="397"/>
        <w:gridCol w:w="908"/>
        <w:gridCol w:w="206"/>
        <w:gridCol w:w="109"/>
        <w:gridCol w:w="109"/>
        <w:gridCol w:w="109"/>
        <w:gridCol w:w="386"/>
        <w:gridCol w:w="1127"/>
        <w:gridCol w:w="289"/>
      </w:tblGrid>
      <w:tr>
        <w:trPr/>
        <w:tc>
          <w:tcPr>
            <w:tcW w:w="103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9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6"/>
              </w:rPr>
              <w:t>Accrued Charges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Charges &amp;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&amp;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6"/>
              </w:rPr>
              <w:t>Accrued Charges at March 31, 2023</w:t>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charges:</w:t>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Labor reduction costs</w:t>
            </w:r>
            <w:r>
              <w:rPr>
                <w:rFonts w:ascii="Times New Roman;sans-serif" w:hAnsi="Times New Roman;sans-serif"/>
                <w:b w:val="false"/>
                <w:color w:val="000000"/>
                <w:sz w:val="13"/>
              </w:rPr>
              <w:t>(1)</w:t>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charges</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charges:</w:t>
            </w:r>
          </w:p>
        </w:tc>
        <w:tc>
          <w:tcPr>
            <w:tcW w:w="19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Acima Holdings restricted stock agreements</w:t>
            </w:r>
            <w:r>
              <w:rPr>
                <w:rFonts w:ascii="Times New Roman;sans-serif" w:hAnsi="Times New Roman;sans-serif"/>
                <w:b w:val="false"/>
                <w:color w:val="000000"/>
                <w:sz w:val="13"/>
              </w:rPr>
              <w:t>(2)</w:t>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109,473 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Depreciation and amortization of acquired assets</w:t>
            </w:r>
            <w:r>
              <w:rPr>
                <w:rFonts w:ascii="Times New Roman;sans-serif" w:hAnsi="Times New Roman;sans-serif"/>
                <w:b w:val="false"/>
                <w:color w:val="000000"/>
                <w:sz w:val="13"/>
              </w:rPr>
              <w:t>(3)</w:t>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r>
      <w:tr>
        <w:trPr/>
        <w:tc>
          <w:tcPr>
            <w:tcW w:w="2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charges</w:t>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Represents charges incurred and payments for employee severance.</w:t>
      </w:r>
    </w:p>
    <w:p>
      <w:pPr>
        <w:pStyle w:val="TextBody"/>
        <w:spacing w:lineRule="auto" w:line="288" w:before="0" w:after="0"/>
        <w:ind w:left="0" w:right="0" w:hanging="180"/>
        <w:jc w:val="both"/>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Represents stock compensation expense related to common stock issued to Acima Holdings employees under restricted stock agreements as part of the acquisition proceeds subject to vesting restrictions, as described in Note 11.</w:t>
      </w:r>
    </w:p>
    <w:p>
      <w:pPr>
        <w:pStyle w:val="TextBody"/>
        <w:spacing w:lineRule="auto" w:line="288" w:before="0" w:after="0"/>
        <w:ind w:left="0" w:right="0" w:hanging="180"/>
        <w:jc w:val="both"/>
        <w:rPr/>
      </w:pPr>
      <w:r>
        <w:rPr>
          <w:rFonts w:ascii="Times New Roman;sans-serif" w:hAnsi="Times New Roman;sans-serif"/>
          <w:b w:val="false"/>
          <w:color w:val="000000"/>
          <w:sz w:val="9"/>
        </w:rPr>
        <w:t>(3)</w:t>
      </w:r>
      <w:r>
        <w:rPr>
          <w:color w:val="000000"/>
        </w:rPr>
        <w:t xml:space="preserve"> </w:t>
      </w:r>
      <w:r>
        <w:rPr>
          <w:rFonts w:ascii="Times New Roman;sans-serif" w:hAnsi="Times New Roman;sans-serif"/>
          <w:b w:val="false"/>
          <w:color w:val="000000"/>
          <w:sz w:val="14"/>
        </w:rPr>
        <w:t>Represents amortization of the total fair value of acquired intangible assets and incremental depreciation related to the fair value increase over net book value of acquired software assets in connection with the acquisition of Acima Holdings in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10 - Segment Information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as of and for the three months ended March 31, 2023 and 2022 is as follows:</w:t>
      </w:r>
    </w:p>
    <w:tbl>
      <w:tblPr>
        <w:tblW w:w="6353" w:type="dxa"/>
        <w:jc w:val="left"/>
        <w:tblInd w:w="0" w:type="dxa"/>
        <w:tblCellMar>
          <w:top w:w="28" w:type="dxa"/>
          <w:left w:w="28" w:type="dxa"/>
          <w:bottom w:w="28" w:type="dxa"/>
          <w:right w:w="28" w:type="dxa"/>
        </w:tblCellMar>
      </w:tblPr>
      <w:tblGrid>
        <w:gridCol w:w="878"/>
        <w:gridCol w:w="593"/>
        <w:gridCol w:w="599"/>
        <w:gridCol w:w="109"/>
        <w:gridCol w:w="109"/>
        <w:gridCol w:w="172"/>
        <w:gridCol w:w="172"/>
        <w:gridCol w:w="334"/>
        <w:gridCol w:w="1547"/>
        <w:gridCol w:w="172"/>
        <w:gridCol w:w="109"/>
        <w:gridCol w:w="109"/>
        <w:gridCol w:w="109"/>
        <w:gridCol w:w="211"/>
        <w:gridCol w:w="976"/>
        <w:gridCol w:w="154"/>
      </w:tblGrid>
      <w:tr>
        <w:trPr/>
        <w:tc>
          <w:tcPr>
            <w:tcW w:w="87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68" w:type="dxa"/>
            <w:gridSpan w:val="6"/>
            <w:tcBorders/>
            <w:shd w:fill="auto" w:val="clea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483,847 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203" w:type="dxa"/>
        <w:jc w:val="left"/>
        <w:tblInd w:w="0" w:type="dxa"/>
        <w:tblCellMar>
          <w:top w:w="28" w:type="dxa"/>
          <w:left w:w="28" w:type="dxa"/>
          <w:bottom w:w="28" w:type="dxa"/>
          <w:right w:w="28" w:type="dxa"/>
        </w:tblCellMar>
      </w:tblPr>
      <w:tblGrid>
        <w:gridCol w:w="748"/>
        <w:gridCol w:w="658"/>
        <w:gridCol w:w="664"/>
        <w:gridCol w:w="109"/>
        <w:gridCol w:w="109"/>
        <w:gridCol w:w="191"/>
        <w:gridCol w:w="191"/>
        <w:gridCol w:w="371"/>
        <w:gridCol w:w="1453"/>
        <w:gridCol w:w="191"/>
        <w:gridCol w:w="109"/>
        <w:gridCol w:w="109"/>
        <w:gridCol w:w="109"/>
        <w:gridCol w:w="211"/>
        <w:gridCol w:w="826"/>
        <w:gridCol w:w="154"/>
      </w:tblGrid>
      <w:tr>
        <w:trPr/>
        <w:tc>
          <w:tcPr>
            <w:tcW w:w="74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331,725 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155,144 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506,264 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490" w:type="dxa"/>
        <w:jc w:val="left"/>
        <w:tblInd w:w="0" w:type="dxa"/>
        <w:tblCellMar>
          <w:top w:w="28" w:type="dxa"/>
          <w:left w:w="28" w:type="dxa"/>
          <w:bottom w:w="28" w:type="dxa"/>
          <w:right w:w="28" w:type="dxa"/>
        </w:tblCellMar>
      </w:tblPr>
      <w:tblGrid>
        <w:gridCol w:w="854"/>
        <w:gridCol w:w="750"/>
        <w:gridCol w:w="751"/>
        <w:gridCol w:w="109"/>
        <w:gridCol w:w="109"/>
        <w:gridCol w:w="196"/>
        <w:gridCol w:w="196"/>
        <w:gridCol w:w="379"/>
        <w:gridCol w:w="1432"/>
        <w:gridCol w:w="196"/>
        <w:gridCol w:w="109"/>
        <w:gridCol w:w="109"/>
        <w:gridCol w:w="109"/>
        <w:gridCol w:w="211"/>
        <w:gridCol w:w="826"/>
        <w:gridCol w:w="154"/>
      </w:tblGrid>
      <w:tr>
        <w:trPr/>
        <w:tc>
          <w:tcPr>
            <w:tcW w:w="85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(163,699)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Includes stock compensation expense of $109.5 million and $36.6 million</w:t>
      </w:r>
      <w:r>
        <w:rPr>
          <w:color w:val="000000"/>
        </w:rPr>
        <w:t xml:space="preserve"> </w:t>
      </w:r>
      <w:r>
        <w:rPr>
          <w:rFonts w:ascii="Times New Roman;sans-serif" w:hAnsi="Times New Roman;sans-serif"/>
          <w:b w:val="false"/>
          <w:color w:val="000000"/>
          <w:sz w:val="14"/>
        </w:rPr>
        <w:t>recognized for the three months ended March 31, 2023 and 2022, respectively, related to common stock issued to Acima Holdings employees under restricted stock agreements as part of the acquisition consideration subject to vesting restrictions as described in Note 11.</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073" w:type="dxa"/>
        <w:jc w:val="left"/>
        <w:tblInd w:w="0" w:type="dxa"/>
        <w:tblCellMar>
          <w:top w:w="28" w:type="dxa"/>
          <w:left w:w="28" w:type="dxa"/>
          <w:bottom w:w="28" w:type="dxa"/>
          <w:right w:w="28" w:type="dxa"/>
        </w:tblCellMar>
      </w:tblPr>
      <w:tblGrid>
        <w:gridCol w:w="1103"/>
        <w:gridCol w:w="969"/>
        <w:gridCol w:w="973"/>
        <w:gridCol w:w="109"/>
        <w:gridCol w:w="109"/>
        <w:gridCol w:w="207"/>
        <w:gridCol w:w="207"/>
        <w:gridCol w:w="402"/>
        <w:gridCol w:w="1374"/>
        <w:gridCol w:w="207"/>
        <w:gridCol w:w="109"/>
        <w:gridCol w:w="109"/>
        <w:gridCol w:w="109"/>
        <w:gridCol w:w="211"/>
        <w:gridCol w:w="721"/>
        <w:gridCol w:w="154"/>
      </w:tblGrid>
      <w:tr>
        <w:trPr/>
        <w:tc>
          <w:tcPr>
            <w:tcW w:w="110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Acima</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9"/>
        </w:rPr>
        <w:t xml:space="preserve">(1) </w:t>
      </w:r>
      <w:r>
        <w:rPr>
          <w:rFonts w:ascii="Times New Roman;sans-serif" w:hAnsi="Times New Roman;sans-serif"/>
          <w:b w:val="false"/>
          <w:color w:val="000000"/>
          <w:sz w:val="14"/>
        </w:rPr>
        <w:t>Excludes amortization expense of approximately $14.2 million and $22.1 million for the three months ended March 31, 2023 and 2022, respectively, recorded to Other charges in the Condensed Consolidated Statement of Operations, related to intangible assets acquired upon closing of the Acima Holdings acquisition. See Note 9 for additional information.</w:t>
      </w:r>
    </w:p>
    <w:p>
      <w:pPr>
        <w:pStyle w:val="TextBody"/>
        <w:spacing w:lineRule="auto" w:line="288" w:before="0" w:after="0"/>
        <w:ind w:left="0" w:right="0" w:hanging="180"/>
        <w:jc w:val="both"/>
        <w:rPr/>
      </w:pPr>
      <w:r>
        <w:rPr>
          <w:rFonts w:ascii="Times New Roman;sans-serif" w:hAnsi="Times New Roman;sans-serif"/>
          <w:b w:val="false"/>
          <w:color w:val="000000"/>
          <w:sz w:val="9"/>
        </w:rPr>
        <w:t xml:space="preserve">(2) </w:t>
      </w:r>
      <w:r>
        <w:rPr>
          <w:rFonts w:ascii="Times New Roman;sans-serif" w:hAnsi="Times New Roman;sans-serif"/>
          <w:b w:val="false"/>
          <w:color w:val="000000"/>
          <w:sz w:val="14"/>
        </w:rPr>
        <w:t>Excludes depreciation expense of approximately $4.0 million for both the three months ended March 31, 2023 and 2022, recorded to Other charges in the Condensed Consolidated Statement of Operations, related to software acquired upon closing of the Acima Holdings acquisition. See Note 9 for additional information.</w:t>
      </w:r>
    </w:p>
    <w:tbl>
      <w:tblPr>
        <w:tblW w:w="6278" w:type="dxa"/>
        <w:jc w:val="left"/>
        <w:tblInd w:w="0" w:type="dxa"/>
        <w:tblCellMar>
          <w:top w:w="28" w:type="dxa"/>
          <w:left w:w="28" w:type="dxa"/>
          <w:bottom w:w="28" w:type="dxa"/>
          <w:right w:w="28" w:type="dxa"/>
        </w:tblCellMar>
      </w:tblPr>
      <w:tblGrid>
        <w:gridCol w:w="812"/>
        <w:gridCol w:w="714"/>
        <w:gridCol w:w="723"/>
        <w:gridCol w:w="109"/>
        <w:gridCol w:w="109"/>
        <w:gridCol w:w="226"/>
        <w:gridCol w:w="226"/>
        <w:gridCol w:w="439"/>
        <w:gridCol w:w="1281"/>
        <w:gridCol w:w="226"/>
        <w:gridCol w:w="109"/>
        <w:gridCol w:w="109"/>
        <w:gridCol w:w="109"/>
        <w:gridCol w:w="211"/>
        <w:gridCol w:w="721"/>
        <w:gridCol w:w="154"/>
      </w:tblGrid>
      <w:tr>
        <w:trPr/>
        <w:tc>
          <w:tcPr>
            <w:tcW w:w="81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220" w:type="dxa"/>
        <w:jc w:val="left"/>
        <w:tblInd w:w="0" w:type="dxa"/>
        <w:tblCellMar>
          <w:top w:w="28" w:type="dxa"/>
          <w:left w:w="28" w:type="dxa"/>
          <w:bottom w:w="28" w:type="dxa"/>
          <w:right w:w="28" w:type="dxa"/>
        </w:tblCellMar>
      </w:tblPr>
      <w:tblGrid>
        <w:gridCol w:w="1118"/>
        <w:gridCol w:w="982"/>
        <w:gridCol w:w="990"/>
        <w:gridCol w:w="232"/>
        <w:gridCol w:w="908"/>
        <w:gridCol w:w="119"/>
        <w:gridCol w:w="109"/>
        <w:gridCol w:w="109"/>
        <w:gridCol w:w="109"/>
        <w:gridCol w:w="273"/>
        <w:gridCol w:w="1072"/>
        <w:gridCol w:w="199"/>
      </w:tblGrid>
      <w:tr>
        <w:trPr/>
        <w:tc>
          <w:tcPr>
            <w:tcW w:w="1118"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rent rental merchandise, net</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450,162 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465,095 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472,550 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503,795 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 rent rental merchandise,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943,487 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989,869 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640" w:type="dxa"/>
        <w:jc w:val="left"/>
        <w:tblInd w:w="0" w:type="dxa"/>
        <w:tblCellMar>
          <w:top w:w="28" w:type="dxa"/>
          <w:left w:w="28" w:type="dxa"/>
          <w:bottom w:w="28" w:type="dxa"/>
          <w:right w:w="28" w:type="dxa"/>
        </w:tblCellMar>
      </w:tblPr>
      <w:tblGrid>
        <w:gridCol w:w="1270"/>
        <w:gridCol w:w="1116"/>
        <w:gridCol w:w="1124"/>
        <w:gridCol w:w="232"/>
        <w:gridCol w:w="908"/>
        <w:gridCol w:w="119"/>
        <w:gridCol w:w="109"/>
        <w:gridCol w:w="109"/>
        <w:gridCol w:w="109"/>
        <w:gridCol w:w="273"/>
        <w:gridCol w:w="1072"/>
        <w:gridCol w:w="199"/>
      </w:tblGrid>
      <w:tr>
        <w:trPr/>
        <w:tc>
          <w:tcPr>
            <w:tcW w:w="127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rent rental merchandise, net</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 for rent rental merchandise,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126,762 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134,959 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238" w:type="dxa"/>
        <w:jc w:val="left"/>
        <w:tblInd w:w="0" w:type="dxa"/>
        <w:tblCellMar>
          <w:top w:w="28" w:type="dxa"/>
          <w:left w:w="28" w:type="dxa"/>
          <w:bottom w:w="28" w:type="dxa"/>
          <w:right w:w="28" w:type="dxa"/>
        </w:tblCellMar>
      </w:tblPr>
      <w:tblGrid>
        <w:gridCol w:w="750"/>
        <w:gridCol w:w="659"/>
        <w:gridCol w:w="661"/>
        <w:gridCol w:w="211"/>
        <w:gridCol w:w="976"/>
        <w:gridCol w:w="109"/>
        <w:gridCol w:w="109"/>
        <w:gridCol w:w="109"/>
        <w:gridCol w:w="109"/>
        <w:gridCol w:w="243"/>
        <w:gridCol w:w="1125"/>
        <w:gridCol w:w="177"/>
      </w:tblGrid>
      <w:tr>
        <w:trPr/>
        <w:tc>
          <w:tcPr>
            <w:tcW w:w="75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segment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Rent-A-Center Business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1,067,875 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Acima</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1,198,879 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2,336,173 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427,446 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2,763,619 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11 - Common Stock and Stock-Based Compensation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No shares of our common stock were repurchased during the three months ended March 31, 2023 or 2022, and approximately $285.0 million are remaining under the current authorization available for repurchases at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$6.2 million and $4.9 million in compensation expense related to stock awards issued under the Rent-A-Center, Inc. 2021 Long-Term Incentive Plan (the “2021 Plan”) and 2016 Long-Term Incentive Plan (the “2016 Plan”) during the three months ended March 31, 2023 and 2022, respectively. During the three months ended March 31, 2023, we granted approximately 599,397 market-based performance units and 340,546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three months ended March 31, 2023 was $32.30 and $26.18, respectively.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Acima Holdings, LLC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are recognized as stock compensation expense over the vesting term in accordance with ASC Topic 718, “Stock-based Compensation” and recorded to Other charges in our unaudited Condensed Consolidated Statements of Operations. We recognized $109.5 million and $36.6 million in stock compensation expense related to these restricted stock agreements during the three months ended March 31, 2023 and 2022, respectively. Stock compensation expense recognized during the three months ended March 31, 2023 for these restricted stock agreements included $78.4 million attributable to the acceleration of vesting provisions, primarily related to Aaron Allred's transition from Executive Vice President of Acima to an advisory role.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Note 12 - Contingencies </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pStyle w:val="TextBody"/>
        <w:spacing w:lineRule="auto" w:line="268" w:before="120" w:after="283"/>
        <w:jc w:val="both"/>
        <w:rPr/>
      </w:pPr>
      <w:r>
        <w:rPr>
          <w:rFonts w:ascii="Times New Roman;sans-serif" w:hAnsi="Times New Roman;sans-serif"/>
          <w:b w:val="false"/>
          <w:i/>
          <w:color w:val="000000"/>
          <w:sz w:val="20"/>
        </w:rPr>
        <w:t>Unclaimed Property.</w:t>
      </w:r>
      <w:r>
        <w:rPr>
          <w:color w:val="000000"/>
        </w:rPr>
        <w:t xml:space="preserve"> </w:t>
      </w:r>
      <w:r>
        <w:rPr>
          <w:rFonts w:ascii="Times New Roman;sans-serif" w:hAnsi="Times New Roman;sans-serif"/>
          <w:b w:val="false"/>
          <w:color w:val="000000"/>
          <w:sz w:val="20"/>
        </w:rPr>
        <w:t>We are subject to unclaimed property audits by states in the ordinary course of business. The property subject to review in the audit 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pStyle w:val="TextBody"/>
        <w:spacing w:lineRule="auto" w:line="268" w:before="120" w:after="283"/>
        <w:jc w:val="both"/>
        <w:rPr/>
      </w:pPr>
      <w:r>
        <w:rPr>
          <w:rFonts w:ascii="Times New Roman;sans-serif" w:hAnsi="Times New Roman;sans-serif"/>
          <w:b w:val="false"/>
          <w:i/>
          <w:color w:val="000000"/>
          <w:sz w:val="20"/>
          <w:highlight w:val="white"/>
        </w:rPr>
        <w:t xml:space="preserve">Acima Consumer Financial Protection Bureau investigation. </w:t>
      </w:r>
      <w:r>
        <w:rPr>
          <w:rFonts w:ascii="Times New Roman;sans-serif" w:hAnsi="Times New Roman;sans-serif"/>
          <w:b w:val="false"/>
          <w:color w:val="000000"/>
          <w:sz w:val="20"/>
          <w:highlight w:val="white"/>
        </w:rPr>
        <w:t>Prior to the execution of the definitive agreement to acquire Acima Holdings, Acima Holdings received a Civil Investigative Demand dated October 1, 2020 (the “CID”) from the Consumer Financial Protection Bureau (the “CFPB”) requesting certain information, documents and data relating to Acima Holding’s products, services and practices for the period from January 1, 2015 to the date on which responses to the CID are provided in full. The purpose of the CID is to determine whether Acima Holdings extends credit, offers leases, or otherwise offers or provides a consumer financial product or service and whether Acima Holdings complies with certain consumer financial protection laws. We are fully cooperating with the CFPB investigation. The CFPB has not made any allegations in the investigation, and we are currently unable to predict the eventual scope, ultimate timing or outcome of the CFPB investigation.</w:t>
      </w:r>
    </w:p>
    <w:p>
      <w:pPr>
        <w:pStyle w:val="TextBody"/>
        <w:spacing w:lineRule="auto" w:line="26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the terms and subject to the conditions set forth in the definitive agreement to acquire Acima Holdings, the former owners of Acima Holdings agreed to indemnify Upbound Group, Inc. for certain losses arising after the consummation of the transaction with respect to the CID and certain pre-closing taxes. The indemnification obligations of the former owners of Acima Holdings were limited to an indemnity holdback in the aggregate amount of $50 million, which was escrowed at the closing of the transaction, and will be Upbound Group, Inc.’s sole recourse against the former owners of Acima Holdings with respect to all of the indemnifiable claims under the definitive transaction agreement. In respect of certain pre-closing taxes, a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68" w:before="120" w:after="283"/>
        <w:jc w:val="both"/>
        <w:rPr/>
      </w:pPr>
      <w:r>
        <w:rPr>
          <w:rFonts w:ascii="Times New Roman;sans-serif" w:hAnsi="Times New Roman;sans-serif"/>
          <w:b w:val="false"/>
          <w:color w:val="000000"/>
          <w:sz w:val="20"/>
          <w:highlight w:val="white"/>
        </w:rPr>
        <w:t>portion of the escrowed funds were released to Acima Holdings’ former owners on the first business day following the date that was 18 months after the closing date of the transaction, in accordance with the definitive agreement.</w:t>
      </w:r>
      <w:r>
        <w:rPr>
          <w:color w:val="000000"/>
          <w:highlight w:val="white"/>
        </w:rPr>
        <w:t xml:space="preserve"> </w:t>
      </w:r>
      <w:r>
        <w:rPr>
          <w:rFonts w:ascii="Times New Roman;sans-serif" w:hAnsi="Times New Roman;sans-serif"/>
          <w:b w:val="false"/>
          <w:color w:val="000000"/>
          <w:sz w:val="20"/>
          <w:highlight w:val="white"/>
        </w:rPr>
        <w:t>In respect of the CID, other than with respect to any then-pending or unresolved claims for indemnification submitted by Upbound Group, Inc., remaining escrowed funds of $45 million will be released on the earlier of February 17, 2024 and the date on which a final determination is entered providing for a resolution of the matters regarding the CID.</w:t>
      </w:r>
    </w:p>
    <w:p>
      <w:pPr>
        <w:pStyle w:val="TextBody"/>
        <w:spacing w:lineRule="auto" w:line="26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can be no assurance that the CID will be finally resolved prior to the release to the former owners of Acima Holdings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 Holdings’ business practices or operations that could materially and adversely affect our business, financial condition, results of operations or reputation.</w:t>
      </w:r>
    </w:p>
    <w:p>
      <w:pPr>
        <w:pStyle w:val="TextBody"/>
        <w:spacing w:lineRule="auto" w:line="268" w:before="120" w:after="283"/>
        <w:jc w:val="both"/>
        <w:rPr/>
      </w:pPr>
      <w:r>
        <w:rPr>
          <w:rFonts w:ascii="Times New Roman;sans-serif" w:hAnsi="Times New Roman;sans-serif"/>
          <w:b w:val="false"/>
          <w:i/>
          <w:color w:val="000000"/>
          <w:sz w:val="20"/>
          <w:highlight w:val="white"/>
        </w:rPr>
        <w:t>Massachusetts Attorney General.</w:t>
      </w:r>
      <w:r>
        <w:rPr>
          <w:color w:val="000000"/>
          <w:highlight w:val="white"/>
        </w:rPr>
        <w:t xml:space="preserve"> </w:t>
      </w:r>
      <w:r>
        <w:rPr>
          <w:rFonts w:ascii="Times New Roman;sans-serif" w:hAnsi="Times New Roman;sans-serif"/>
          <w:b w:val="false"/>
          <w:color w:val="000000"/>
          <w:sz w:val="20"/>
          <w:highlight w:val="white"/>
        </w:rPr>
        <w:t>The Massachusetts Attorney General (the “MAG”) issued a civil investigative demand in 2018 seeking information with 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and discuss resolution of the inquiry with the MAG. We are currently unable to predict the ultimate timing or outcome of the MAG investigation.</w:t>
      </w:r>
    </w:p>
    <w:p>
      <w:pPr>
        <w:pStyle w:val="TextBody"/>
        <w:spacing w:lineRule="auto" w:line="268" w:before="120" w:after="283"/>
        <w:jc w:val="both"/>
        <w:rPr/>
      </w:pPr>
      <w:r>
        <w:rPr>
          <w:rFonts w:ascii="Times New Roman;sans-serif" w:hAnsi="Times New Roman;sans-serif"/>
          <w:b w:val="false"/>
          <w:i/>
          <w:color w:val="000000"/>
          <w:sz w:val="20"/>
          <w:highlight w:val="white"/>
        </w:rPr>
        <w:t>State Attorneys General Investigation.</w:t>
      </w:r>
      <w:r>
        <w:rPr>
          <w:color w:val="000000"/>
          <w:highlight w:val="white"/>
        </w:rPr>
        <w:t xml:space="preserve"> </w:t>
      </w:r>
      <w:r>
        <w:rPr>
          <w:rFonts w:ascii="Times New Roman;sans-serif" w:hAnsi="Times New Roman;sans-serif"/>
          <w:b w:val="false"/>
          <w:color w:val="000000"/>
          <w:sz w:val="20"/>
          <w:highlight w:val="white"/>
        </w:rPr>
        <w:t>On November 1, 2021, Acima received a letter from the Nebraska Attorney General’s office stating that the 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In April 2022, we received a request for information and documents. Acima is cooperating with the investigation and is currently in the process of producing requested information.</w:t>
      </w:r>
      <w:r>
        <w:rPr>
          <w:color w:val="000000"/>
          <w:highlight w:val="white"/>
        </w:rPr>
        <w:t xml:space="preserve"> </w:t>
      </w:r>
      <w:r>
        <w:rPr>
          <w:rFonts w:ascii="Times New Roman;sans-serif" w:hAnsi="Times New Roman;sans-serif"/>
          <w:b w:val="false"/>
          <w:color w:val="000000"/>
          <w:sz w:val="20"/>
          <w:highlight w:val="white"/>
        </w:rPr>
        <w:t>No specific allegations have been made against Acima pursuant to the invest</w:t>
      </w:r>
      <w:r>
        <w:rPr>
          <w:rFonts w:ascii="Times New Roman;sans-serif" w:hAnsi="Times New Roman;sans-serif"/>
          <w:b w:val="false"/>
          <w:color w:val="000000"/>
          <w:sz w:val="20"/>
        </w:rPr>
        <w:t xml:space="preserve">igation. We are currently unable to predict the eventual scope, timing or outcome of this matter. </w:t>
      </w:r>
    </w:p>
    <w:p>
      <w:pPr>
        <w:pStyle w:val="TextBody"/>
        <w:spacing w:lineRule="auto" w:line="268" w:before="120" w:after="283"/>
        <w:jc w:val="both"/>
        <w:rPr/>
      </w:pPr>
      <w:r>
        <w:rPr>
          <w:rFonts w:ascii="Times New Roman;sans-serif" w:hAnsi="Times New Roman;sans-serif"/>
          <w:b w:val="false"/>
          <w:i/>
          <w:color w:val="000000"/>
          <w:sz w:val="20"/>
        </w:rPr>
        <w:t>New York Attorney General.</w:t>
      </w:r>
      <w:r>
        <w:rPr>
          <w:color w:val="000000"/>
        </w:rPr>
        <w:t xml:space="preserve"> </w:t>
      </w:r>
      <w:r>
        <w:rPr>
          <w:rFonts w:ascii="Times New Roman;sans-serif" w:hAnsi="Times New Roman;sans-serif"/>
          <w:b w:val="false"/>
          <w:color w:val="000000"/>
          <w:sz w:val="20"/>
        </w:rPr>
        <w:t>The New York Attorney General (the “NYAG”) issued a subpoena to our Acima subsidiary in January 2020 seeking information with respect to various business practices in connection with Acima’s lease-to-own transactions. Acima received a second subpoena from the NYAG in August 2021. Since receiving the subpoenas, we have cooperated with the NYAG in connection with its investigation. In March 2023, the NYAG provided Acima with an initial proposed assurance of discontinuance alleging violations of certain consumer laws and seeking injunctive provisions regarding certain business practices, compliance requirements and unspecified payment amounts for restitution and civil penalties. We are continuing to cooperate and discuss resolution of this matter with the NYAG. We are currently unable to predict the ultimate timing or outcome of the NYAG investigation.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UPBOUND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 Earnings (Loss) Per Common Share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Summarized basic and diluted earnings (loss) per common share were calculated as follows:</w:t>
      </w:r>
    </w:p>
    <w:tbl>
      <w:tblPr>
        <w:tblW w:w="10205" w:type="dxa"/>
        <w:jc w:val="left"/>
        <w:tblInd w:w="0" w:type="dxa"/>
        <w:tblCellMar>
          <w:top w:w="28" w:type="dxa"/>
          <w:left w:w="28" w:type="dxa"/>
          <w:bottom w:w="28" w:type="dxa"/>
          <w:right w:w="28" w:type="dxa"/>
        </w:tblCellMar>
      </w:tblPr>
      <w:tblGrid>
        <w:gridCol w:w="2301"/>
        <w:gridCol w:w="1988"/>
        <w:gridCol w:w="1998"/>
        <w:gridCol w:w="109"/>
        <w:gridCol w:w="109"/>
        <w:gridCol w:w="200"/>
        <w:gridCol w:w="200"/>
        <w:gridCol w:w="389"/>
        <w:gridCol w:w="1329"/>
        <w:gridCol w:w="200"/>
        <w:gridCol w:w="109"/>
        <w:gridCol w:w="109"/>
        <w:gridCol w:w="109"/>
        <w:gridCol w:w="211"/>
        <w:gridCol w:w="686"/>
        <w:gridCol w:w="158"/>
      </w:tblGrid>
      <w:tr>
        <w:trPr/>
        <w:tc>
          <w:tcPr>
            <w:tcW w:w="2301"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9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2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82" w:type="dxa"/>
            <w:gridSpan w:val="6"/>
            <w:tcBorders/>
            <w:shd w:fill="auto" w:val="clear"/>
          </w:tcPr>
          <w:p>
            <w:pPr>
              <w:pStyle w:val="TableContents"/>
              <w:spacing w:before="0" w:after="283"/>
              <w:rPr>
                <w:sz w:val="4"/>
                <w:szCs w:val="4"/>
              </w:rPr>
            </w:pPr>
            <w:r>
              <w:rPr>
                <w:sz w:val="4"/>
                <w:szCs w:val="4"/>
              </w:rPr>
            </w:r>
          </w:p>
        </w:tc>
      </w:tr>
      <w:tr>
        <w:trPr/>
        <w:tc>
          <w:tcPr>
            <w:tcW w:w="62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9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9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9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Effect of dilutive stock awards</w:t>
            </w:r>
            <w:r>
              <w:rPr>
                <w:rFonts w:ascii="Times New Roman;sans-serif" w:hAnsi="Times New Roman;sans-serif"/>
                <w:b w:val="false"/>
                <w:color w:val="000000"/>
                <w:sz w:val="13"/>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9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Diluted earnings (loss) per common share</w:t>
            </w:r>
            <w:r>
              <w:rPr>
                <w:rFonts w:ascii="Times New Roman;sans-serif" w:hAnsi="Times New Roman;sans-serif"/>
                <w:b w:val="false"/>
                <w:color w:val="000000"/>
                <w:sz w:val="13"/>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securities excluded from diluted earnings (loss)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restricted share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performance share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Weighted-average dilutive shares outstanding for the three months ended March 31, 2023 and 2022, includes approximately 0.7 million and 5.2 million common shares, respectively, issued in connection with the acquisition of Acima Holdings and subject to vesting conditions under restricted stock agreements.</w:t>
      </w:r>
    </w:p>
    <w:p>
      <w:pPr>
        <w:pStyle w:val="TextBody"/>
        <w:spacing w:lineRule="auto" w:line="288" w:before="0" w:after="0"/>
        <w:ind w:left="0" w:right="0" w:hanging="180"/>
        <w:jc w:val="both"/>
        <w:rPr/>
      </w:pPr>
      <w:r>
        <w:rPr>
          <w:rFonts w:ascii="Times New Roman;sans-serif" w:hAnsi="Times New Roman;sans-serif"/>
          <w:b w:val="false"/>
          <w:color w:val="000000"/>
          <w:sz w:val="9"/>
        </w:rPr>
        <w:t>(2)</w:t>
      </w:r>
      <w:r>
        <w:rPr>
          <w:color w:val="000000"/>
        </w:rPr>
        <w:t xml:space="preserve"> </w:t>
      </w:r>
      <w:r>
        <w:rPr>
          <w:rFonts w:ascii="Times New Roman;sans-serif" w:hAnsi="Times New Roman;sans-serif"/>
          <w:b w:val="false"/>
          <w:color w:val="000000"/>
          <w:sz w:val="14"/>
        </w:rPr>
        <w:t>There was no dilutive effect to the loss per common share for the three months ended March 31, 2022 due to the net loss incurred for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following our acquisition of Acima Holdings, LLC (“Acima Holdings”), cost and revenue synergies and other benefits expected to result from the Acima Holdings acquisition, our expectations, plans and strategy relating to our capital structure and capital allocation, including any share repurchases under our share repurchase program, and other statements that are not historical facts.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2022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the possibility that the anticipated benefits from the Acima Holdings acquisition may not be fully realized or may take longer to realize than expected;</w:t>
      </w:r>
    </w:p>
    <w:p>
      <w:pPr>
        <w:pStyle w:val="TextBody"/>
        <w:spacing w:lineRule="auto" w:line="288" w:before="60" w:after="283"/>
        <w:ind w:left="0" w:right="0" w:hanging="180"/>
        <w:jc w:val="both"/>
        <w:rPr>
          <w:color w:val="000000"/>
        </w:rPr>
      </w:pPr>
      <w:r>
        <w:rPr>
          <w:color w:val="000000"/>
        </w:rPr>
        <w:t xml:space="preserve">• </w:t>
      </w:r>
      <w:r>
        <w:rPr>
          <w:rFonts w:ascii="Times New Roman;sans-serif" w:hAnsi="Times New Roman;sans-serif"/>
          <w:b w:val="false"/>
          <w:color w:val="000000"/>
          <w:sz w:val="20"/>
        </w:rPr>
        <w:t>the possibility that costs, difficulties or disruptions related to the integration of Acima Holdings operations into our other operations will be greater than expected;</w:t>
      </w:r>
    </w:p>
    <w:p>
      <w:pPr>
        <w:pStyle w:val="TextBody"/>
        <w:spacing w:lineRule="auto" w:line="288" w:before="60" w:after="283"/>
        <w:ind w:left="0" w:right="0" w:hanging="180"/>
        <w:jc w:val="both"/>
        <w:rPr>
          <w:color w:val="000000"/>
        </w:rPr>
      </w:pPr>
      <w:r>
        <w:rPr>
          <w:color w:val="000000"/>
        </w:rPr>
        <w:t xml:space="preserve">• </w:t>
      </w:r>
      <w:r>
        <w:rPr>
          <w:rFonts w:ascii="Times New Roman;sans-serif" w:hAnsi="Times New Roman;sans-serif"/>
          <w:b w:val="false"/>
          <w:color w:val="000000"/>
          <w:sz w:val="20"/>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pStyle w:val="TextBody"/>
        <w:spacing w:lineRule="auto" w:line="288" w:before="60" w:after="283"/>
        <w:ind w:left="0" w:right="0" w:hanging="180"/>
        <w:jc w:val="both"/>
        <w:rPr>
          <w:color w:val="000000"/>
        </w:rPr>
      </w:pPr>
      <w:r>
        <w:rPr>
          <w:color w:val="000000"/>
        </w:rPr>
        <w:t xml:space="preserve">• </w:t>
      </w:r>
      <w:r>
        <w:rPr>
          <w:rFonts w:ascii="Times New Roman;sans-serif" w:hAnsi="Times New Roman;sans-serif"/>
          <w:b w:val="false"/>
          <w:color w:val="000000"/>
          <w:sz w:val="20"/>
        </w:rPr>
        <w:t>changes in our future cash requirements as a result of the Acima Holdings acquisition, whether caused by unanticipated increases in capital expenditures or working capital needs, unanticipated liabilities or otherwise;</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the impact of the COVID-19 pandemic and subsequent post pandemic impacts and related government and regulatory restrictions issued to combat the pandemic, including adverse changes in such restrictions, the expiration of governmental stimulus programs, and impacts on (i) demand for our lease-to-own products offered in our operating segments, (ii) our Acima retail partners, (iii) our customers and their willingness and ability to satisfy their lease obligations, (iv) our suppliers' ability to satisfy our merchandise needs and related supply chain disruptions, (v) our employees, including our ability to adequately staff our operating locations, (vi) our financial and operational performance, and (vii) our liquidity;</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the general strength of the economy and other economic conditions affecting consumer preferences and spending, including the availability of credit to our target consumers and to other consumers, impacts from the continued inflation, central bank monetary policy initiatives to address inflation concerns, and possible recession or slowdown in economic growth;</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factors affecting the disposable income available to our current and potential customers;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the unemployment rate;</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capital market conditions, including availability of funding sources for us;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credit ratings;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difficulties encountered in improving the financial and operational performance of our business segments;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associated with pricing changes and strategies being deployed in our businesses;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continue to realize benefits from our initiatives regarding cost-savings and other EBITDA enhancements, efficiencies and working capital improvements;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 xml:space="preserve">our ability to continue to effectively execute our strategic initiatives, including mitigating risks associated with any potential mergers and acquisitions, or refranchising opportunities; </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potential acquisition candidates, complete acquisitions and successfully integrate acquired companies;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failure to manage our store labor and other store expenses, including merchandise losses;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caused by the operation of our store information management systems or disruptions in the systems of our host retailers;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risks related to our virtual lease-to-own business, including our ability to continue to develop and successfully implement the necessary technologies;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achieve the benefits expected from our integrated virtual and staffed retail partner offering and to successfully grow this business segment;</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exposure to potential operating margin degradation due to the higher cost of merchandise in our Acima offering and higher merchandise losses than compared to our Rent-A-Center Business segment;</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transition to more-readily scalable “cloud-based” solutions;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develop and successfully implement digital or E-commerce capabilities, including mobile applications;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protect our proprietary intellectual property;</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or that of our host retailers to protect the integrity and security of customer, employee and host retailer information, which may be adversely affected by hacking, computer viruses, or similar disruptions;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impairment of our goodwill or other intangible assets;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disruptions in our supply chain;</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limitations of, or disruptions in, our distribution network;</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rapid inflation or deflation in the prices of our products and other related costs;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allegations of product safety and quality control issues, including recalls;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execute, as well as the effectiveness of, store consolidations, including our ability to retain the revenue from customer accounts merged into another store location as a result of a store consolidation;</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available cash flow and our ability to generate sufficient cash flow to continue paying dividends;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increased competition from traditional competitors, virtual lease-to-own competitors, online retailers, Buy-Now-Pay-Later and other fintech companies and other competitors, including subprime lenders;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identify and successfully market products and services that appeal to our current and future targeted customer segments and to accurately estimate the size of the total addressable market;</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consumer preferences and perceptions of our brands;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retain the revenue associated with acquired customer accounts and enhance the performance of acquired stores;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enter into new and collect on our rental or lease purchase agreements;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compliance with applicable statutes or regulations governing our businesses;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interest rates;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tariff policies;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adverse changes in the economic conditions of the industries, countries or markets that we serve;</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information technology and data security costs;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the impact of any breaches in data security or other disturbances to our information technology and other networks;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estimates relating to self-insurance liabilities and income tax and litigation reserves;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changes in our effective tax rate;</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fluctuations in foreign currency exchange rates;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our ability to maintain an effective system of internal controls;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litigation or administrative proceedings to which we are or may be a party to from time to time; and</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the other risks detailed from time to time in our reports furnished or filed with the United States Securities and Exchange Commission (the “SEC”).</w:t>
      </w:r>
    </w:p>
    <w:p>
      <w:pPr>
        <w:pStyle w:val="TextBody"/>
        <w:spacing w:lineRule="auto" w:line="288" w:before="120" w:after="283"/>
        <w:jc w:val="both"/>
        <w:rPr/>
      </w:pPr>
      <w:r>
        <w:rPr>
          <w:rFonts w:ascii="Times New Roman;sans-serif" w:hAnsi="Times New Roman;sans-serif"/>
          <w:b w:val="false"/>
          <w:color w:val="000000"/>
          <w:sz w:val="20"/>
        </w:rPr>
        <w:t>Additional important factors that could cause our actual results to differ materially from our expectations are discussed under the section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year ended December 31, 2022 and elsewhere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lease-to-own provider with operations in the United States, Puerto Rico and Mexico. We provide a critical service for a large portion of underserved consumers by providing them with access to, and the opportunity to obtain ownership of, high-quality, durable products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“UPBD.”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Strategy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focused on serving our mission to elevate financial opportunity for all and growing our business through emphasis on the following key initiatives: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Develop centers of excellence that will be leveraged across the organization to support the various business segments, utilizing best practices and drive efficiency and growth;</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Maximize Rent-A-Center brand awareness and customer loyalty by accelerating the shift to e-commerce, expanding product categories, and improving the fully integrated, omni-channel customer experience;</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Grow penetration with current Acima merchants and attract new merchants to our platform;</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Enhance, upgrade and integrate technology platforms to allow for a seamless consumer experience, merchant and third-party waterfall integration, and simplify transaction process for the consumer;</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Leverage data analytics capabilities to attract new customers, approve more customers and mitigate risk across all business segments; and</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Execute on market opportunities and enhancing our competitive position across both traditional and virtual lease-to-own solutions, and implement complimentary products and services that supplement our current offering and provides our customers more financial alternatives.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strategy, we may take advantage of joint venture, partnership, or merger and acquisition opportunities from time to time that advance our key initiatives and elevate the financial mobility of underserved consumers.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spacing w:lineRule="auto" w:line="288" w:before="120" w:after="283"/>
        <w:jc w:val="both"/>
        <w:rPr/>
      </w:pPr>
      <w:r>
        <w:rPr>
          <w:rFonts w:ascii="Times New Roman;sans-serif" w:hAnsi="Times New Roman;sans-serif"/>
          <w:b w:val="false"/>
          <w:i/>
          <w:color w:val="000000"/>
          <w:sz w:val="20"/>
        </w:rPr>
        <w:t>Corporate Name Change</w:t>
      </w:r>
      <w:r>
        <w:rPr>
          <w:rFonts w:ascii="Times New Roman;sans-serif" w:hAnsi="Times New Roman;sans-serif"/>
          <w:b w:val="false"/>
          <w:color w:val="000000"/>
          <w:sz w:val="20"/>
        </w:rPr>
        <w:t>. On February 22, 2023, we announced the change of our corporate name to Upbound Group, Inc., which trades under the ticker “UPBD.”</w:t>
      </w:r>
    </w:p>
    <w:p>
      <w:pPr>
        <w:pStyle w:val="TextBody"/>
        <w:spacing w:lineRule="auto" w:line="288" w:before="120" w:after="283"/>
        <w:jc w:val="both"/>
        <w:rPr/>
      </w:pPr>
      <w:r>
        <w:rPr>
          <w:rFonts w:ascii="Times New Roman;sans-serif" w:hAnsi="Times New Roman;sans-serif"/>
          <w:b w:val="false"/>
          <w:i/>
          <w:color w:val="000000"/>
          <w:sz w:val="20"/>
        </w:rPr>
        <w:t>Dividend.</w:t>
      </w:r>
      <w:r>
        <w:rPr>
          <w:color w:val="000000"/>
        </w:rPr>
        <w:t xml:space="preserve"> </w:t>
      </w:r>
      <w:r>
        <w:rPr>
          <w:rFonts w:ascii="Times New Roman;sans-serif" w:hAnsi="Times New Roman;sans-serif"/>
          <w:b w:val="false"/>
          <w:color w:val="000000"/>
          <w:sz w:val="20"/>
        </w:rPr>
        <w:t>On March 24, 2023, we announced that our board of directors approved a quarterly cash dividend of $0.34 per share for the second quarter of 2023. The dividend was paid on April 24, 2023 to our common stockholders of record as of the close of business on April 5,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Business and Operational Trends</w:t>
      </w:r>
    </w:p>
    <w:p>
      <w:pPr>
        <w:pStyle w:val="TextBody"/>
        <w:spacing w:lineRule="auto" w:line="288" w:before="120" w:after="283"/>
        <w:jc w:val="both"/>
        <w:rPr/>
      </w:pPr>
      <w:r>
        <w:rPr>
          <w:rFonts w:ascii="Times New Roman;sans-serif" w:hAnsi="Times New Roman;sans-serif"/>
          <w:b w:val="false"/>
          <w:i/>
          <w:color w:val="000000"/>
          <w:sz w:val="20"/>
          <w:highlight w:val="white"/>
        </w:rPr>
        <w:t xml:space="preserve">Macroeconomic Conditions. </w:t>
      </w:r>
      <w:r>
        <w:rPr>
          <w:rFonts w:ascii="Times New Roman;sans-serif" w:hAnsi="Times New Roman;sans-serif"/>
          <w:b w:val="false"/>
          <w:color w:val="000000"/>
          <w:sz w:val="20"/>
          <w:highlight w:val="white"/>
        </w:rPr>
        <w:t>Beginning in the first quarter of 2020, the worldwide spread of COVID-19 caused significant disruptions to the U.S. and world economies. In response to COVID-19, the U.S. government enacted the Coronavirus Aid, Relief, and Economic Security Act (the “CARES Act”), providing U.S. citizens and businesses with various stimulus and income tax relief benefits throughout 2020 and early 2021 to help offset immediate negative financial impacts sustained as a result of COVID-19. In addition, we proactively implemented certain response measures, including providing our Rent-A-</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Center Business and Acima customers with additional electronic payment methods to facilitate contactless transactions. These response measures resulted in improved customer payment behaviors contributing to higher revenues and lower merchandise losses in 2020 and the first half of 2021.</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third quarter of 2021 we began to experience negative customer behavioral trends, including increases in delinquent payments and merchandise loss activity, resulting in declining revenues and increased operating expenses, respectively. These negative trends continued to accelerate in the fourth quarter of 2021, following the expiration of government stimulus and relief programs combined with a significant rise in the US consumer price index, resulting in significant pressure on the discretionary income levels of our consumers. This led us to tighten our underwriting policies in an effort to improve risk management related to the execution of new leases. The continuation of the above trends combined with the tightening of our underwriting policies has reduced the number of active leases with corresponding decreases in lease revenue and operating cash flows.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to the negative trends in customer behavior described above, we have also been impacted by other negative macroeconomic trends, including a condensed labor market, which has contributed to wage inflation, and global supply chain disruptions resulting in reduced product availability and rising product costs.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While the lease-to-own industry has historically remained a resilient business model throughout various economic cycles, the full extent to which our risk management strategy and macro-economic trends (including consumer spending behavior) may impact our business in future periods is uncertain. The continuation of these negative trends may have a material adverse impact on our financial statements, including our results of operations, operating cash flows, liquidity and capital resources.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See “Risk Factors” in Part I, Item 1A in our Annual Report on Form 10-K for the year ended December 31, 2022, for additional discussion of operational impacts to our business and additional risks associated with COVID-19 and other macroeconomic conditions.</w:t>
      </w:r>
    </w:p>
    <w:p>
      <w:pPr>
        <w:pStyle w:val="TextBody"/>
        <w:spacing w:lineRule="auto" w:line="288" w:before="120" w:after="283"/>
        <w:jc w:val="both"/>
        <w:rPr/>
      </w:pPr>
      <w:r>
        <w:rPr>
          <w:rFonts w:ascii="Times New Roman;sans-serif" w:hAnsi="Times New Roman;sans-serif"/>
          <w:b w:val="false"/>
          <w:i/>
          <w:color w:val="000000"/>
          <w:sz w:val="20"/>
        </w:rPr>
        <w:t xml:space="preserve">Rent-A-Center Business E-commerce revenue. </w:t>
      </w:r>
      <w:r>
        <w:rPr>
          <w:rFonts w:ascii="Times New Roman;sans-serif" w:hAnsi="Times New Roman;sans-serif"/>
          <w:b w:val="false"/>
          <w:color w:val="000000"/>
          <w:sz w:val="20"/>
        </w:rPr>
        <w:t>In recent years, e-commerce revenues have continued to increase as a percentage of total revenue in our Rent-A-Center Business segment. For the three months ended March 31, 2023 e-commerce revenues represented approximately 25% of total lease-to-own store revenues compared to 23% for the three months ended March 31, 2022.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Business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focuses on our results of operations and our liquidity and capital resources. You should read this discussion in conjunction with the condensed consolidated financial statements and notes thereto for the three months ended March 31, 2023 included in Part I, Item I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Key Metrics</w:t>
      </w:r>
    </w:p>
    <w:p>
      <w:pPr>
        <w:pStyle w:val="TextBody"/>
        <w:spacing w:lineRule="auto" w:line="268" w:before="120" w:after="120"/>
        <w:jc w:val="both"/>
        <w:rPr/>
      </w:pPr>
      <w:r>
        <w:rPr>
          <w:rFonts w:ascii="Times New Roman;sans-serif" w:hAnsi="Times New Roman;sans-serif"/>
          <w:b w:val="false"/>
          <w:i/>
          <w:color w:val="000000"/>
          <w:sz w:val="20"/>
        </w:rPr>
        <w:t xml:space="preserve">Gross Merchandise Volume (GMV): </w:t>
      </w:r>
      <w:r>
        <w:rPr>
          <w:rFonts w:ascii="Times New Roman;sans-serif" w:hAnsi="Times New Roman;sans-serif"/>
          <w:b w:val="false"/>
          <w:color w:val="000000"/>
          <w:sz w:val="20"/>
        </w:rPr>
        <w:t xml:space="preserve">The Company defines Gross Merchandise Volume as the retail value in U.S. dollars of merchandise acquired by the Company that is leased to customers through a transaction that occurs within a defined period, net of cancellations. </w:t>
      </w:r>
    </w:p>
    <w:p>
      <w:pPr>
        <w:pStyle w:val="TextBody"/>
        <w:spacing w:lineRule="auto" w:line="268" w:before="0" w:after="0"/>
        <w:jc w:val="both"/>
        <w:rPr/>
      </w:pPr>
      <w:r>
        <w:rPr>
          <w:rFonts w:ascii="Times New Roman;sans-serif" w:hAnsi="Times New Roman;sans-serif"/>
          <w:b w:val="false"/>
          <w:i/>
          <w:color w:val="000000"/>
          <w:sz w:val="20"/>
        </w:rPr>
        <w:t>Rent-A-Center Business Lease Portfolio Balance:</w:t>
      </w:r>
      <w:r>
        <w:rPr>
          <w:color w:val="000000"/>
        </w:rPr>
        <w:t xml:space="preserve"> </w:t>
      </w:r>
      <w:r>
        <w:rPr>
          <w:rFonts w:ascii="Times New Roman;sans-serif" w:hAnsi="Times New Roman;sans-serif"/>
          <w:b w:val="false"/>
          <w:color w:val="000000"/>
          <w:sz w:val="20"/>
        </w:rPr>
        <w:t xml:space="preserve">Represents the aggregate dollar value of the expected monthly rental income associated with current active lease agreements from our Rent-A-Center Business stores and e-commerce platform at the end of any given period. </w:t>
      </w:r>
    </w:p>
    <w:p>
      <w:pPr>
        <w:pStyle w:val="TextBody"/>
        <w:spacing w:lineRule="auto" w:line="268" w:before="120" w:after="283"/>
        <w:jc w:val="both"/>
        <w:rPr/>
      </w:pPr>
      <w:r>
        <w:rPr>
          <w:rFonts w:ascii="Times New Roman;sans-serif" w:hAnsi="Times New Roman;sans-serif"/>
          <w:b w:val="false"/>
          <w:i/>
          <w:color w:val="000000"/>
          <w:sz w:val="20"/>
        </w:rPr>
        <w:t>Same Store Sales:</w:t>
      </w:r>
      <w:r>
        <w:rPr>
          <w:color w:val="000000"/>
        </w:rPr>
        <w:t xml:space="preserve"> </w:t>
      </w:r>
      <w:r>
        <w:rPr>
          <w:rFonts w:ascii="Times New Roman;sans-serif" w:hAnsi="Times New Roman;sans-serif"/>
          <w:b w:val="false"/>
          <w:color w:val="000000"/>
          <w:sz w:val="20"/>
        </w:rPr>
        <w:t>Same store sales generally represents revenue earned in stores that were operated by us for 13 months or more and are reported on a constant currency basis as a percentage of total revenue earned in stores of the operating segment during the period. The Company excludes any store that receives a certain level of customer accounts from closed stores or acquisitions from the same store revenue base. The receiving store will be eligible for inclusion in the same store revenue base in the 30th full month following account transfer.</w:t>
      </w:r>
    </w:p>
    <w:p>
      <w:pPr>
        <w:pStyle w:val="TextBody"/>
        <w:spacing w:lineRule="auto" w:line="268" w:before="120" w:after="283"/>
        <w:jc w:val="both"/>
        <w:rPr/>
      </w:pPr>
      <w:r>
        <w:rPr>
          <w:rFonts w:ascii="Times New Roman;sans-serif" w:hAnsi="Times New Roman;sans-serif"/>
          <w:b w:val="false"/>
          <w:i/>
          <w:color w:val="000000"/>
          <w:sz w:val="20"/>
        </w:rPr>
        <w:t>Skip / Stolen Losses:</w:t>
      </w:r>
      <w:r>
        <w:rPr>
          <w:color w:val="000000"/>
        </w:rPr>
        <w:t xml:space="preserve"> </w:t>
      </w:r>
      <w:r>
        <w:rPr>
          <w:rFonts w:ascii="Times New Roman;sans-serif" w:hAnsi="Times New Roman;sans-serif"/>
          <w:b w:val="false"/>
          <w:color w:val="000000"/>
          <w:sz w:val="20"/>
        </w:rPr>
        <w:t>Represents the charge-off of the depreciated value of unrecoverable on-rent merchandise with lease-to-own customers who are past due.</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8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briefly summarizes certain of our financial information for the three months ended March 31, 2023 as compared to the three months ended March 31,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2023, consolidated revenues decreased approximately $143.7 million, while operating profit decreased approximately $46.2 million, primarily due to a decrease in gross profit of $39.8 million driven by lower revenues and an increase in operating expenses of $6.3 million described further below.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in our Rent-A-Center Business segment decreased approximately $33.5 million for the three months ended March 31, 2023 due to a 6.6% decrease in same store sales primarily due to decreases in rentals and fees revenues and merchandise sales of $16.6 million and $15.5 million, respectively, primarily attributable to a decrease in our lease portfolio balance and fewer customers electing early payout options. Operating profit decreased approximately $31.2 million for the three months ended March 31, 2023, primarily due to lower revenues described above. See "Segment Performance" below for further discussion of Rent-A-Center Business segment operating results for the three months ended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Acima segment revenues decreased approximately $115.5 million for the three months ended March 31, 2023, due to decreases in rentals and fees revenues and merchandise sales of $61.3 million and $54.4 million, respectively, resulting from lower durable goods demand, as a consequence of higher demand in prior years due to government stimulus programs, in addition to continued pressure on consumer discretionary income due to higher inflation. Operating profit increased approximately $44.3 million for the three months ended March 31, 2023, primarily due to decreases in other store expenses and labor costs of approximately $37.1 million and $7.3 million, respectively, primarily attributable to lower merchandise losses and a decrease in operational headcount. See "Segment Performance" below for further discussion of Acima segment operating results for the three months ended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Mexico segment revenues increased by 10.9% for the three months ended March 31, 2023, contributing to an increase in gross profit of 11.6%, or $1.3 million. Operating profit, however, decreased $1.1 million for the three months ended March 31, 2023, primarily due to an increase in other store expenses of $1.7 million. See "Segment Performance" below for further discussion of Mexico segment operating results for the three months ended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Franchising segment increased $3.6 million for the three months ended March 31, 2023, primarily due to an increase in inventory purchases by franchisees.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operations was $105.4 million for the three months ended March 31, 2023. As of March 31, 2023, we held $171.7 million of cash and cash equivalents and had outstanding indebtedness of $1.4 billion.</w:t>
      </w:r>
    </w:p>
    <w:p>
      <w:pPr>
        <w:pStyle w:val="TextBody"/>
        <w:spacing w:before="120" w:after="283"/>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reference for the discussion that follows.</w:t>
      </w:r>
    </w:p>
    <w:tbl>
      <w:tblPr>
        <w:tblW w:w="9569" w:type="dxa"/>
        <w:jc w:val="left"/>
        <w:tblInd w:w="0" w:type="dxa"/>
        <w:tblCellMar>
          <w:top w:w="28" w:type="dxa"/>
          <w:left w:w="28" w:type="dxa"/>
          <w:bottom w:w="28" w:type="dxa"/>
          <w:right w:w="28" w:type="dxa"/>
        </w:tblCellMar>
      </w:tblPr>
      <w:tblGrid>
        <w:gridCol w:w="977"/>
        <w:gridCol w:w="860"/>
        <w:gridCol w:w="863"/>
        <w:gridCol w:w="109"/>
        <w:gridCol w:w="109"/>
        <w:gridCol w:w="109"/>
        <w:gridCol w:w="109"/>
        <w:gridCol w:w="284"/>
        <w:gridCol w:w="284"/>
        <w:gridCol w:w="285"/>
        <w:gridCol w:w="139"/>
        <w:gridCol w:w="250"/>
        <w:gridCol w:w="938"/>
        <w:gridCol w:w="139"/>
        <w:gridCol w:w="109"/>
        <w:gridCol w:w="109"/>
        <w:gridCol w:w="109"/>
        <w:gridCol w:w="196"/>
        <w:gridCol w:w="736"/>
        <w:gridCol w:w="109"/>
        <w:gridCol w:w="109"/>
        <w:gridCol w:w="109"/>
        <w:gridCol w:w="109"/>
        <w:gridCol w:w="196"/>
        <w:gridCol w:w="721"/>
        <w:gridCol w:w="109"/>
        <w:gridCol w:w="109"/>
        <w:gridCol w:w="109"/>
        <w:gridCol w:w="109"/>
        <w:gridCol w:w="378"/>
        <w:gridCol w:w="387"/>
        <w:gridCol w:w="301"/>
      </w:tblGrid>
      <w:tr>
        <w:trPr/>
        <w:tc>
          <w:tcPr>
            <w:tcW w:w="97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75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6"/>
            <w:tcBorders/>
            <w:shd w:fill="auto" w:val="clea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2746" w:type="dxa"/>
            <w:gridSpan w:val="12"/>
            <w:tcBorders/>
            <w:shd w:fill="auto" w:val="clea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Rentals and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806,717 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162,989 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store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986,998 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Merchandise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and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1,016,061 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rentals and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297,146 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merchandise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184,260 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installment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store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cost of merchandise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509,797 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506,264 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156,489 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store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196,711 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127,570 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541,377 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(62,793)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(696.7)</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(110,123)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(2,921.2)</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1,217.1 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2023, compared to Three Months Ended March 31, 2022 </w:t>
      </w:r>
    </w:p>
    <w:p>
      <w:pPr>
        <w:pStyle w:val="TextBody"/>
        <w:spacing w:lineRule="auto" w:line="288" w:before="120" w:after="283"/>
        <w:jc w:val="both"/>
        <w:rPr/>
      </w:pPr>
      <w:r>
        <w:rPr>
          <w:rFonts w:ascii="Times New Roman;sans-serif" w:hAnsi="Times New Roman;sans-serif"/>
          <w:b w:val="false"/>
          <w:i/>
          <w:color w:val="000000"/>
          <w:sz w:val="20"/>
        </w:rPr>
        <w:t>Store Revenue.</w:t>
      </w:r>
      <w:r>
        <w:rPr>
          <w:color w:val="000000"/>
        </w:rPr>
        <w:t> </w:t>
      </w:r>
      <w:r>
        <w:rPr>
          <w:rFonts w:ascii="Times New Roman;sans-serif" w:hAnsi="Times New Roman;sans-serif"/>
          <w:b w:val="false"/>
          <w:color w:val="000000"/>
          <w:sz w:val="20"/>
        </w:rPr>
        <w:t>Total store revenue decreased by $147.3 million, or 13.0%, to $987.0 million for the three months ended March 31, 2023, from $1,134.3 million for the three months ended March 31, 2022. This decrease was primarily due to decreases of approximately $115.5 million and $33.5 million in revenues in the Acima and Rent-A-Center Business segments, respectively, as discussed further in the “Segment Performance” section below.</w:t>
      </w:r>
    </w:p>
    <w:p>
      <w:pPr>
        <w:pStyle w:val="TextBody"/>
        <w:spacing w:lineRule="auto" w:line="288" w:before="120" w:after="283"/>
        <w:jc w:val="both"/>
        <w:rPr/>
      </w:pPr>
      <w:r>
        <w:rPr>
          <w:rFonts w:ascii="Times New Roman;sans-serif" w:hAnsi="Times New Roman;sans-serif"/>
          <w:b w:val="false"/>
          <w:i/>
          <w:color w:val="000000"/>
          <w:sz w:val="20"/>
        </w:rPr>
        <w:t>Cost of Rentals and Fees.</w:t>
      </w:r>
      <w:r>
        <w:rPr>
          <w:color w:val="000000"/>
        </w:rPr>
        <w:t> </w:t>
      </w:r>
      <w:r>
        <w:rPr>
          <w:rFonts w:ascii="Times New Roman;sans-serif" w:hAnsi="Times New Roman;sans-serif"/>
          <w:b w:val="false"/>
          <w:color w:val="000000"/>
          <w:sz w:val="20"/>
        </w:rPr>
        <w:t xml:space="preserve">Cost of rentals and fees consists primarily of depreciation of rental merchandise. Cost of rentals and fees for the three months ended March 31, 2023, decreased by $41.5 million, or 12.3%, to $297.1 million as compared to $338.6 million in 2022. The decrease was primarily attributable to a decrease of approximately $45.5 million in the Acima segment, partially offset by an increase of approximately $3.6 million in the Rent-A-Center Business segment. Cost of rentals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fees expressed as a percentage of rentals and fees revenue was 36.8% for the three months ended March 31, 2023, as compared to 38.3% in 2022.</w:t>
      </w:r>
    </w:p>
    <w:p>
      <w:pPr>
        <w:pStyle w:val="TextBody"/>
        <w:spacing w:lineRule="auto" w:line="288" w:before="120" w:after="283"/>
        <w:jc w:val="both"/>
        <w:rPr/>
      </w:pPr>
      <w:r>
        <w:rPr>
          <w:rFonts w:ascii="Times New Roman;sans-serif" w:hAnsi="Times New Roman;sans-serif"/>
          <w:b w:val="false"/>
          <w:i/>
          <w:color w:val="000000"/>
          <w:sz w:val="20"/>
        </w:rPr>
        <w:t>Cost of Merchandise Sold. </w:t>
      </w:r>
      <w:r>
        <w:rPr>
          <w:rFonts w:ascii="Times New Roman;sans-serif" w:hAnsi="Times New Roman;sans-serif"/>
          <w:b w:val="false"/>
          <w:color w:val="000000"/>
          <w:sz w:val="20"/>
        </w:rPr>
        <w:t>Cost of merchandise sold decreased by $66.0 million, or 26.4%, to $184.3 million for the three months ended March 31, 2023, from $250.3 million in 2022, primarily attributable to decreases of $61.0 million and $5.1 million in the Acima and Rent-A-Center Business segments, respectively, driven by fewer customers electing early payout options. The gross margin percent of merchandise sales decreased to (13.1)% for the three months ended March 31, 2023, from (7.5)% in 2022, primarily due to fewer customers electing early payout options.</w:t>
      </w:r>
    </w:p>
    <w:p>
      <w:pPr>
        <w:pStyle w:val="TextBody"/>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decreased by $39.8 million, or 7.3%, to $506.3 million for the three months ended March 31, 2023, from $546.1 million in 2022, primarily due to decreases of $31.7 million and $9.1 million in the Rent-A-Center Business and Acima segments, respectively, as discussed further in the “Segment Performance” section below. Gross profit as a percentage of total revenue increased to 49.8% for the three months ended March 31, 2023, as compared to 47.1% in 2022.</w:t>
      </w:r>
    </w:p>
    <w:p>
      <w:pPr>
        <w:pStyle w:val="TextBody"/>
        <w:spacing w:lineRule="auto" w:line="288" w:before="120" w:after="283"/>
        <w:jc w:val="both"/>
        <w:rPr/>
      </w:pPr>
      <w:r>
        <w:rPr>
          <w:rFonts w:ascii="Times New Roman;sans-serif" w:hAnsi="Times New Roman;sans-serif"/>
          <w:b w:val="false"/>
          <w:i/>
          <w:color w:val="000000"/>
          <w:sz w:val="20"/>
        </w:rPr>
        <w:t xml:space="preserve">Store Labor. </w:t>
      </w:r>
      <w:r>
        <w:rPr>
          <w:rFonts w:ascii="Times New Roman;sans-serif" w:hAnsi="Times New Roman;sans-serif"/>
          <w:b w:val="false"/>
          <w:color w:val="000000"/>
          <w:sz w:val="20"/>
        </w:rPr>
        <w:t>Store labor decreased by $10.1 million, or 6.1%, to $156.5 million, for the three months ended March 31, 2023, as compared to $166.6 million in 2022, primarily due to decreases of $7.3 million and $3.4 million in the Acima and Rent-A-Center Business segments, respectively, driven by lower operating headcount. Store labor expressed as a percentage of total store revenue was 15.9% for the three months ended March 31, 2023, as compared to 14.7% in 2022.</w:t>
      </w:r>
    </w:p>
    <w:p>
      <w:pPr>
        <w:pStyle w:val="TextBody"/>
        <w:spacing w:lineRule="auto" w:line="288" w:before="120" w:after="283"/>
        <w:jc w:val="both"/>
        <w:rPr/>
      </w:pPr>
      <w:r>
        <w:rPr>
          <w:rFonts w:ascii="Times New Roman;sans-serif" w:hAnsi="Times New Roman;sans-serif"/>
          <w:b w:val="false"/>
          <w:i/>
          <w:color w:val="000000"/>
          <w:sz w:val="20"/>
        </w:rPr>
        <w:t>Other Store Expenses.</w:t>
      </w:r>
      <w:r>
        <w:rPr>
          <w:color w:val="000000"/>
        </w:rPr>
        <w:t> </w:t>
      </w:r>
      <w:r>
        <w:rPr>
          <w:rFonts w:ascii="Times New Roman;sans-serif" w:hAnsi="Times New Roman;sans-serif"/>
          <w:b w:val="false"/>
          <w:color w:val="000000"/>
          <w:sz w:val="20"/>
        </w:rPr>
        <w:t>Other store expenses decreased by $30.7 million, or 13.5%, to $196.7 million for the three months ended March 31, 2023, as compared to $227.4 million in 2022, primarily due to a decrease of $37.1 million in the Acima segment driven by a decrease in customer stolen merchandise losses, partially offset by an increase of $4.7 million in the Rent-A-Center Business segment driven by higher customer stolen merchandise losses. Please reference the “Segment Performance” section below for additional discussion of segment merchandise losses. Other store expenses expressed as a percentage of total store revenue were 19.9% for the three months ended March 31, 2023, compared to 20.0% in 2022.</w:t>
      </w:r>
    </w:p>
    <w:p>
      <w:pPr>
        <w:pStyle w:val="TextBody"/>
        <w:spacing w:lineRule="auto" w:line="288" w:before="120" w:after="283"/>
        <w:jc w:val="both"/>
        <w:rPr/>
      </w:pPr>
      <w:r>
        <w:rPr>
          <w:rFonts w:ascii="Times New Roman;sans-serif" w:hAnsi="Times New Roman;sans-serif"/>
          <w:b w:val="false"/>
          <w:i/>
          <w:color w:val="000000"/>
          <w:sz w:val="20"/>
        </w:rPr>
        <w:t>General and Administrative Expenses. </w:t>
      </w:r>
      <w:r>
        <w:rPr>
          <w:rFonts w:ascii="Times New Roman;sans-serif" w:hAnsi="Times New Roman;sans-serif"/>
          <w:b w:val="false"/>
          <w:color w:val="000000"/>
          <w:sz w:val="20"/>
        </w:rPr>
        <w:t>General and administrative expenses decreased by $8.7 million, or 15.4%, to $47.7 million for the three months ended March 31, 2023, as compared to $56.4 million in 2022, primarily due to lower corporate headcount and other professional fees. General and administrative expenses expressed as a percentage of total revenue were 4.7% and 4.9% for the three months ended March 31, 2023 and 2022, respectively.</w:t>
      </w:r>
    </w:p>
    <w:p>
      <w:pPr>
        <w:pStyle w:val="TextBody"/>
        <w:spacing w:lineRule="auto" w:line="288" w:before="120" w:after="283"/>
        <w:jc w:val="both"/>
        <w:rPr/>
      </w:pPr>
      <w:r>
        <w:rPr>
          <w:rFonts w:ascii="Times New Roman;sans-serif" w:hAnsi="Times New Roman;sans-serif"/>
          <w:b w:val="false"/>
          <w:i/>
          <w:color w:val="000000"/>
          <w:sz w:val="20"/>
        </w:rPr>
        <w:t xml:space="preserve">Other Charges. </w:t>
      </w:r>
      <w:r>
        <w:rPr>
          <w:rFonts w:ascii="Times New Roman;sans-serif" w:hAnsi="Times New Roman;sans-serif"/>
          <w:b w:val="false"/>
          <w:color w:val="000000"/>
          <w:sz w:val="20"/>
        </w:rPr>
        <w:t>Other charges increased by $57.5 million, or 81.9%, to $127.6 million for the three months ended March 31, 2023, as compared to $70.1 million in 2022. Other charges for the three months ended March 31, 2023 primarily included $109.5 million in stock compensation expense related to the vesting of a portion of the equity consideration issued in the acquisition of Acima Holdings and $18.2 million in depreciation and amortization of acquired software and intangible assets. Other charges for the three months ended March 31, 2022 primarily included $36.6 million related to the vesting of a portion of the equity consideration issued in the acquisition of Acima Holdings, $26.1 million in depreciation and amortization of acquired software and intangible assets and $4.2 million in asset impairment.</w:t>
      </w:r>
    </w:p>
    <w:p>
      <w:pPr>
        <w:pStyle w:val="TextBody"/>
        <w:spacing w:lineRule="auto" w:line="288" w:before="120" w:after="283"/>
        <w:jc w:val="both"/>
        <w:rPr/>
      </w:pPr>
      <w:r>
        <w:rPr>
          <w:rFonts w:ascii="Times New Roman;sans-serif" w:hAnsi="Times New Roman;sans-serif"/>
          <w:b w:val="false"/>
          <w:i/>
          <w:color w:val="000000"/>
          <w:sz w:val="20"/>
        </w:rPr>
        <w:t>Operating (Loss) Profit.</w:t>
      </w:r>
      <w:r>
        <w:rPr>
          <w:color w:val="000000"/>
        </w:rPr>
        <w:t> </w:t>
      </w:r>
      <w:r>
        <w:rPr>
          <w:rFonts w:ascii="Times New Roman;sans-serif" w:hAnsi="Times New Roman;sans-serif"/>
          <w:b w:val="false"/>
          <w:color w:val="000000"/>
          <w:sz w:val="20"/>
        </w:rPr>
        <w:t>Operating profit decreased by $46.1 million, to $(35.1) million for the three months ended March 31, 2023, as compared to $11.0 million in 2022, primarily due to the decreases in gross profit of $39.8 million described above and a net increase of $6.3 million in operating expenses, driven by an increase in other charges, partially offset by lower labor costs, other store expenses, and general and administrative expenses. Operating loss expressed as a percentage of total revenue was (3.5)% for the three months ended March 31, 2023, compared to 1.0% in 2022.</w:t>
      </w:r>
    </w:p>
    <w:p>
      <w:pPr>
        <w:pStyle w:val="TextBody"/>
        <w:spacing w:lineRule="auto" w:line="288" w:before="120" w:after="283"/>
        <w:jc w:val="both"/>
        <w:rPr/>
      </w:pPr>
      <w:r>
        <w:rPr>
          <w:rFonts w:ascii="Times New Roman;sans-serif" w:hAnsi="Times New Roman;sans-serif"/>
          <w:b w:val="false"/>
          <w:i/>
          <w:color w:val="000000"/>
          <w:sz w:val="20"/>
        </w:rPr>
        <w:t>Income Tax Benefit. </w:t>
      </w:r>
      <w:r>
        <w:rPr>
          <w:rFonts w:ascii="Times New Roman;sans-serif" w:hAnsi="Times New Roman;sans-serif"/>
          <w:b w:val="false"/>
          <w:color w:val="000000"/>
          <w:sz w:val="20"/>
        </w:rPr>
        <w:t>Income tax benefit for the three months ended March 31, 2023 was $110.1 million, as compared to $3.6 million in 2022, primarily due to the tax impact of accelerated stock compensation expense recognized for the three months ended March 31, 2023 related to restricted stock agreements issued to the former owners of Acima Holdings upon acquisition of Acima Holdings, as described in the Other Charges section above. For tax purposes, restricted stock units subject to restricted stock agreements issued to the former owners of Acima Holdings were recorded as goodwill and will be amortized over a period of 15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8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Segment Performance</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Rent-A-Center Business segment</w:t>
      </w:r>
    </w:p>
    <w:tbl>
      <w:tblPr>
        <w:tblW w:w="9709" w:type="dxa"/>
        <w:jc w:val="left"/>
        <w:tblInd w:w="0" w:type="dxa"/>
        <w:tblCellMar>
          <w:top w:w="28" w:type="dxa"/>
          <w:left w:w="28" w:type="dxa"/>
          <w:bottom w:w="28" w:type="dxa"/>
          <w:right w:w="28" w:type="dxa"/>
        </w:tblCellMar>
      </w:tblPr>
      <w:tblGrid>
        <w:gridCol w:w="1064"/>
        <w:gridCol w:w="937"/>
        <w:gridCol w:w="939"/>
        <w:gridCol w:w="109"/>
        <w:gridCol w:w="109"/>
        <w:gridCol w:w="109"/>
        <w:gridCol w:w="109"/>
        <w:gridCol w:w="284"/>
        <w:gridCol w:w="284"/>
        <w:gridCol w:w="285"/>
        <w:gridCol w:w="139"/>
        <w:gridCol w:w="250"/>
        <w:gridCol w:w="938"/>
        <w:gridCol w:w="139"/>
        <w:gridCol w:w="109"/>
        <w:gridCol w:w="109"/>
        <w:gridCol w:w="109"/>
        <w:gridCol w:w="196"/>
        <w:gridCol w:w="736"/>
        <w:gridCol w:w="109"/>
        <w:gridCol w:w="109"/>
        <w:gridCol w:w="109"/>
        <w:gridCol w:w="109"/>
        <w:gridCol w:w="196"/>
        <w:gridCol w:w="721"/>
        <w:gridCol w:w="109"/>
        <w:gridCol w:w="109"/>
        <w:gridCol w:w="109"/>
        <w:gridCol w:w="109"/>
        <w:gridCol w:w="276"/>
        <w:gridCol w:w="280"/>
        <w:gridCol w:w="256"/>
        <w:gridCol w:w="154"/>
      </w:tblGrid>
      <w:tr>
        <w:trPr/>
        <w:tc>
          <w:tcPr>
            <w:tcW w:w="106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75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4"/>
            <w:tcBorders/>
            <w:shd w:fill="auto" w:val="clea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9" w:type="dxa"/>
            <w:gridSpan w:val="10"/>
            <w:tcBorders/>
            <w:shd w:fill="auto" w:val="clea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331,725 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Lease portfolio balance</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140,205 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Change in same store revenue</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revenue calculation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The decrease in revenue for the three months ended March 31, 2023, as compared to 2022, were primarily due to decreases in same store sales of 6.6%, driven by decreases in rentals and fees revenues and merchandise sales of $16.6 million $15.5 million, respectively, primarily attributable to a decrease in our lease portfolio balance, and fewer customers electing early payout options. The segment lease portfolio balance as of March 31, 2023 decreased 3.2% compared to the balance as of March 31, 2022.</w:t>
      </w:r>
    </w:p>
    <w:p>
      <w:pPr>
        <w:pStyle w:val="TextBody"/>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decreased for the three months ended March 31, 2023, as compared to 2022, driven primarily by the decrease in revenues described above. Gross profit as a percentage of segment revenues was 68.4% for the three months ended March 31, 2023, as compared to 70.1% for the corresponding period in 2022, primarily due to mix-shift changes between lease merchandise product categories.</w:t>
      </w:r>
    </w:p>
    <w:p>
      <w:pPr>
        <w:pStyle w:val="TextBody"/>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as a percentage of segment revenues was 14.2% for the three months ended March 31, 2023, compared to 19.3% for the corresponding period in 2022. The decrease in operating margin for the three months ended March 31, 2023, as compared to 2022, was primarily driven by decreases in revenues and gross profit described above, in addition to higher merchandise losses. Charge-offs in our Rent-A-Center Business lease-to-own stores due to customer stolen merchandise, expressed as a percentage of Rent-A-Center Business lease-to-own revenues, were approximately 4.8% for the three months ended March 31, 2023, compared to 3.9% for the corresponding period in 2022. Charge-offs in our Rent-A-Center Business lease-to-own stores due to other merchandise losses, expressed as a percentage of Rent-A-Center Business lease-to-own revenues, were approximately 1.4% for the three months ended March 31, 2023, compared to approximately 1.7% for the corresponding period in 2022. Other merchandise losses include unrepairable and missing merchandise, and loss/damage waiver claims.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Acima segment</w:t>
      </w:r>
    </w:p>
    <w:tbl>
      <w:tblPr>
        <w:tblW w:w="9078" w:type="dxa"/>
        <w:jc w:val="left"/>
        <w:tblInd w:w="0" w:type="dxa"/>
        <w:tblCellMar>
          <w:top w:w="28" w:type="dxa"/>
          <w:left w:w="28" w:type="dxa"/>
          <w:bottom w:w="28" w:type="dxa"/>
          <w:right w:w="28" w:type="dxa"/>
        </w:tblCellMar>
      </w:tblPr>
      <w:tblGrid>
        <w:gridCol w:w="803"/>
        <w:gridCol w:w="707"/>
        <w:gridCol w:w="709"/>
        <w:gridCol w:w="109"/>
        <w:gridCol w:w="109"/>
        <w:gridCol w:w="109"/>
        <w:gridCol w:w="109"/>
        <w:gridCol w:w="284"/>
        <w:gridCol w:w="284"/>
        <w:gridCol w:w="285"/>
        <w:gridCol w:w="139"/>
        <w:gridCol w:w="250"/>
        <w:gridCol w:w="938"/>
        <w:gridCol w:w="139"/>
        <w:gridCol w:w="109"/>
        <w:gridCol w:w="109"/>
        <w:gridCol w:w="109"/>
        <w:gridCol w:w="196"/>
        <w:gridCol w:w="736"/>
        <w:gridCol w:w="109"/>
        <w:gridCol w:w="109"/>
        <w:gridCol w:w="109"/>
        <w:gridCol w:w="109"/>
        <w:gridCol w:w="196"/>
        <w:gridCol w:w="811"/>
        <w:gridCol w:w="109"/>
        <w:gridCol w:w="109"/>
        <w:gridCol w:w="109"/>
        <w:gridCol w:w="109"/>
        <w:gridCol w:w="277"/>
        <w:gridCol w:w="279"/>
        <w:gridCol w:w="256"/>
        <w:gridCol w:w="154"/>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75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4"/>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9" w:type="dxa"/>
            <w:gridSpan w:val="10"/>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483,847 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155,144 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53,870 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461.1 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Gross merchandise volume</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348,175 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spacing w:lineRule="auto" w:line="288" w:before="120" w:after="283"/>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xml:space="preserve">. The decrease in revenues for the three months ended March 31, 2023, as compared to 2022, was primarily due to decreases in rentals and fees and merchandise sales of $61.3 million and $54.4 million, respectively. Decreases in revenue reflect lower durable goods demand, as a consequence of higher demand in prior years due to government stimulus programs, in addition to continued pressure on consumer discretionary income due to higher inflation. </w:t>
      </w:r>
    </w:p>
    <w:p>
      <w:pPr>
        <w:pStyle w:val="TextBody"/>
        <w:spacing w:lineRule="auto" w:line="288" w:before="120" w:after="283"/>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Gross profit as a percentage of segment revenues increased to 32.1% for the three months ended March 31, 2023, compared to 27.4% and for the corresponding period in 2022, primarily due to fewer customers executing early purchase options.</w:t>
      </w:r>
    </w:p>
    <w:p>
      <w:pPr>
        <w:pStyle w:val="TextBody"/>
        <w:spacing w:lineRule="auto" w:line="288" w:before="120" w:after="283"/>
        <w:jc w:val="both"/>
        <w:rPr/>
      </w:pPr>
      <w:r>
        <w:rPr>
          <w:rFonts w:ascii="Times New Roman;sans-serif" w:hAnsi="Times New Roman;sans-serif"/>
          <w:b w:val="false"/>
          <w:i/>
          <w:color w:val="000000"/>
          <w:sz w:val="20"/>
        </w:rPr>
        <w:t xml:space="preserve">Operating Profit. </w:t>
      </w:r>
      <w:r>
        <w:rPr>
          <w:rFonts w:ascii="Times New Roman;sans-serif" w:hAnsi="Times New Roman;sans-serif"/>
          <w:b w:val="false"/>
          <w:color w:val="000000"/>
          <w:sz w:val="20"/>
        </w:rPr>
        <w:t xml:space="preserve">Operating profit as a percentage of segment revenues increased to 11.1% for the three months ended March 31, 2023 compared to 1.6% for the three months ended March 31, 2022. Operating profit margin increased for the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ended March 31, 2023 as compared to the same period in 2022, primarily due to lower customer stolen merchandise losses of approximately $37.1 million, lower labor costs of approximately $7.3 million, and lower amortization of intangible assets of approximately $7.5 million, partially offset by lower revenues and gross profit described above. Charge-offs in our Acima locations due to customer stolen merchandise, expressed as a percentage of revenues, were approximately 8.9% for the three months ended March 31, 2023, compared to 12.6% for the three months ended March 31, 2022. Charge-offs in our Acima locations due to other merchandise losses, expressed as a percentage of revenues, were approximately 0.2% for the three months ended March 31, 2023, compared to 0.1% for the corresponding period in 2022. </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Mexico segment</w:t>
      </w:r>
    </w:p>
    <w:tbl>
      <w:tblPr>
        <w:tblW w:w="9317" w:type="dxa"/>
        <w:jc w:val="left"/>
        <w:tblInd w:w="0" w:type="dxa"/>
        <w:tblCellMar>
          <w:top w:w="28" w:type="dxa"/>
          <w:left w:w="28" w:type="dxa"/>
          <w:bottom w:w="28" w:type="dxa"/>
          <w:right w:w="28" w:type="dxa"/>
        </w:tblCellMar>
      </w:tblPr>
      <w:tblGrid>
        <w:gridCol w:w="1064"/>
        <w:gridCol w:w="937"/>
        <w:gridCol w:w="939"/>
        <w:gridCol w:w="109"/>
        <w:gridCol w:w="109"/>
        <w:gridCol w:w="109"/>
        <w:gridCol w:w="109"/>
        <w:gridCol w:w="284"/>
        <w:gridCol w:w="284"/>
        <w:gridCol w:w="285"/>
        <w:gridCol w:w="149"/>
        <w:gridCol w:w="269"/>
        <w:gridCol w:w="887"/>
        <w:gridCol w:w="149"/>
        <w:gridCol w:w="109"/>
        <w:gridCol w:w="109"/>
        <w:gridCol w:w="109"/>
        <w:gridCol w:w="196"/>
        <w:gridCol w:w="646"/>
        <w:gridCol w:w="109"/>
        <w:gridCol w:w="109"/>
        <w:gridCol w:w="109"/>
        <w:gridCol w:w="109"/>
        <w:gridCol w:w="196"/>
        <w:gridCol w:w="556"/>
        <w:gridCol w:w="109"/>
        <w:gridCol w:w="109"/>
        <w:gridCol w:w="109"/>
        <w:gridCol w:w="109"/>
        <w:gridCol w:w="269"/>
        <w:gridCol w:w="271"/>
        <w:gridCol w:w="301"/>
      </w:tblGrid>
      <w:tr>
        <w:trPr/>
        <w:tc>
          <w:tcPr>
            <w:tcW w:w="106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73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6"/>
            <w:tcBorders/>
            <w:shd w:fill="auto" w:val="clea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2356" w:type="dxa"/>
            <w:gridSpan w:val="12"/>
            <w:tcBorders/>
            <w:shd w:fill="auto" w:val="clea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Change in same store revenue</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Stores in same store revenue calculation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9"/>
        </w:rPr>
        <w:t>(1)</w:t>
      </w:r>
      <w:r>
        <w:rPr>
          <w:color w:val="000000"/>
        </w:rPr>
        <w:t xml:space="preserve"> </w:t>
      </w:r>
      <w:r>
        <w:rPr>
          <w:rFonts w:ascii="Times New Roman;sans-serif" w:hAnsi="Times New Roman;sans-serif"/>
          <w:b w:val="false"/>
          <w:color w:val="000000"/>
          <w:sz w:val="14"/>
        </w:rPr>
        <w:t>See Key Metrics described above for additional information</w:t>
      </w:r>
    </w:p>
    <w:p>
      <w:pPr>
        <w:pStyle w:val="TextBody"/>
        <w:spacing w:lineRule="auto" w:line="288" w:before="120" w:after="283"/>
        <w:jc w:val="both"/>
        <w:rPr/>
      </w:pPr>
      <w:r>
        <w:rPr>
          <w:rFonts w:ascii="Times New Roman;sans-serif" w:hAnsi="Times New Roman;sans-serif"/>
          <w:b w:val="false"/>
          <w:i/>
          <w:color w:val="000000"/>
          <w:sz w:val="20"/>
        </w:rPr>
        <w:t>Revenues.</w:t>
      </w:r>
      <w:r>
        <w:rPr>
          <w:color w:val="000000"/>
        </w:rPr>
        <w:t> </w:t>
      </w:r>
      <w:r>
        <w:rPr>
          <w:rFonts w:ascii="Times New Roman;sans-serif" w:hAnsi="Times New Roman;sans-serif"/>
          <w:b w:val="false"/>
          <w:color w:val="000000"/>
          <w:sz w:val="20"/>
        </w:rPr>
        <w:t>Revenues were positively impacted by exchange rate fluctuations of approximately $1.5 million for the three months ended March 31, 2023, as compared to the same period in 2022. On a constant currency basis, revenues for the three months ended March 31, 2023 increased approximately $0.2 million, compared to the corresponding period in 2022.</w:t>
      </w:r>
    </w:p>
    <w:p>
      <w:pPr>
        <w:pStyle w:val="TextBody"/>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was positively impacted by exchange rate fluctuations of approximately $1.1 million for the three months ended March 31, 2023, as compared to the same periods in 2022. On a constant currency basis, gross profit for the three months ended March 31, 2023 increased by approximately $0.2 million as compared to the same periods in 2022. Gross profit as a percentage of segment revenues was 71.1% for the three months ended March 31, 2023, compared to 70.7% for the corresponding periods in 2022.</w:t>
      </w:r>
    </w:p>
    <w:p>
      <w:pPr>
        <w:pStyle w:val="TextBody"/>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for the three months ended March 31, 2023 was minimally impacted by exchange rate fluctuations as compared to the same periods in 2022. Operating profit as a percentage of segment revenues decreased to 5.7% for the three months ended March 31, 2023, compared to 13.1% for the corresponding periods in 2022, primarily due to higher customer stolen merchandise losses.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Franchising segment</w:t>
      </w:r>
    </w:p>
    <w:tbl>
      <w:tblPr>
        <w:tblW w:w="8522" w:type="dxa"/>
        <w:jc w:val="left"/>
        <w:tblInd w:w="0" w:type="dxa"/>
        <w:tblCellMar>
          <w:top w:w="28" w:type="dxa"/>
          <w:left w:w="28" w:type="dxa"/>
          <w:bottom w:w="28" w:type="dxa"/>
          <w:right w:w="28" w:type="dxa"/>
        </w:tblCellMar>
      </w:tblPr>
      <w:tblGrid>
        <w:gridCol w:w="803"/>
        <w:gridCol w:w="707"/>
        <w:gridCol w:w="709"/>
        <w:gridCol w:w="109"/>
        <w:gridCol w:w="109"/>
        <w:gridCol w:w="109"/>
        <w:gridCol w:w="109"/>
        <w:gridCol w:w="284"/>
        <w:gridCol w:w="284"/>
        <w:gridCol w:w="285"/>
        <w:gridCol w:w="149"/>
        <w:gridCol w:w="269"/>
        <w:gridCol w:w="887"/>
        <w:gridCol w:w="149"/>
        <w:gridCol w:w="109"/>
        <w:gridCol w:w="109"/>
        <w:gridCol w:w="109"/>
        <w:gridCol w:w="196"/>
        <w:gridCol w:w="646"/>
        <w:gridCol w:w="109"/>
        <w:gridCol w:w="109"/>
        <w:gridCol w:w="109"/>
        <w:gridCol w:w="109"/>
        <w:gridCol w:w="196"/>
        <w:gridCol w:w="556"/>
        <w:gridCol w:w="109"/>
        <w:gridCol w:w="109"/>
        <w:gridCol w:w="109"/>
        <w:gridCol w:w="109"/>
        <w:gridCol w:w="233"/>
        <w:gridCol w:w="233"/>
        <w:gridCol w:w="301"/>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73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6"/>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2282" w:type="dxa"/>
            <w:gridSpan w:val="12"/>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 amounts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283"/>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Revenues increased for the three months ended March 31, 2023 compared to the corresponding period in 2022, primarily due to an increase of $4.3 million in merchandise purchases by franchisees.</w:t>
      </w:r>
    </w:p>
    <w:p>
      <w:pPr>
        <w:pStyle w:val="TextBody"/>
        <w:spacing w:lineRule="auto" w:line="288" w:before="120" w:after="283"/>
        <w:jc w:val="both"/>
        <w:rPr/>
      </w:pPr>
      <w:r>
        <w:rPr>
          <w:rFonts w:ascii="Times New Roman;sans-serif" w:hAnsi="Times New Roman;sans-serif"/>
          <w:b w:val="false"/>
          <w:i/>
          <w:color w:val="000000"/>
          <w:sz w:val="20"/>
        </w:rPr>
        <w:t>Gross Profit.</w:t>
      </w:r>
      <w:r>
        <w:rPr>
          <w:color w:val="000000"/>
        </w:rPr>
        <w:t> </w:t>
      </w:r>
      <w:r>
        <w:rPr>
          <w:rFonts w:ascii="Times New Roman;sans-serif" w:hAnsi="Times New Roman;sans-serif"/>
          <w:b w:val="false"/>
          <w:color w:val="000000"/>
          <w:sz w:val="20"/>
        </w:rPr>
        <w:t>Gross profit as a percentage of segment revenues was 23.5% for the three months ended March 31, 2023, compared to 28.3% for the corresponding period in 2022, primarily due to a higher allocation of merchandise sales compared to royalty and fee revenue.</w:t>
      </w:r>
    </w:p>
    <w:p>
      <w:pPr>
        <w:pStyle w:val="TextBody"/>
        <w:spacing w:lineRule="auto" w:line="288" w:before="120" w:after="283"/>
        <w:jc w:val="both"/>
        <w:rPr/>
      </w:pPr>
      <w:r>
        <w:rPr>
          <w:rFonts w:ascii="Times New Roman;sans-serif" w:hAnsi="Times New Roman;sans-serif"/>
          <w:b w:val="false"/>
          <w:i/>
          <w:color w:val="000000"/>
          <w:sz w:val="20"/>
        </w:rPr>
        <w:t>Operating Profit.</w:t>
      </w:r>
      <w:r>
        <w:rPr>
          <w:color w:val="000000"/>
        </w:rPr>
        <w:t> </w:t>
      </w:r>
      <w:r>
        <w:rPr>
          <w:rFonts w:ascii="Times New Roman;sans-serif" w:hAnsi="Times New Roman;sans-serif"/>
          <w:b w:val="false"/>
          <w:color w:val="000000"/>
          <w:sz w:val="20"/>
        </w:rPr>
        <w:t>Operating profit as a percentage of segment revenues was 16.0% for the three months ended March 31, 2023 compared to 18.3% for the corresponding period in 2022, primarily due to the decrease in gross profit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jc w:val="both"/>
        <w:rPr/>
      </w:pP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For the three months ended March 31, 2023, we generated $105.4 million in operating cash flow, and used cash in the amount of $42.0 million for debt repayments, $25.5 million for dividends and $9.5 million for capital expenditures. We ended the first quarter of 2023 with $171.7 million of cash and cash equivalents and outstanding indebtedness of $1.4 billion.</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pPr>
      <w:r>
        <w:rPr>
          <w:rFonts w:ascii="Times New Roman;sans-serif" w:hAnsi="Times New Roman;sans-serif"/>
          <w:b w:val="false"/>
          <w:i/>
          <w:color w:val="000000"/>
          <w:sz w:val="20"/>
        </w:rPr>
        <w:t>Analysis of Cash Flow.</w:t>
      </w:r>
      <w:r>
        <w:rPr>
          <w:color w:val="000000"/>
        </w:rPr>
        <w:t xml:space="preserve"> </w:t>
      </w:r>
      <w:r>
        <w:rPr>
          <w:rFonts w:ascii="Times New Roman;sans-serif" w:hAnsi="Times New Roman;sans-serif"/>
          <w:b w:val="false"/>
          <w:color w:val="000000"/>
          <w:sz w:val="20"/>
        </w:rPr>
        <w:t>Cash provided by operating activities decreased by $99.9 million to $105.4 million for the three months ended March 31, 2023, from $205.3 million in 2022, primarily due to an increase in inventory purchases partially offset by an increase in net earnings of approximately $51.6 million.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decreased to $9.6 million for the three months ended March 31, 2023, compared to $16.7 million in 2022, primarily due to lower investment in store-related assets in our Rent-A-Center Business segment, partially offset by additional investment in Corporate software assets for the three months ended March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$69.4 million for the three months ended March 31, 2023, compared to $201.3 million in 2022, primarily due to $130.1 million higher debt repayments made in the first quarter of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val="false"/>
          <w:i/>
          <w:color w:val="000000"/>
          <w:sz w:val="20"/>
        </w:rPr>
        <w:t>Liquidity Requirements</w:t>
      </w:r>
      <w:r>
        <w:rPr>
          <w:rFonts w:ascii="Times New Roman;sans-serif" w:hAnsi="Times New Roman;sans-serif"/>
          <w:b w:val="false"/>
          <w:color w:val="000000"/>
          <w:sz w:val="20"/>
        </w:rPr>
        <w:t>. Our primary liquidity requirements are for rental merchandise purchases. Other capital requirements include expenditures for property assets, and debt service. Our primary sources of liquidity have been cash provided by operations.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April 27, 2023, we had approximately $97.3 in cash on hand, and $397.1 million available under our ABL Credit Facility.</w:t>
      </w:r>
    </w:p>
    <w:p>
      <w:pPr>
        <w:pStyle w:val="TextBody"/>
        <w:spacing w:lineRule="auto" w:line="288" w:before="120" w:after="283"/>
        <w:jc w:val="both"/>
        <w:rPr/>
      </w:pPr>
      <w:r>
        <w:rPr>
          <w:rFonts w:ascii="Times New Roman;sans-serif" w:hAnsi="Times New Roman;sans-serif"/>
          <w:b w:val="false"/>
          <w:i/>
          <w:color w:val="000000"/>
          <w:sz w:val="20"/>
        </w:rPr>
        <w:t>Deferred Taxes.</w:t>
      </w:r>
      <w:r>
        <w:rPr>
          <w:color w:val="000000"/>
        </w:rPr>
        <w:t xml:space="preserve"> </w:t>
      </w:r>
      <w:r>
        <w:rPr>
          <w:rFonts w:ascii="Times New Roman;sans-serif" w:hAnsi="Times New Roman;sans-serif"/>
          <w:b w:val="false"/>
          <w:color w:val="000000"/>
          <w:sz w:val="20"/>
        </w:rPr>
        <w:t>Certain federal tax legislation enacted during the period 2009 to 2017 permitted bonus first-year depreciation deductions ranging from 50% 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$298 million for us in 2022. We estimate the remaining tax deferral associated with bonus depreciation from these Acts is approximately $380 million at December 31, 2022, of which approximately 80%, or $303 million, will reverse in 2023, and the majority of the remainder will reverse between 2024 and 2025.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val="false"/>
          <w:i/>
          <w:color w:val="000000"/>
          <w:sz w:val="20"/>
        </w:rPr>
        <w:t>Merchandise Losses</w:t>
      </w:r>
      <w:r>
        <w:rPr>
          <w:rFonts w:ascii="Times New Roman;sans-serif" w:hAnsi="Times New Roman;sans-serif"/>
          <w:b w:val="false"/>
          <w:color w:val="000000"/>
          <w:sz w:val="20"/>
        </w:rPr>
        <w:t>. Merchandise losses consist of the following:</w:t>
      </w:r>
    </w:p>
    <w:tbl>
      <w:tblPr>
        <w:tblW w:w="6638" w:type="dxa"/>
        <w:jc w:val="left"/>
        <w:tblInd w:w="0" w:type="dxa"/>
        <w:tblCellMar>
          <w:top w:w="28" w:type="dxa"/>
          <w:left w:w="28" w:type="dxa"/>
          <w:bottom w:w="28" w:type="dxa"/>
          <w:right w:w="28" w:type="dxa"/>
        </w:tblCellMar>
      </w:tblPr>
      <w:tblGrid>
        <w:gridCol w:w="907"/>
        <w:gridCol w:w="797"/>
        <w:gridCol w:w="801"/>
        <w:gridCol w:w="109"/>
        <w:gridCol w:w="109"/>
        <w:gridCol w:w="207"/>
        <w:gridCol w:w="207"/>
        <w:gridCol w:w="402"/>
        <w:gridCol w:w="1374"/>
        <w:gridCol w:w="207"/>
        <w:gridCol w:w="109"/>
        <w:gridCol w:w="109"/>
        <w:gridCol w:w="109"/>
        <w:gridCol w:w="211"/>
        <w:gridCol w:w="826"/>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stolen merchandise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merchandise losses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merchandise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Arial;sans-serif" w:hAnsi="Arial;sans-serif"/>
          <w:b w:val="false"/>
          <w:color w:val="000000"/>
          <w:sz w:val="9"/>
        </w:rPr>
        <w:t>(1)</w:t>
      </w:r>
      <w:r>
        <w:rPr>
          <w:rFonts w:ascii="Times New Roman;sans-serif" w:hAnsi="Times New Roman;sans-serif"/>
          <w:b w:val="false"/>
          <w:color w:val="000000"/>
          <w:sz w:val="14"/>
        </w:rPr>
        <w:t>Other merchandise losses include unrepairable and missing merchandise, and loss/damage waiver claims.</w:t>
      </w:r>
    </w:p>
    <w:p>
      <w:pPr>
        <w:pStyle w:val="TextBody"/>
        <w:spacing w:lineRule="auto" w:line="288" w:before="120" w:after="283"/>
        <w:jc w:val="both"/>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We make capital expenditures in order to maintain our existing operations, acquire new capital assets in new and acquired stores and invest in information technology. We spent $9.5 million and $16.4 million on capital expenditures during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val="false"/>
          <w:i/>
          <w:color w:val="000000"/>
          <w:sz w:val="20"/>
        </w:rPr>
        <w:t>Acquisitions and New Location Openings.</w:t>
      </w:r>
      <w:r>
        <w:rPr>
          <w:color w:val="000000"/>
        </w:rPr>
        <w:t xml:space="preserve"> </w:t>
      </w:r>
      <w:r>
        <w:rPr>
          <w:rFonts w:ascii="Times New Roman;sans-serif" w:hAnsi="Times New Roman;sans-serif"/>
          <w:b w:val="false"/>
          <w:color w:val="000000"/>
          <w:sz w:val="20"/>
        </w:rPr>
        <w:t>During the first three months of 2023, we acquired one lease-to-own store location and customer accounts for an aggregate purchase price of approximately $39.0 thousand. The store location was closed upon acquisition and consolidated into existing store operations in our Rent-A-Center Business segment.</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store location activity for the three-month period ended March 31, 2023 for our Rent-A-Center Business, Mexico and Franchising operating segments.</w:t>
      </w:r>
    </w:p>
    <w:tbl>
      <w:tblPr>
        <w:tblW w:w="10205" w:type="dxa"/>
        <w:jc w:val="left"/>
        <w:tblInd w:w="0" w:type="dxa"/>
        <w:tblCellMar>
          <w:top w:w="28" w:type="dxa"/>
          <w:left w:w="28" w:type="dxa"/>
          <w:bottom w:w="28" w:type="dxa"/>
          <w:right w:w="28" w:type="dxa"/>
        </w:tblCellMar>
      </w:tblPr>
      <w:tblGrid>
        <w:gridCol w:w="1831"/>
        <w:gridCol w:w="1610"/>
        <w:gridCol w:w="1616"/>
        <w:gridCol w:w="528"/>
        <w:gridCol w:w="904"/>
        <w:gridCol w:w="274"/>
        <w:gridCol w:w="109"/>
        <w:gridCol w:w="109"/>
        <w:gridCol w:w="109"/>
        <w:gridCol w:w="211"/>
        <w:gridCol w:w="406"/>
        <w:gridCol w:w="109"/>
        <w:gridCol w:w="109"/>
        <w:gridCol w:w="109"/>
        <w:gridCol w:w="109"/>
        <w:gridCol w:w="279"/>
        <w:gridCol w:w="537"/>
        <w:gridCol w:w="145"/>
        <w:gridCol w:w="109"/>
        <w:gridCol w:w="109"/>
        <w:gridCol w:w="109"/>
        <w:gridCol w:w="227"/>
        <w:gridCol w:w="389"/>
        <w:gridCol w:w="158"/>
      </w:tblGrid>
      <w:tr>
        <w:trPr/>
        <w:tc>
          <w:tcPr>
            <w:tcW w:w="1831"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0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Rent-A-Center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beginning of period</w:t>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location openings</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shd w:fill="auto" w:val="clear"/>
            <w:vAlign w:val="center"/>
          </w:tcPr>
          <w:p>
            <w:pPr>
              <w:pStyle w:val="TableContents"/>
              <w:spacing w:before="0" w:after="283"/>
              <w:rPr>
                <w:sz w:val="4"/>
                <w:szCs w:val="4"/>
              </w:rPr>
            </w:pPr>
            <w:r>
              <w:rPr>
                <w:sz w:val="4"/>
                <w:szCs w:val="4"/>
              </w:rPr>
            </w:r>
          </w:p>
        </w:tc>
      </w:tr>
      <w:tr>
        <w:trPr/>
        <w:tc>
          <w:tcPr>
            <w:tcW w:w="5057" w:type="dxa"/>
            <w:gridSpan w:val="3"/>
            <w:tcBorders/>
            <w:shd w:fill="auto" w:val="clear"/>
            <w:vAlign w:val="center"/>
          </w:tcPr>
          <w:p>
            <w:pPr>
              <w:pStyle w:val="TableContents"/>
              <w:spacing w:before="0" w:after="283"/>
              <w:rPr>
                <w:sz w:val="4"/>
                <w:szCs w:val="4"/>
              </w:rPr>
            </w:pPr>
            <w:r>
              <w:rPr>
                <w:sz w:val="4"/>
                <w:szCs w:val="4"/>
              </w:rPr>
            </w:r>
          </w:p>
        </w:tc>
        <w:tc>
          <w:tcPr>
            <w:tcW w:w="1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4" w:type="dxa"/>
            <w:gridSpan w:val="3"/>
            <w:tcBorders/>
            <w:shd w:fill="auto" w:val="cle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 locations</w:t>
            </w:r>
          </w:p>
        </w:tc>
        <w:tc>
          <w:tcPr>
            <w:tcW w:w="1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Merged with existing locations</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Sold or closed with no surviving location</w:t>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Locations at end of period</w:t>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Acquired locations closed and accounts merged with existing locations</w:t>
            </w:r>
          </w:p>
        </w:tc>
        <w:tc>
          <w:tcPr>
            <w:tcW w:w="14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Total approximate purchase price of acquired store</w:t>
            </w:r>
            <w:r>
              <w:rPr>
                <w:color w:val="000000"/>
              </w:rPr>
              <w:t xml:space="preserve"> </w:t>
            </w:r>
            <w:r>
              <w:rPr>
                <w:rFonts w:ascii="Times New Roman;sans-serif" w:hAnsi="Times New Roman;sans-serif"/>
                <w:b w:val="false"/>
                <w:i/>
                <w:color w:val="000000"/>
                <w:sz w:val="20"/>
              </w:rPr>
              <w:t>(in thousands)</w:t>
            </w:r>
          </w:p>
        </w:tc>
        <w:tc>
          <w:tcPr>
            <w:tcW w:w="5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val="false"/>
          <w:i/>
          <w:color w:val="000000"/>
          <w:sz w:val="20"/>
        </w:rPr>
        <w:t>Senior Debt.</w:t>
      </w:r>
      <w:r>
        <w:rPr>
          <w:color w:val="000000"/>
        </w:rPr>
        <w:t xml:space="preserve"> </w:t>
      </w:r>
      <w:r>
        <w:rPr>
          <w:rFonts w:ascii="Times New Roman;sans-serif" w:hAnsi="Times New Roman;sans-serif"/>
          <w:b w:val="false"/>
          <w:color w:val="000000"/>
          <w:sz w:val="20"/>
        </w:rPr>
        <w:t>On February 17, 2021, we entered into a credit agreement with JPMorgan Chase Bank, N.A., as administrative agent, and lenders party 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August 10, 2022,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 The ABL Credit Facility bears interest at a fluctuating rate determined by reference to Term SOFR plus an applicable margin of 1.50% to 2.00%, which, as of April 27, 2023, was 6.936%.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2021, we also entered into a term loan credit agreement with JPMorgan Chase Bank, N.A., as administrative agent, and lenders party thereto, that provides for a seven-year $875 million senior secured term loan facility (as amended on September 21, 2021,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3.25%, subject to a 0.50%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Facility was fully drawn at the closing of the Acima Holdings acquisition to fund a portion of the Aggregate Cash Consideration, repay our outstanding indebtedness under the previous term loan facility, repay all outstanding indebtedness of Acima and its subsidiaries and pay certain fees and expenses incurred in connection with the Acima Holdings acquisition.</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April 27, 2023, we had outstanding borrowings of $817.6 million under the Term Loan Facility and available commitments of $397.1 million under our ABL Credit Facility, net of letters of credit.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6 of our condensed consolidated financial statements included in this Quarterly Report on Form 10-Q for additional information regarding our senior debt.</w:t>
      </w:r>
    </w:p>
    <w:p>
      <w:pPr>
        <w:pStyle w:val="TextBody"/>
        <w:spacing w:lineRule="auto" w:line="288" w:before="120" w:after="283"/>
        <w:jc w:val="both"/>
        <w:rPr/>
      </w:pPr>
      <w:r>
        <w:rPr>
          <w:rFonts w:ascii="Times New Roman;sans-serif" w:hAnsi="Times New Roman;sans-serif"/>
          <w:b w:val="false"/>
          <w:i/>
          <w:color w:val="000000"/>
          <w:sz w:val="20"/>
        </w:rPr>
        <w:t>Senior Notes</w:t>
      </w:r>
      <w:r>
        <w:rPr>
          <w:rFonts w:ascii="Times New Roman;sans-serif" w:hAnsi="Times New Roman;sans-serif"/>
          <w:b w:val="false"/>
          <w:color w:val="000000"/>
          <w:sz w:val="20"/>
        </w:rPr>
        <w:t>. On February 17, 2021, we issued $450.0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val="false"/>
          <w:i/>
          <w:color w:val="000000"/>
          <w:sz w:val="20"/>
        </w:rPr>
        <w:t>Operating Leases</w:t>
      </w:r>
      <w:r>
        <w:rPr>
          <w:rFonts w:ascii="Times New Roman;sans-serif" w:hAnsi="Times New Roman;sans-serif"/>
          <w:b w:val="false"/>
          <w:color w:val="000000"/>
          <w:sz w:val="20"/>
        </w:rPr>
        <w:t>. We lease space for all of our Rent-A-Center Business and Mexico stores under operating leases expiring at various times through 2038.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March 31, 2023, our total remaining obligation for existing store lease contracts was approximately $353.5 million.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March 31, 2023, our total remaining minimum obligation for existing Rent-A-Center Business vehicle lease contracts was approximately $1.4 million.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lease vehicles for all of our Mexico stores which have terms expiring at various times through 2026 with rental rates adjusted periodically for inflation. As of March 31, 2023, our total remaining obligation for existing Mexico vehicle lease contracts was approximately $2.8 million.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4 of our condensed consolidated financial statements included in this Quarterly Report on Form 10-Q for additional discussion of our store operating leases.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val="false"/>
          <w:i/>
          <w:color w:val="000000"/>
          <w:sz w:val="20"/>
        </w:rPr>
        <w:t>Uncertain Tax Position.</w:t>
      </w:r>
      <w:r>
        <w:rPr>
          <w:color w:val="000000"/>
        </w:rPr>
        <w:t xml:space="preserve"> </w:t>
      </w:r>
      <w:r>
        <w:rPr>
          <w:rFonts w:ascii="Times New Roman;sans-serif" w:hAnsi="Times New Roman;sans-serif"/>
          <w:b w:val="false"/>
          <w:color w:val="000000"/>
          <w:sz w:val="20"/>
        </w:rPr>
        <w:t>As of March 31, 2023, we have recorded $5.1 million in uncertain tax positions. Although these positions represent a potential future cash liability to us, the amounts and timing of such payments are uncertain.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Times New Roman;sans-serif" w:hAnsi="Times New Roman;sans-serif"/>
          <w:b w:val="false"/>
          <w:i/>
          <w:color w:val="000000"/>
          <w:sz w:val="20"/>
        </w:rPr>
        <w:t>Seasonality.</w:t>
      </w:r>
      <w:r>
        <w:rPr>
          <w:color w:val="000000"/>
        </w:rPr>
        <w:t xml:space="preserve"> </w:t>
      </w:r>
      <w:r>
        <w:rPr>
          <w:rFonts w:ascii="Times New Roman;sans-serif" w:hAnsi="Times New Roman;sans-serif"/>
          <w:b w:val="false"/>
          <w:color w:val="000000"/>
          <w:sz w:val="20"/>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standards setting bodies that we adopt as of the specified effective date. As of March 31, 2023, we believe the impact of any recently issued standards that are not yet effective are either not applicable to us at this time, or will not have a material impact on our consolidated financial statements upon adoption.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$450 million in Notes outstanding at a fixed interest rate of 6.375%. We also had $817.6 million outstanding under the Term Loan Facility at interest rates indexed to the Eurodollar rate or the prime rate and $90.0 million outstanding under our ABL Credit Facility at interest rates indexed to Term SOFR. Carrying value approximates fair value for such indebtedness. Based on our overall interest rate exposure at March 31, 2023, a hypothetical 1.0% increase or decrease in market interest rates would have the effect of causing an additional $9.2 million additional annualized pre-tax charge or credit to our condensed consolidated statement of operations. We have not entered into any interest rate swap agreements as of March 31, 2023.</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Controls and Procedures.</w:t>
      </w:r>
    </w:p>
    <w:p>
      <w:pPr>
        <w:pStyle w:val="TextBody"/>
        <w:spacing w:lineRule="auto" w:line="288" w:before="120" w:after="283"/>
        <w:jc w:val="both"/>
        <w:rPr/>
      </w:pPr>
      <w:r>
        <w:rPr>
          <w:rFonts w:ascii="Times New Roman;sans-serif" w:hAnsi="Times New Roman;sans-serif"/>
          <w:b w:val="false"/>
          <w:i/>
          <w:color w:val="000000"/>
          <w:sz w:val="20"/>
        </w:rPr>
        <w:t>Disclosure Controls and Procedures</w:t>
      </w:r>
      <w:r>
        <w:rPr>
          <w:rFonts w:ascii="Times New Roman;sans-serif" w:hAnsi="Times New Roman;sans-serif"/>
          <w:b w:val="false"/>
          <w:color w:val="000000"/>
          <w:sz w:val="20"/>
        </w:rPr>
        <w:t>. 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March 31, 2023, our disclosure controls and procedures (as defined in Rules 13a–15(e) and 15d–15(e) under the Securities Exchange Act of 1934) were effective.</w:t>
      </w:r>
    </w:p>
    <w:p>
      <w:pPr>
        <w:pStyle w:val="TextBody"/>
        <w:spacing w:lineRule="auto" w:line="288" w:before="120" w:after="283"/>
        <w:jc w:val="both"/>
        <w:rPr/>
      </w:pPr>
      <w:r>
        <w:rPr>
          <w:rFonts w:ascii="Times New Roman;sans-serif" w:hAnsi="Times New Roman;sans-serif"/>
          <w:b w:val="false"/>
          <w:i/>
          <w:color w:val="000000"/>
          <w:sz w:val="20"/>
        </w:rPr>
        <w:t>Changes in Internal Controls over Financial Reporting</w:t>
      </w:r>
      <w:r>
        <w:rPr>
          <w:rFonts w:ascii="Times New Roman;sans-serif" w:hAnsi="Times New Roman;sans-serif"/>
          <w:b w:val="false"/>
          <w:color w:val="000000"/>
          <w:sz w:val="20"/>
        </w:rPr>
        <w:t>. For the quarter ended March 31, 2023,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12 of our condensed consolidated financial statements included in this Quarterly Report on Form 10-Q for additional discussion of certain of our legal proceedings.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Item 1A of Part 1, “Risk Factors” of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pPr>
      <w:r>
        <w:rPr>
          <w:rFonts w:ascii="Times New Roman;sans-serif" w:hAnsi="Times New Roman;sans-serif"/>
          <w:b/>
          <w:color w:val="000000"/>
          <w:sz w:val="20"/>
        </w:rPr>
        <w:t>Item 6.</w:t>
      </w:r>
      <w:r>
        <w:rPr>
          <w:color w:val="000000"/>
        </w:rPr>
        <w:t> </w:t>
      </w:r>
      <w:r>
        <w:rPr>
          <w:rFonts w:ascii="Times New Roman;sans-serif" w:hAnsi="Times New Roman;sans-serif"/>
          <w:b/>
          <w:color w:val="000000"/>
          <w:sz w:val="20"/>
        </w:rPr>
        <w:t>Exhibits.</w:t>
      </w:r>
    </w:p>
    <w:tbl>
      <w:tblPr>
        <w:tblW w:w="10205" w:type="dxa"/>
        <w:jc w:val="left"/>
        <w:tblInd w:w="0" w:type="dxa"/>
        <w:tblCellMar>
          <w:top w:w="28" w:type="dxa"/>
          <w:left w:w="28" w:type="dxa"/>
          <w:bottom w:w="28" w:type="dxa"/>
          <w:right w:w="28" w:type="dxa"/>
        </w:tblCellMar>
      </w:tblPr>
      <w:tblGrid>
        <w:gridCol w:w="325"/>
        <w:gridCol w:w="286"/>
        <w:gridCol w:w="287"/>
        <w:gridCol w:w="2780"/>
        <w:gridCol w:w="2689"/>
        <w:gridCol w:w="3838"/>
      </w:tblGrid>
      <w:tr>
        <w:trPr/>
        <w:tc>
          <w:tcPr>
            <w:tcW w:w="32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38" w:type="dxa"/>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
              <w:r>
                <w:rPr>
                  <w:rStyle w:val="InternetLink"/>
                </w:rPr>
                <w:t xml:space="preserve">Certificate of Incorporation of </w:t>
              </w:r>
            </w:hyperlink>
            <w:hyperlink r:id="rId3">
              <w:r>
                <w:rPr>
                  <w:rStyle w:val="InternetLink"/>
                </w:rPr>
                <w:t>the registrant</w:t>
              </w:r>
            </w:hyperlink>
            <w:hyperlink r:id="rId4">
              <w:r>
                <w:rPr>
                  <w:rStyle w:val="InternetLink"/>
                </w:rPr>
                <w:t>, as amended (incorporated herein by reference to Exhibit 3.1 to the registrant's Current Report on Form 8-K dated as of December 31, 2002)</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Pr>
                <w:t xml:space="preserve">Certificate of Amendment to the Certificate of Incorporation of </w:t>
              </w:r>
            </w:hyperlink>
            <w:hyperlink r:id="rId6">
              <w:r>
                <w:rPr>
                  <w:rStyle w:val="InternetLink"/>
                </w:rPr>
                <w:t>the registrant</w:t>
              </w:r>
            </w:hyperlink>
            <w:hyperlink r:id="rId7">
              <w:r>
                <w:rPr>
                  <w:rStyle w:val="InternetLink"/>
                </w:rPr>
                <w:t>, dated May 19, 2004 (incorporated herein by reference to Exhibit 3.2 to the registrant's Quarterly Report on Form 10-Q for the quarter ended June 30, 2004)</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Pr>
                <w:t xml:space="preserve">Certificate of Amendment to the Certificate of Incorporation of </w:t>
              </w:r>
            </w:hyperlink>
            <w:hyperlink r:id="rId9">
              <w:r>
                <w:rPr>
                  <w:rStyle w:val="InternetLink"/>
                </w:rPr>
                <w:t>the registrant</w:t>
              </w:r>
            </w:hyperlink>
            <w:hyperlink r:id="rId10">
              <w:r>
                <w:rPr>
                  <w:rStyle w:val="InternetLink"/>
                </w:rPr>
                <w:t>, dated June 8, 2021 (incorporated herein by reference to Exhibit 3.1 to the registrant's Current Report on Form 8-K dated as of June 9, 2021)</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Pr>
                <w:t xml:space="preserve">Certificate of Amendment to the Certificate of Incorporation of </w:t>
              </w:r>
            </w:hyperlink>
            <w:hyperlink r:id="rId12">
              <w:r>
                <w:rPr>
                  <w:rStyle w:val="InternetLink"/>
                </w:rPr>
                <w:t>the registrant</w:t>
              </w:r>
            </w:hyperlink>
            <w:hyperlink r:id="rId13">
              <w:r>
                <w:rPr>
                  <w:rStyle w:val="InternetLink"/>
                </w:rPr>
                <w:t>, dated February 21,2023 (Incorporated herein by reference to Exhibit 3.1 to the registrant's Current Report on Form 8-K dated as of February 2</w:t>
              </w:r>
            </w:hyperlink>
            <w:hyperlink r:id="rId14">
              <w:r>
                <w:rPr>
                  <w:rStyle w:val="InternetLink"/>
                </w:rPr>
                <w:t>3</w:t>
              </w:r>
            </w:hyperlink>
            <w:hyperlink r:id="rId15">
              <w:r>
                <w:rPr>
                  <w:rStyle w:val="InternetLink"/>
                </w:rPr>
                <w:t>,</w:t>
              </w:r>
            </w:hyperlink>
            <w:hyperlink r:id="rId16">
              <w:r>
                <w:rPr>
                  <w:rStyle w:val="InternetLink"/>
                </w:rPr>
                <w:t xml:space="preserve"> </w:t>
              </w:r>
            </w:hyperlink>
            <w:hyperlink r:id="rId17">
              <w:r>
                <w:rPr>
                  <w:rStyle w:val="InternetLink"/>
                </w:rPr>
                <w:t>2023.)</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Pr>
                <w:t xml:space="preserve">Amended and Restated Bylaws of </w:t>
              </w:r>
            </w:hyperlink>
            <w:hyperlink r:id="rId19">
              <w:r>
                <w:rPr>
                  <w:rStyle w:val="InternetLink"/>
                </w:rPr>
                <w:t>the registrant</w:t>
              </w:r>
            </w:hyperlink>
            <w:hyperlink r:id="rId20">
              <w:r>
                <w:rPr>
                  <w:rStyle w:val="InternetLink"/>
                </w:rPr>
                <w:t xml:space="preserve"> (</w:t>
              </w:r>
            </w:hyperlink>
            <w:hyperlink r:id="rId21">
              <w:r>
                <w:rPr>
                  <w:rStyle w:val="InternetLink"/>
                </w:rPr>
                <w:t>i</w:t>
              </w:r>
            </w:hyperlink>
            <w:hyperlink r:id="rId22">
              <w:r>
                <w:rPr>
                  <w:rStyle w:val="InternetLink"/>
                </w:rPr>
                <w:t>ncorporated herein by reference to Exhibit 3.2 to the registrant's Current Report on Form 8-K dated as of February 2</w:t>
              </w:r>
            </w:hyperlink>
            <w:hyperlink r:id="rId23">
              <w:r>
                <w:rPr>
                  <w:rStyle w:val="InternetLink"/>
                </w:rPr>
                <w:t>3</w:t>
              </w:r>
            </w:hyperlink>
            <w:hyperlink r:id="rId24">
              <w:r>
                <w:rPr>
                  <w:rStyle w:val="InternetLink"/>
                </w:rPr>
                <w:t>,</w:t>
              </w:r>
            </w:hyperlink>
            <w:hyperlink r:id="rId25">
              <w:r>
                <w:rPr>
                  <w:rStyle w:val="InternetLink"/>
                </w:rPr>
                <w:t xml:space="preserve"> </w:t>
              </w:r>
            </w:hyperlink>
            <w:hyperlink r:id="rId26">
              <w:r>
                <w:rPr>
                  <w:rStyle w:val="InternetLink"/>
                </w:rPr>
                <w:t>2023.)</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Pr>
                <w:t xml:space="preserve">Certificate of Designations of Series D Preferred Stock of </w:t>
              </w:r>
            </w:hyperlink>
            <w:hyperlink r:id="rId28">
              <w:r>
                <w:rPr>
                  <w:rStyle w:val="InternetLink"/>
                </w:rPr>
                <w:t>the registrant</w:t>
              </w:r>
            </w:hyperlink>
            <w:hyperlink r:id="rId29">
              <w:r>
                <w:rPr>
                  <w:rStyle w:val="InternetLink"/>
                </w:rPr>
                <w:t xml:space="preserve"> (</w:t>
              </w:r>
            </w:hyperlink>
            <w:hyperlink r:id="rId30">
              <w:r>
                <w:rPr>
                  <w:rStyle w:val="InternetLink"/>
                </w:rPr>
                <w:t>i</w:t>
              </w:r>
            </w:hyperlink>
            <w:hyperlink r:id="rId31">
              <w:r>
                <w:rPr>
                  <w:rStyle w:val="InternetLink"/>
                </w:rPr>
                <w:t>ncorporated herein by reference to Exhibit 3.1 to the registrant's Current Report on Form 8-K dated as of March 29, 2017.)</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Pr>
                <w:t>Form of Certificate evidencing Common Stock (</w:t>
              </w:r>
            </w:hyperlink>
            <w:hyperlink r:id="rId33">
              <w:r>
                <w:rPr>
                  <w:rStyle w:val="InternetLink"/>
                </w:rPr>
                <w:t>i</w:t>
              </w:r>
            </w:hyperlink>
            <w:hyperlink r:id="rId34">
              <w:r>
                <w:rPr>
                  <w:rStyle w:val="InternetLink"/>
                </w:rPr>
                <w:t>ncorporated herein by reference to Exhibit 4.1 to the registrant's Current Report on Form 10-Q dated as of March 31, 2017.)</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Pr>
                <w:t>Indenture, dated as of February 17, 2021, by and between Radiant Funding SPV, LLC and Truist Bank (</w:t>
              </w:r>
            </w:hyperlink>
            <w:hyperlink r:id="rId36">
              <w:r>
                <w:rPr>
                  <w:rStyle w:val="InternetLink"/>
                </w:rPr>
                <w:t>i</w:t>
              </w:r>
            </w:hyperlink>
            <w:hyperlink r:id="rId37">
              <w:r>
                <w:rPr>
                  <w:rStyle w:val="InternetLink"/>
                </w:rPr>
                <w:t>ncorporated herein by reference to Exhibit 4.1 to the registrant's Current Report on Form 8-K dated as of February 17, 2021.)</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Pr>
                <w:t xml:space="preserve">Description of </w:t>
              </w:r>
            </w:hyperlink>
            <w:hyperlink r:id="rId39">
              <w:r>
                <w:rPr>
                  <w:rStyle w:val="InternetLink"/>
                </w:rPr>
                <w:t>the registrant</w:t>
              </w:r>
            </w:hyperlink>
            <w:hyperlink r:id="rId40">
              <w:r>
                <w:rPr>
                  <w:rStyle w:val="InternetLink"/>
                </w:rPr>
                <w:t>’s Common Stock (</w:t>
              </w:r>
            </w:hyperlink>
            <w:hyperlink r:id="rId41">
              <w:r>
                <w:rPr>
                  <w:rStyle w:val="InternetLink"/>
                </w:rPr>
                <w:t>i</w:t>
              </w:r>
            </w:hyperlink>
            <w:hyperlink r:id="rId42">
              <w:r>
                <w:rPr>
                  <w:rStyle w:val="InternetLink"/>
                </w:rPr>
                <w:t>ncorporated herein by reference to Exhibit 4.3 to the registrant’s Annual Report on Form 10-K for the year ended December 31, 2020.)</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11_q1x2023.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Mitchell E. Fadel</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12q1x2023.htm">
              <w:r>
                <w:rPr>
                  <w:rStyle w:val="InternetLink"/>
                  <w:rFonts w:ascii="Times New Roman;sans-serif" w:hAnsi="Times New Roman;sans-serif"/>
                  <w:b w:val="false"/>
                  <w:color w:val="0000FF"/>
                  <w:sz w:val="20"/>
                  <w:u w:val="single"/>
                </w:rPr>
                <w:t>Certification pursuant to Rule 13a-14(a) of the Securities Exchange Act of 1934 implementing Section 302 of the Sarbanes-Oxley Act of 2002 by Fahmi W. Karam</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21_q1x2023.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Mitchell E. Fadel</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22_q1x2023.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 by Fahmi W. Karam</w:t>
              </w:r>
            </w:hyperlink>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files because its XBRL tags are embedded within the inline XBRL document</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r>
      <w:tr>
        <w:trPr/>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896" w:type="dxa"/>
        <w:jc w:val="left"/>
        <w:tblInd w:w="0" w:type="dxa"/>
        <w:tblCellMar>
          <w:top w:w="28" w:type="dxa"/>
          <w:left w:w="28" w:type="dxa"/>
          <w:bottom w:w="28" w:type="dxa"/>
          <w:right w:w="28" w:type="dxa"/>
        </w:tblCellMar>
      </w:tblPr>
      <w:tblGrid>
        <w:gridCol w:w="124"/>
        <w:gridCol w:w="109"/>
        <w:gridCol w:w="109"/>
        <w:gridCol w:w="345"/>
        <w:gridCol w:w="345"/>
        <w:gridCol w:w="345"/>
        <w:gridCol w:w="736"/>
        <w:gridCol w:w="736"/>
        <w:gridCol w:w="10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UPBOUND GROUP,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FAHMI W. KARAM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Fahmi W. Karam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EVP, Chief Financial Officer</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w:t>
      </w:r>
      <w:r>
        <w:rPr>
          <w:rFonts w:ascii="Times New Roman;sans-serif" w:hAnsi="Times New Roman;sans-serif"/>
          <w:b w:val="false"/>
          <w:color w:val="000000"/>
          <w:sz w:val="24"/>
          <w:u w:val="single"/>
        </w:rPr>
        <w:t>xhibit 31.1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Mitchell E. Fadel, certify that: </w:t>
      </w:r>
    </w:p>
    <w:p>
      <w:pPr>
        <w:pStyle w:val="TextBody"/>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2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lineRule="auto" w:line="288" w:before="0" w:after="0"/>
        <w:rPr/>
      </w:pPr>
      <w:r>
        <w:rPr>
          <w:rFonts w:ascii="Times New Roman;sans-serif" w:hAnsi="Times New Roman;sans-serif"/>
          <w:b w:val="false"/>
          <w:color w:val="000000"/>
          <w:sz w:val="20"/>
          <w:u w:val="single"/>
        </w:rPr>
        <w:t>/s/ Mitchell E. Fadel</w:t>
      </w: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Mitchell E. Fadel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w:t>
      </w:r>
      <w:r>
        <w:rPr>
          <w:rFonts w:ascii="Times New Roman;sans-serif" w:hAnsi="Times New Roman;sans-serif"/>
          <w:b w:val="false"/>
          <w:color w:val="000000"/>
          <w:sz w:val="24"/>
          <w:u w:val="single"/>
        </w:rPr>
        <w:t>xhibit 31.2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Fahmi W. Karam, certify that: </w:t>
      </w:r>
    </w:p>
    <w:p>
      <w:pPr>
        <w:pStyle w:val="TextBody"/>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Upbound Group, Inc.; </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2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Fahmi W. Karam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Fahmi W. Karam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w:t>
      </w:r>
      <w:r>
        <w:rPr>
          <w:rFonts w:ascii="Times New Roman;sans-serif" w:hAnsi="Times New Roman;sans-serif"/>
          <w:b w:val="false"/>
          <w:color w:val="000000"/>
          <w:sz w:val="24"/>
          <w:u w:val="single"/>
        </w:rPr>
        <w:t>xhibit 32.1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spacing w:before="0" w:after="0"/>
        <w:rPr/>
      </w:pPr>
      <w:r>
        <w:rPr/>
      </w:r>
    </w:p>
    <w:p>
      <w:pPr>
        <w:pStyle w:val="TextBody"/>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March 31, 2023,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Mitchell E. Fadel, Chief Executive Officer and Director of the Company, hereby certify, pursuant to 18 U.S.C. Section 1350, as adopted pursuant to Section 906 of the Sarbanes-Oxley Act of 2002, that, to the best of my knowledge: </w:t>
      </w:r>
    </w:p>
    <w:p>
      <w:pPr>
        <w:pStyle w:val="TextBody"/>
        <w:spacing w:before="0" w:after="0"/>
        <w:jc w:val="both"/>
        <w:rPr/>
      </w:pPr>
      <w:r>
        <w:rPr/>
      </w:r>
    </w:p>
    <w:p>
      <w:pPr>
        <w:pStyle w:val="TextBody"/>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spacing w:before="0" w:after="0"/>
        <w:ind w:left="0" w:right="0" w:hanging="720"/>
        <w:jc w:val="both"/>
        <w:rPr/>
      </w:pPr>
      <w:r>
        <w:rPr/>
      </w:r>
    </w:p>
    <w:p>
      <w:pPr>
        <w:pStyle w:val="TextBody"/>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spacing w:before="0" w:after="0"/>
        <w:ind w:left="0" w:right="0" w:hanging="720"/>
        <w:jc w:val="both"/>
        <w:rPr/>
      </w:pPr>
      <w:r>
        <w:rPr/>
      </w:r>
    </w:p>
    <w:p>
      <w:pPr>
        <w:pStyle w:val="TextBody"/>
        <w:spacing w:before="0" w:after="0"/>
        <w:jc w:val="both"/>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4"/>
          <w:u w:val="single"/>
        </w:rPr>
        <w:t>/s/ Mitchell E. Fadel</w:t>
      </w:r>
      <w:r>
        <w:rPr>
          <w:color w:val="000000"/>
        </w:rPr>
        <w:t>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Mitchell E. Fadel</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Chief Executive Officer and Director</w:t>
      </w:r>
    </w:p>
    <w:p>
      <w:pPr>
        <w:pStyle w:val="TextBody"/>
        <w:spacing w:before="0" w:after="0"/>
        <w:ind w:left="0" w:right="0" w:firstLine="6300"/>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May 4, 2023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w:t>
      </w:r>
      <w:r>
        <w:rPr>
          <w:rFonts w:ascii="Times New Roman;sans-serif" w:hAnsi="Times New Roman;sans-serif"/>
          <w:b w:val="false"/>
          <w:color w:val="000000"/>
          <w:sz w:val="24"/>
          <w:u w:val="single"/>
        </w:rPr>
        <w:t>xhibit 32.2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CERTIFICATION PURSUANT TO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18 U.S.C. SECTION 1350,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AS ADOPTED PURSUANT TO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906 OF THE SARBANES-OXLEY ACT OF 2002</w:t>
      </w:r>
    </w:p>
    <w:p>
      <w:pPr>
        <w:pStyle w:val="TextBody"/>
        <w:spacing w:before="0" w:after="0"/>
        <w:rPr/>
      </w:pPr>
      <w:r>
        <w:rPr/>
      </w:r>
    </w:p>
    <w:p>
      <w:pPr>
        <w:pStyle w:val="TextBody"/>
        <w:spacing w:lineRule="auto" w:line="288" w:before="0" w:after="0"/>
        <w:jc w:val="both"/>
        <w:rPr/>
      </w:pPr>
      <w:r>
        <w:rPr>
          <w:color w:val="000000"/>
        </w:rPr>
        <w:t>    </w:t>
      </w:r>
      <w:r>
        <w:rPr>
          <w:rFonts w:ascii="Times New Roman;sans-serif" w:hAnsi="Times New Roman;sans-serif"/>
          <w:b w:val="false"/>
          <w:color w:val="000000"/>
          <w:sz w:val="24"/>
        </w:rPr>
        <w:t>In connection with the Quarterly Report on Form 10-Q of Upbound Group, Inc. (the "</w:t>
      </w:r>
      <w:r>
        <w:rPr>
          <w:rFonts w:ascii="Times New Roman;sans-serif" w:hAnsi="Times New Roman;sans-serif"/>
          <w:b/>
          <w:i/>
          <w:color w:val="000000"/>
          <w:sz w:val="24"/>
        </w:rPr>
        <w:t>Company</w:t>
      </w:r>
      <w:r>
        <w:rPr>
          <w:rFonts w:ascii="Times New Roman;sans-serif" w:hAnsi="Times New Roman;sans-serif"/>
          <w:b w:val="false"/>
          <w:color w:val="000000"/>
          <w:sz w:val="24"/>
        </w:rPr>
        <w:t>") for the period ended March 31, 2023, as filed with the Securities and Exchange Commission on the date hereof (the "</w:t>
      </w:r>
      <w:r>
        <w:rPr>
          <w:rFonts w:ascii="Times New Roman;sans-serif" w:hAnsi="Times New Roman;sans-serif"/>
          <w:b/>
          <w:i/>
          <w:color w:val="000000"/>
          <w:sz w:val="24"/>
        </w:rPr>
        <w:t>Report</w:t>
      </w:r>
      <w:r>
        <w:rPr>
          <w:rFonts w:ascii="Times New Roman;sans-serif" w:hAnsi="Times New Roman;sans-serif"/>
          <w:b w:val="false"/>
          <w:color w:val="000000"/>
          <w:sz w:val="24"/>
        </w:rPr>
        <w:t xml:space="preserve">"), I, Fahmi W. Karam, Chief Financial Officer of the Company, hereby certify, pursuant to 18 U.S.C. Section 1350, as adopted pursuant to Section 906 of the Sarbanes-Oxley Act of 2002, that, to the best of my knowledge: </w:t>
      </w:r>
    </w:p>
    <w:p>
      <w:pPr>
        <w:pStyle w:val="TextBody"/>
        <w:spacing w:before="0" w:after="0"/>
        <w:jc w:val="both"/>
        <w:rPr/>
      </w:pPr>
      <w:r>
        <w:rPr/>
      </w:r>
    </w:p>
    <w:p>
      <w:pPr>
        <w:pStyle w:val="TextBody"/>
        <w:spacing w:lineRule="auto" w:line="288" w:before="0" w:after="0"/>
        <w:ind w:left="0" w:right="0" w:hanging="720"/>
        <w:jc w:val="both"/>
        <w:rPr/>
      </w:pPr>
      <w:r>
        <w:rPr>
          <w:rFonts w:ascii="Times New Roman;sans-serif" w:hAnsi="Times New Roman;sans-serif"/>
          <w:b w:val="false"/>
          <w:color w:val="000000"/>
          <w:sz w:val="24"/>
        </w:rPr>
        <w:t xml:space="preserve">(1) </w:t>
      </w:r>
      <w:r>
        <w:rPr>
          <w:color w:val="000000"/>
        </w:rPr>
        <w:t>    </w:t>
      </w:r>
      <w:r>
        <w:rPr>
          <w:rFonts w:ascii="Times New Roman;sans-serif" w:hAnsi="Times New Roman;sans-serif"/>
          <w:b w:val="false"/>
          <w:color w:val="000000"/>
          <w:sz w:val="24"/>
        </w:rPr>
        <w:t xml:space="preserve">The Report fully complies with the requirements of Section 13(a) or 15(d) of the Securities Exchange Act of 1934; and </w:t>
      </w:r>
    </w:p>
    <w:p>
      <w:pPr>
        <w:pStyle w:val="TextBody"/>
        <w:spacing w:before="0" w:after="0"/>
        <w:ind w:left="0" w:right="0" w:hanging="720"/>
        <w:jc w:val="both"/>
        <w:rPr/>
      </w:pPr>
      <w:r>
        <w:rPr/>
      </w:r>
    </w:p>
    <w:p>
      <w:pPr>
        <w:pStyle w:val="TextBody"/>
        <w:spacing w:lineRule="auto" w:line="288" w:before="0" w:after="0"/>
        <w:ind w:left="0" w:right="0" w:hanging="720"/>
        <w:jc w:val="both"/>
        <w:rPr/>
      </w:pPr>
      <w:r>
        <w:rPr>
          <w:rFonts w:ascii="Times New Roman;sans-serif" w:hAnsi="Times New Roman;sans-serif"/>
          <w:b w:val="false"/>
          <w:color w:val="000000"/>
          <w:sz w:val="24"/>
        </w:rPr>
        <w:t xml:space="preserve">(2) </w:t>
      </w:r>
      <w:r>
        <w:rPr>
          <w:color w:val="000000"/>
        </w:rPr>
        <w:t>    </w:t>
      </w:r>
      <w:r>
        <w:rPr>
          <w:rFonts w:ascii="Times New Roman;sans-serif" w:hAnsi="Times New Roman;sans-serif"/>
          <w:b w:val="false"/>
          <w:color w:val="000000"/>
          <w:sz w:val="24"/>
        </w:rPr>
        <w:t xml:space="preserve">The information contained in the Report fairly presents, in all material respects, the financial condition and results of operations of the Company. </w:t>
      </w:r>
    </w:p>
    <w:p>
      <w:pPr>
        <w:pStyle w:val="TextBody"/>
        <w:spacing w:before="0" w:after="0"/>
        <w:ind w:left="0" w:right="0" w:hanging="720"/>
        <w:jc w:val="both"/>
        <w:rPr/>
      </w:pPr>
      <w:r>
        <w:rPr/>
      </w:r>
    </w:p>
    <w:p>
      <w:pPr>
        <w:pStyle w:val="TextBody"/>
        <w:spacing w:before="0" w:after="0"/>
        <w:jc w:val="both"/>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4"/>
          <w:u w:val="single"/>
        </w:rPr>
        <w:t>/s/ Fahmi W. Karam</w:t>
      </w:r>
      <w:r>
        <w:rPr>
          <w:color w:val="000000"/>
        </w:rPr>
        <w:t>            </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Fahmi W. Karam</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Chief Financial Officer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Dated: May 4, 2023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4"/>
        </w:rPr>
        <w:t>A signed original of this written statement required by Section 906 has been provided to Upbound Group, Inc. and will be retained by Upbound Group, Inc. and furnished to the Securities and Exchange Commission or its staff upon request.</w:t>
      </w:r>
      <w:r>
        <w:rPr>
          <w:color w:val="000000"/>
        </w:rPr>
        <w:t xml:space="preserve"> </w:t>
      </w:r>
      <w:r>
        <w:rPr>
          <w:rFonts w:ascii="Times New Roman;sans-serif" w:hAnsi="Times New Roman;sans-serif"/>
          <w:b w:val="false"/>
          <w:color w:val="000000"/>
          <w:sz w:val="24"/>
        </w:rPr>
        <w:t>The foregoing certification is being furnished solely pursuant to 18 U.S.C. Section 1350 and is not being filed as part of the Report or as a separate disclosure document.</w:t>
      </w:r>
    </w:p>
    <w:p>
      <w:pPr>
        <w:pStyle w:val="TextBody"/>
        <w:spacing w:before="0" w:after="0"/>
        <w:jc w:val="both"/>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33036/000095013402016210/d02215exv3w1.txt" TargetMode="External"/><Relationship Id="rId3" Type="http://schemas.openxmlformats.org/officeDocument/2006/relationships/hyperlink" Target="http://www.sec.gov/Archives/edgar/data/933036/000095013402016210/d02215exv3w1.txt" TargetMode="External"/><Relationship Id="rId4" Type="http://schemas.openxmlformats.org/officeDocument/2006/relationships/hyperlink" Target="http://www.sec.gov/Archives/edgar/data/933036/000095013402016210/d02215exv3w1.txt" TargetMode="External"/><Relationship Id="rId5" Type="http://schemas.openxmlformats.org/officeDocument/2006/relationships/hyperlink" Target="http://www.sec.gov/Archives/edgar/data/933036/000095013404010948/d17068exv3w2.txt" TargetMode="External"/><Relationship Id="rId6" Type="http://schemas.openxmlformats.org/officeDocument/2006/relationships/hyperlink" Target="http://www.sec.gov/Archives/edgar/data/933036/000095013402016210/d02215exv3w1.txt" TargetMode="External"/><Relationship Id="rId7" Type="http://schemas.openxmlformats.org/officeDocument/2006/relationships/hyperlink" Target="http://www.sec.gov/Archives/edgar/data/933036/000095013404010948/d17068exv3w2.txt" TargetMode="External"/><Relationship Id="rId8" Type="http://schemas.openxmlformats.org/officeDocument/2006/relationships/hyperlink" Target="http://www.sec.gov/Archives/edgar/data/933036/000110465921078652/tm2119045d1_ex3-1.htm" TargetMode="External"/><Relationship Id="rId9" Type="http://schemas.openxmlformats.org/officeDocument/2006/relationships/hyperlink" Target="http://www.sec.gov/Archives/edgar/data/933036/000095013402016210/d02215exv3w1.txt" TargetMode="External"/><Relationship Id="rId10" Type="http://schemas.openxmlformats.org/officeDocument/2006/relationships/hyperlink" Target="http://www.sec.gov/Archives/edgar/data/933036/000110465921078652/tm2119045d1_ex3-1.htm" TargetMode="External"/><Relationship Id="rId11" Type="http://schemas.openxmlformats.org/officeDocument/2006/relationships/hyperlink" Target="http://www.sec.gov/Archives/edgar/data/933036/000093303623000044/ex-31_certificateofamendme.htm" TargetMode="External"/><Relationship Id="rId12" Type="http://schemas.openxmlformats.org/officeDocument/2006/relationships/hyperlink" Target="http://www.sec.gov/Archives/edgar/data/933036/000095013402016210/d02215exv3w1.txt" TargetMode="External"/><Relationship Id="rId13" Type="http://schemas.openxmlformats.org/officeDocument/2006/relationships/hyperlink" Target="http://www.sec.gov/Archives/edgar/data/933036/000093303623000044/ex-31_certificateofamendme.htm" TargetMode="External"/><Relationship Id="rId14" Type="http://schemas.openxmlformats.org/officeDocument/2006/relationships/hyperlink" Target="http://www.sec.gov/Archives/edgar/data/933036/000093303623000044/ex-31_certificateofamendme.htm" TargetMode="External"/><Relationship Id="rId15" Type="http://schemas.openxmlformats.org/officeDocument/2006/relationships/hyperlink" Target="http://www.sec.gov/Archives/edgar/data/933036/000093303623000044/ex-31_certificateofamendme.htm" TargetMode="External"/><Relationship Id="rId16" Type="http://schemas.openxmlformats.org/officeDocument/2006/relationships/hyperlink" Target="http://www.sec.gov/Archives/edgar/data/933036/000093303623000044/ex-31_certificateofamendme.htm" TargetMode="External"/><Relationship Id="rId17" Type="http://schemas.openxmlformats.org/officeDocument/2006/relationships/hyperlink" Target="http://www.sec.gov/Archives/edgar/data/933036/000093303623000044/ex-31_certificateofamendme.htm" TargetMode="External"/><Relationship Id="rId18" Type="http://schemas.openxmlformats.org/officeDocument/2006/relationships/hyperlink" Target="http://www.sec.gov/Archives/edgar/data/933036/000093303623000044/ex-32rentxaxcenterxbylaw.htm" TargetMode="External"/><Relationship Id="rId19" Type="http://schemas.openxmlformats.org/officeDocument/2006/relationships/hyperlink" Target="http://www.sec.gov/Archives/edgar/data/933036/000095013402016210/d02215exv3w1.txt" TargetMode="External"/><Relationship Id="rId20" Type="http://schemas.openxmlformats.org/officeDocument/2006/relationships/hyperlink" Target="http://www.sec.gov/Archives/edgar/data/933036/000093303623000044/ex-32rentxaxcenterxbylaw.htm" TargetMode="External"/><Relationship Id="rId21" Type="http://schemas.openxmlformats.org/officeDocument/2006/relationships/hyperlink" Target="http://www.sec.gov/Archives/edgar/data/933036/000093303623000044/ex-32rentxaxcenterxbylaw.htm" TargetMode="External"/><Relationship Id="rId22" Type="http://schemas.openxmlformats.org/officeDocument/2006/relationships/hyperlink" Target="http://www.sec.gov/Archives/edgar/data/933036/000093303623000044/ex-32rentxaxcenterxbylaw.htm" TargetMode="External"/><Relationship Id="rId23" Type="http://schemas.openxmlformats.org/officeDocument/2006/relationships/hyperlink" Target="http://www.sec.gov/Archives/edgar/data/933036/000093303623000044/ex-32rentxaxcenterxbylaw.htm" TargetMode="External"/><Relationship Id="rId24" Type="http://schemas.openxmlformats.org/officeDocument/2006/relationships/hyperlink" Target="http://www.sec.gov/Archives/edgar/data/933036/000093303623000044/ex-32rentxaxcenterxbylaw.htm" TargetMode="External"/><Relationship Id="rId25" Type="http://schemas.openxmlformats.org/officeDocument/2006/relationships/hyperlink" Target="http://www.sec.gov/Archives/edgar/data/933036/000093303623000044/ex-32rentxaxcenterxbylaw.htm" TargetMode="External"/><Relationship Id="rId26" Type="http://schemas.openxmlformats.org/officeDocument/2006/relationships/hyperlink" Target="http://www.sec.gov/Archives/edgar/data/933036/000093303623000044/ex-32rentxaxcenterxbylaw.htm" TargetMode="External"/><Relationship Id="rId27" Type="http://schemas.openxmlformats.org/officeDocument/2006/relationships/hyperlink" Target="http://www.sec.gov/Archives/edgar/data/933036/000093303617000022/exhibit31march282017america.htm" TargetMode="External"/><Relationship Id="rId28" Type="http://schemas.openxmlformats.org/officeDocument/2006/relationships/hyperlink" Target="http://www.sec.gov/Archives/edgar/data/933036/000095013402016210/d02215exv3w1.txt" TargetMode="External"/><Relationship Id="rId29" Type="http://schemas.openxmlformats.org/officeDocument/2006/relationships/hyperlink" Target="http://www.sec.gov/Archives/edgar/data/933036/000093303617000022/exhibit31march282017america.htm" TargetMode="External"/><Relationship Id="rId30" Type="http://schemas.openxmlformats.org/officeDocument/2006/relationships/hyperlink" Target="http://www.sec.gov/Archives/edgar/data/933036/000093303617000022/exhibit31march282017america.htm" TargetMode="External"/><Relationship Id="rId31" Type="http://schemas.openxmlformats.org/officeDocument/2006/relationships/hyperlink" Target="http://www.sec.gov/Archives/edgar/data/933036/000093303617000022/exhibit31march282017america.htm" TargetMode="External"/><Relationship Id="rId32" Type="http://schemas.openxmlformats.org/officeDocument/2006/relationships/hyperlink" Target="http://www.sec.gov/Archives/edgar/data/933036/000093303617000033/ex-41_q12017.htm" TargetMode="External"/><Relationship Id="rId33" Type="http://schemas.openxmlformats.org/officeDocument/2006/relationships/hyperlink" Target="http://www.sec.gov/Archives/edgar/data/933036/000093303617000033/ex-41_q12017.htm" TargetMode="External"/><Relationship Id="rId34" Type="http://schemas.openxmlformats.org/officeDocument/2006/relationships/hyperlink" Target="http://www.sec.gov/Archives/edgar/data/933036/000093303617000033/ex-41_q12017.htm" TargetMode="External"/><Relationship Id="rId35" Type="http://schemas.openxmlformats.org/officeDocument/2006/relationships/hyperlink" Target="http://www.sec.gov/Archives/edgar/data/933036/000110465921024846/tm216741d1_ex4-1.htm" TargetMode="External"/><Relationship Id="rId36" Type="http://schemas.openxmlformats.org/officeDocument/2006/relationships/hyperlink" Target="http://www.sec.gov/Archives/edgar/data/933036/000110465921024846/tm216741d1_ex4-1.htm" TargetMode="External"/><Relationship Id="rId37" Type="http://schemas.openxmlformats.org/officeDocument/2006/relationships/hyperlink" Target="http://www.sec.gov/Archives/edgar/data/933036/000110465921024846/tm216741d1_ex4-1.htm" TargetMode="External"/><Relationship Id="rId38" Type="http://schemas.openxmlformats.org/officeDocument/2006/relationships/hyperlink" Target="http://www.sec.gov/Archives/edgar/data/933036/000093303621000049/ex-43_q42020.htm" TargetMode="External"/><Relationship Id="rId39" Type="http://schemas.openxmlformats.org/officeDocument/2006/relationships/hyperlink" Target="http://www.sec.gov/Archives/edgar/data/933036/000095013402016210/d02215exv3w1.txt" TargetMode="External"/><Relationship Id="rId40" Type="http://schemas.openxmlformats.org/officeDocument/2006/relationships/hyperlink" Target="http://www.sec.gov/Archives/edgar/data/933036/000093303621000049/ex-43_q42020.htm" TargetMode="External"/><Relationship Id="rId41" Type="http://schemas.openxmlformats.org/officeDocument/2006/relationships/hyperlink" Target="http://www.sec.gov/Archives/edgar/data/933036/000093303621000049/ex-43_q42020.htm" TargetMode="External"/><Relationship Id="rId42" Type="http://schemas.openxmlformats.org/officeDocument/2006/relationships/hyperlink" Target="http://www.sec.gov/Archives/edgar/data/933036/000093303621000049/ex-43_q42020.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20516</Words>
  <CharactersWithSpaces>134552</CharactersWithSpaces>
  <Paragraphs>2095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