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8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ind w:left="214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60"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21"/>
          <w:szCs w:val="21"/>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35" w:lineRule="exact"/>
        <w:rPr>
          <w:sz w:val="24"/>
          <w:szCs w:val="24"/>
          <w:color w:val="auto"/>
        </w:rPr>
      </w:pPr>
    </w:p>
    <w:p>
      <w:pPr>
        <w:ind w:left="38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001-38047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Rent-A-Center, Inc.</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84" w:right="339" w:bottom="1440" w:gutter="0" w:footer="0" w:header="0"/>
        </w:sectPr>
      </w:pPr>
    </w:p>
    <w:p>
      <w:pPr>
        <w:spacing w:after="0" w:line="30"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45-0491516</w:t>
      </w:r>
    </w:p>
    <w:p>
      <w:pPr>
        <w:spacing w:after="0" w:line="50" w:lineRule="exact"/>
        <w:rPr>
          <w:sz w:val="24"/>
          <w:szCs w:val="24"/>
          <w:color w:val="auto"/>
        </w:rPr>
      </w:pPr>
    </w:p>
    <w:p>
      <w:pPr>
        <w:sectPr>
          <w:pgSz w:w="11900" w:h="16838" w:orient="portrait"/>
          <w:cols w:equalWidth="0" w:num="2">
            <w:col w:w="7300" w:space="720"/>
            <w:col w:w="3220"/>
          </w:cols>
          <w:pgMar w:left="320" w:top="1084" w:right="339" w:bottom="1440" w:gutter="0" w:footer="0" w:header="0"/>
          <w:type w:val="continuous"/>
        </w:sect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spacing w:after="0" w:line="30"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1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25" w:lineRule="exact"/>
        <w:rPr>
          <w:sz w:val="24"/>
          <w:szCs w:val="24"/>
          <w:color w:val="auto"/>
        </w:rPr>
      </w:pPr>
    </w:p>
    <w:p>
      <w:pPr>
        <w:sectPr>
          <w:pgSz w:w="11900" w:h="16838" w:orient="portrait"/>
          <w:cols w:equalWidth="0" w:num="2">
            <w:col w:w="7160" w:space="720"/>
            <w:col w:w="3360"/>
          </w:cols>
          <w:pgMar w:left="320" w:top="1084"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5501 Headquarters Drive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Plano, Texas 75024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of registrant’s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972-801-1100</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1084" w:right="339" w:bottom="1440" w:gutter="0" w:footer="0" w:header="0"/>
          <w:type w:val="continuous"/>
        </w:sectPr>
      </w:pPr>
    </w:p>
    <w:p>
      <w:pPr>
        <w:spacing w:after="0" w:line="50" w:lineRule="exact"/>
        <w:rPr>
          <w:sz w:val="24"/>
          <w:szCs w:val="24"/>
          <w:color w:val="auto"/>
        </w:rPr>
      </w:pPr>
    </w:p>
    <w:p>
      <w:pPr>
        <w:jc w:val="center"/>
        <w:ind w:left="2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220"/>
        <w:spacing w:after="0"/>
        <w:rPr>
          <w:sz w:val="20"/>
          <w:szCs w:val="20"/>
          <w:color w:val="auto"/>
        </w:rPr>
      </w:pPr>
      <w:r>
        <w:rPr>
          <w:rFonts w:ascii="Arial" w:cs="Arial" w:eastAsia="Arial" w:hAnsi="Arial"/>
          <w:sz w:val="16"/>
          <w:szCs w:val="16"/>
          <w:b w:val="1"/>
          <w:bCs w:val="1"/>
          <w:color w:val="auto"/>
        </w:rPr>
        <w:t>Common stock, $.01 par value</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Trading Symbol</w:t>
      </w:r>
    </w:p>
    <w:p>
      <w:pPr>
        <w:spacing w:after="0" w:line="50"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RCII</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58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The Nasdaq Stock Market</w:t>
      </w:r>
    </w:p>
    <w:p>
      <w:pPr>
        <w:spacing w:after="0" w:line="200" w:lineRule="exact"/>
        <w:rPr>
          <w:sz w:val="24"/>
          <w:szCs w:val="24"/>
          <w:color w:val="auto"/>
        </w:rPr>
      </w:pPr>
    </w:p>
    <w:p>
      <w:pPr>
        <w:sectPr>
          <w:pgSz w:w="11900" w:h="16838" w:orient="portrait"/>
          <w:cols w:equalWidth="0" w:num="3">
            <w:col w:w="4260" w:space="720"/>
            <w:col w:w="1620" w:space="720"/>
            <w:col w:w="3920"/>
          </w:cols>
          <w:pgMar w:left="320" w:top="1084" w:right="339" w:bottom="1440" w:gutter="0" w:footer="0" w:header="0"/>
          <w:type w:val="continuous"/>
        </w:sectPr>
      </w:pPr>
    </w:p>
    <w:p>
      <w:pPr>
        <w:spacing w:after="0" w:line="2" w:lineRule="exact"/>
        <w:rPr>
          <w:sz w:val="24"/>
          <w:szCs w:val="24"/>
          <w:color w:val="auto"/>
        </w:rPr>
      </w:pPr>
    </w:p>
    <w:p>
      <w:pPr>
        <w:ind w:right="38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400"/>
        <w:spacing w:after="0" w:line="268"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spacing w:after="0" w:line="184" w:lineRule="exact"/>
        <w:tabs>
          <w:tab w:leader="none" w:pos="66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5" w:lineRule="exact"/>
        <w:rPr>
          <w:sz w:val="24"/>
          <w:szCs w:val="24"/>
          <w:color w:val="auto"/>
        </w:rPr>
      </w:pPr>
    </w:p>
    <w:p>
      <w:pPr>
        <w:ind w:right="120"/>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54"/>
        </w:trPr>
        <w:tc>
          <w:tcPr>
            <w:tcW w:w="25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60" w:type="dxa"/>
            <w:vAlign w:val="bottom"/>
          </w:tcPr>
          <w:p>
            <w:pPr>
              <w:ind w:left="2260"/>
              <w:spacing w:after="0"/>
              <w:rPr>
                <w:sz w:val="20"/>
                <w:szCs w:val="20"/>
                <w:color w:val="auto"/>
              </w:rPr>
            </w:pPr>
            <w:r>
              <w:rPr>
                <w:rFonts w:ascii="Arial" w:cs="Arial" w:eastAsia="Arial" w:hAnsi="Arial"/>
                <w:sz w:val="16"/>
                <w:szCs w:val="16"/>
                <w:color w:val="auto"/>
              </w:rPr>
              <w:t>Accelerated filer</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5"/>
        </w:trPr>
        <w:tc>
          <w:tcPr>
            <w:tcW w:w="2540" w:type="dxa"/>
            <w:vAlign w:val="bottom"/>
          </w:tcPr>
          <w:p>
            <w:pPr>
              <w:spacing w:after="0"/>
              <w:rPr>
                <w:sz w:val="20"/>
                <w:szCs w:val="20"/>
                <w:color w:val="auto"/>
              </w:rPr>
            </w:pPr>
            <w:r>
              <w:rPr>
                <w:rFonts w:ascii="Arial" w:cs="Arial" w:eastAsia="Arial" w:hAnsi="Arial"/>
                <w:sz w:val="16"/>
                <w:szCs w:val="16"/>
                <w:color w:val="auto"/>
              </w:rPr>
              <w:t>Non-accelerated filer</w:t>
            </w:r>
          </w:p>
        </w:tc>
        <w:tc>
          <w:tcPr>
            <w:tcW w:w="31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60" w:type="dxa"/>
            <w:vAlign w:val="bottom"/>
          </w:tcPr>
          <w:p>
            <w:pPr>
              <w:ind w:left="2260"/>
              <w:spacing w:after="0"/>
              <w:rPr>
                <w:sz w:val="20"/>
                <w:szCs w:val="20"/>
                <w:color w:val="auto"/>
              </w:rPr>
            </w:pPr>
            <w:r>
              <w:rPr>
                <w:rFonts w:ascii="Arial" w:cs="Arial" w:eastAsia="Arial" w:hAnsi="Arial"/>
                <w:sz w:val="16"/>
                <w:szCs w:val="16"/>
                <w:color w:val="auto"/>
              </w:rPr>
              <w:t>Smaller reporting company</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5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6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43" w:lineRule="exact"/>
        <w:rPr>
          <w:sz w:val="24"/>
          <w:szCs w:val="24"/>
          <w:color w:val="auto"/>
        </w:rPr>
      </w:pPr>
    </w:p>
    <w:p>
      <w:pPr>
        <w:ind w:left="20"/>
        <w:spacing w:after="0"/>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w:t>
      </w:r>
    </w:p>
    <w:tbl>
      <w:tblPr>
        <w:tblLayout w:type="fixed"/>
        <w:tblInd w:w="0" w:type="dxa"/>
        <w:tblCellMar>
          <w:top w:w="0" w:type="dxa"/>
          <w:left w:w="0" w:type="dxa"/>
          <w:bottom w:w="0" w:type="dxa"/>
          <w:right w:w="0" w:type="dxa"/>
        </w:tblCellMar>
      </w:tblPr>
      <w:tr>
        <w:trPr>
          <w:trHeight w:val="254"/>
        </w:trPr>
        <w:tc>
          <w:tcPr>
            <w:tcW w:w="7740" w:type="dxa"/>
            <w:vAlign w:val="bottom"/>
          </w:tcPr>
          <w:p>
            <w:pPr>
              <w:ind w:left="20"/>
              <w:spacing w:after="0"/>
              <w:rPr>
                <w:sz w:val="20"/>
                <w:szCs w:val="20"/>
                <w:color w:val="auto"/>
              </w:rPr>
            </w:pPr>
            <w:r>
              <w:rPr>
                <w:rFonts w:ascii="Arial" w:cs="Arial" w:eastAsia="Arial" w:hAnsi="Arial"/>
                <w:sz w:val="16"/>
                <w:szCs w:val="16"/>
                <w:color w:val="auto"/>
              </w:rPr>
              <w:t>financial accounting standards provided pursuant to Section 13(a) of the Exchange Act.</w:t>
            </w:r>
          </w:p>
        </w:tc>
        <w:tc>
          <w:tcPr>
            <w:tcW w:w="3500" w:type="dxa"/>
            <w:vAlign w:val="bottom"/>
          </w:tcPr>
          <w:p>
            <w:pPr>
              <w:ind w:left="3080"/>
              <w:spacing w:after="0" w:line="161" w:lineRule="exact"/>
              <w:rPr>
                <w:sz w:val="20"/>
                <w:szCs w:val="20"/>
                <w:color w:val="auto"/>
              </w:rPr>
            </w:pPr>
            <w:r>
              <w:rPr>
                <w:rFonts w:ascii="MS PGothic" w:cs="MS PGothic" w:eastAsia="MS PGothic" w:hAnsi="MS PGothic"/>
                <w:sz w:val="16"/>
                <w:szCs w:val="16"/>
                <w:color w:val="auto"/>
              </w:rPr>
              <w:t>☐</w:t>
            </w:r>
          </w:p>
        </w:tc>
      </w:tr>
      <w:tr>
        <w:trPr>
          <w:trHeight w:val="194"/>
        </w:trPr>
        <w:tc>
          <w:tcPr>
            <w:tcW w:w="7740" w:type="dxa"/>
            <w:vAlign w:val="bottom"/>
          </w:tcPr>
          <w:p>
            <w:pPr>
              <w:spacing w:after="0"/>
              <w:rPr>
                <w:sz w:val="20"/>
                <w:szCs w:val="20"/>
                <w:color w:val="auto"/>
              </w:rPr>
            </w:pPr>
            <w:r>
              <w:rPr>
                <w:rFonts w:ascii="Arial" w:cs="Arial" w:eastAsia="Arial" w:hAnsi="Arial"/>
                <w:sz w:val="16"/>
                <w:szCs w:val="16"/>
                <w:color w:val="auto"/>
                <w:w w:val="96"/>
              </w:rPr>
              <w:t>Indicate by check mark whether the registrant is a shell company (as defined in Rule 12b-2 of the Exchange Act).</w:t>
            </w:r>
          </w:p>
        </w:tc>
        <w:tc>
          <w:tcPr>
            <w:tcW w:w="3500" w:type="dxa"/>
            <w:vAlign w:val="bottom"/>
          </w:tcPr>
          <w:p>
            <w:pPr>
              <w:spacing w:after="0"/>
              <w:rPr>
                <w:sz w:val="16"/>
                <w:szCs w:val="16"/>
                <w:color w:val="auto"/>
              </w:rPr>
            </w:pPr>
          </w:p>
        </w:tc>
      </w:tr>
      <w:tr>
        <w:trPr>
          <w:trHeight w:val="254"/>
        </w:trPr>
        <w:tc>
          <w:tcPr>
            <w:tcW w:w="7740" w:type="dxa"/>
            <w:vAlign w:val="bottom"/>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3500" w:type="dxa"/>
            <w:vAlign w:val="bottom"/>
          </w:tcPr>
          <w:p>
            <w:pPr>
              <w:spacing w:after="0"/>
              <w:rPr>
                <w:sz w:val="22"/>
                <w:szCs w:val="22"/>
                <w:color w:val="auto"/>
              </w:rPr>
            </w:pPr>
          </w:p>
        </w:tc>
      </w:tr>
      <w:tr>
        <w:trPr>
          <w:trHeight w:val="279"/>
        </w:trPr>
        <w:tc>
          <w:tcPr>
            <w:tcW w:w="7740" w:type="dxa"/>
            <w:vAlign w:val="bottom"/>
          </w:tcPr>
          <w:p>
            <w:pPr>
              <w:spacing w:after="0"/>
              <w:rPr>
                <w:sz w:val="20"/>
                <w:szCs w:val="20"/>
                <w:color w:val="auto"/>
              </w:rPr>
            </w:pPr>
            <w:r>
              <w:rPr>
                <w:rFonts w:ascii="Arial" w:cs="Arial" w:eastAsia="Arial" w:hAnsi="Arial"/>
                <w:sz w:val="16"/>
                <w:szCs w:val="16"/>
                <w:color w:val="auto"/>
                <w:w w:val="94"/>
              </w:rPr>
              <w:t>Indicate the number of shares outstanding of each of the issuer’s classes of common stock, as of October 29, 2021:</w:t>
            </w:r>
          </w:p>
        </w:tc>
        <w:tc>
          <w:tcPr>
            <w:tcW w:w="3500" w:type="dxa"/>
            <w:vAlign w:val="bottom"/>
          </w:tcPr>
          <w:p>
            <w:pPr>
              <w:spacing w:after="0"/>
              <w:rPr>
                <w:sz w:val="24"/>
                <w:szCs w:val="24"/>
                <w:color w:val="auto"/>
              </w:rPr>
            </w:pPr>
          </w:p>
        </w:tc>
      </w:tr>
      <w:tr>
        <w:trPr>
          <w:trHeight w:val="230"/>
        </w:trPr>
        <w:tc>
          <w:tcPr>
            <w:tcW w:w="7740" w:type="dxa"/>
            <w:vAlign w:val="bottom"/>
          </w:tcPr>
          <w:p>
            <w:pPr>
              <w:ind w:left="2600"/>
              <w:spacing w:after="0"/>
              <w:rPr>
                <w:sz w:val="20"/>
                <w:szCs w:val="20"/>
                <w:color w:val="auto"/>
              </w:rPr>
            </w:pPr>
            <w:r>
              <w:rPr>
                <w:rFonts w:ascii="Arial" w:cs="Arial" w:eastAsia="Arial" w:hAnsi="Arial"/>
                <w:sz w:val="16"/>
                <w:szCs w:val="16"/>
                <w:color w:val="auto"/>
              </w:rPr>
              <w:t>Class</w:t>
            </w:r>
          </w:p>
        </w:tc>
        <w:tc>
          <w:tcPr>
            <w:tcW w:w="3500" w:type="dxa"/>
            <w:vAlign w:val="bottom"/>
          </w:tcPr>
          <w:p>
            <w:pPr>
              <w:jc w:val="center"/>
              <w:ind w:right="2019"/>
              <w:spacing w:after="0"/>
              <w:rPr>
                <w:sz w:val="20"/>
                <w:szCs w:val="20"/>
                <w:color w:val="auto"/>
              </w:rPr>
            </w:pPr>
            <w:r>
              <w:rPr>
                <w:rFonts w:ascii="Arial" w:cs="Arial" w:eastAsia="Arial" w:hAnsi="Arial"/>
                <w:sz w:val="16"/>
                <w:szCs w:val="16"/>
                <w:color w:val="auto"/>
                <w:w w:val="92"/>
              </w:rPr>
              <w:t>Outstanding</w:t>
            </w:r>
          </w:p>
        </w:tc>
      </w:tr>
      <w:tr>
        <w:trPr>
          <w:trHeight w:val="216"/>
        </w:trPr>
        <w:tc>
          <w:tcPr>
            <w:tcW w:w="7740" w:type="dxa"/>
            <w:vAlign w:val="bottom"/>
          </w:tcPr>
          <w:p>
            <w:pPr>
              <w:ind w:left="1780"/>
              <w:spacing w:after="0"/>
              <w:rPr>
                <w:sz w:val="20"/>
                <w:szCs w:val="20"/>
                <w:color w:val="auto"/>
              </w:rPr>
            </w:pPr>
            <w:r>
              <w:rPr>
                <w:rFonts w:ascii="Arial" w:cs="Arial" w:eastAsia="Arial" w:hAnsi="Arial"/>
                <w:sz w:val="16"/>
                <w:szCs w:val="16"/>
                <w:color w:val="auto"/>
              </w:rPr>
              <w:t>Common stock, $.01 par value</w:t>
            </w:r>
          </w:p>
        </w:tc>
        <w:tc>
          <w:tcPr>
            <w:tcW w:w="3500" w:type="dxa"/>
            <w:vAlign w:val="bottom"/>
          </w:tcPr>
          <w:p>
            <w:pPr>
              <w:jc w:val="right"/>
              <w:ind w:right="2359"/>
              <w:spacing w:after="0"/>
              <w:rPr>
                <w:sz w:val="20"/>
                <w:szCs w:val="20"/>
                <w:color w:val="auto"/>
              </w:rPr>
            </w:pPr>
            <w:r>
              <w:rPr>
                <w:rFonts w:ascii="Arial" w:cs="Arial" w:eastAsia="Arial" w:hAnsi="Arial"/>
                <w:sz w:val="16"/>
                <w:szCs w:val="16"/>
                <w:color w:val="auto"/>
              </w:rPr>
              <w:t>66,140,238</w:t>
            </w:r>
          </w:p>
        </w:tc>
      </w:tr>
      <w:tr>
        <w:trPr>
          <w:trHeight w:val="1350"/>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9440" w:type="dxa"/>
            <w:vAlign w:val="bottom"/>
            <w:gridSpan w:val="3"/>
          </w:tcPr>
          <w:p>
            <w:pPr>
              <w:ind w:left="3740"/>
              <w:spacing w:after="0"/>
              <w:rPr>
                <w:sz w:val="20"/>
                <w:szCs w:val="20"/>
                <w:color w:val="auto"/>
              </w:rPr>
            </w:pPr>
            <w:r>
              <w:rPr>
                <w:rFonts w:ascii="Arial" w:cs="Arial" w:eastAsia="Arial" w:hAnsi="Arial"/>
                <w:sz w:val="18"/>
                <w:szCs w:val="18"/>
                <w:b w:val="1"/>
                <w:bCs w:val="1"/>
                <w:color w:val="auto"/>
              </w:rPr>
              <w:t>TABLE OF CONTENTS</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9"/>
        </w:trPr>
        <w:tc>
          <w:tcPr>
            <w:tcW w:w="9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780" w:type="dxa"/>
            <w:vAlign w:val="bottom"/>
          </w:tcPr>
          <w:p>
            <w:pPr>
              <w:spacing w:after="0"/>
              <w:rPr>
                <w:sz w:val="24"/>
                <w:szCs w:val="24"/>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16"/>
        </w:trPr>
        <w:tc>
          <w:tcPr>
            <w:tcW w:w="900" w:type="dxa"/>
            <w:vAlign w:val="bottom"/>
          </w:tcPr>
          <w:p>
            <w:pPr>
              <w:spacing w:after="0"/>
              <w:rPr>
                <w:rFonts w:ascii="Arial" w:cs="Arial" w:eastAsia="Arial" w:hAnsi="Arial"/>
                <w:sz w:val="18"/>
                <w:szCs w:val="18"/>
                <w:b w:val="1"/>
                <w:bCs w:val="1"/>
                <w:color w:val="auto"/>
              </w:rPr>
            </w:pPr>
            <w:hyperlink w:anchor="page2">
              <w:r>
                <w:rPr>
                  <w:rFonts w:ascii="Arial" w:cs="Arial" w:eastAsia="Arial" w:hAnsi="Arial"/>
                  <w:sz w:val="18"/>
                  <w:szCs w:val="18"/>
                  <w:b w:val="1"/>
                  <w:bCs w:val="1"/>
                  <w:color w:val="auto"/>
                </w:rPr>
                <w:t>PART I.</w:t>
              </w:r>
            </w:hyperlink>
          </w:p>
        </w:tc>
        <w:tc>
          <w:tcPr>
            <w:tcW w:w="9440" w:type="dxa"/>
            <w:vAlign w:val="bottom"/>
            <w:gridSpan w:val="3"/>
          </w:tcPr>
          <w:p>
            <w:pPr>
              <w:ind w:left="200"/>
              <w:spacing w:after="0"/>
              <w:rPr>
                <w:rFonts w:ascii="Arial" w:cs="Arial" w:eastAsia="Arial" w:hAnsi="Arial"/>
                <w:sz w:val="18"/>
                <w:szCs w:val="18"/>
                <w:b w:val="1"/>
                <w:bCs w:val="1"/>
                <w:color w:val="auto"/>
              </w:rPr>
            </w:pPr>
            <w:hyperlink w:anchor="page2">
              <w:r>
                <w:rPr>
                  <w:rFonts w:ascii="Arial" w:cs="Arial" w:eastAsia="Arial" w:hAnsi="Arial"/>
                  <w:sz w:val="18"/>
                  <w:szCs w:val="18"/>
                  <w:b w:val="1"/>
                  <w:bCs w:val="1"/>
                  <w:color w:val="auto"/>
                </w:rPr>
                <w:t>FINANCIAL INFORMATION</w:t>
              </w:r>
            </w:hyperlink>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2">
              <w:r>
                <w:rPr>
                  <w:rFonts w:ascii="Arial" w:cs="Arial" w:eastAsia="Arial" w:hAnsi="Arial"/>
                  <w:sz w:val="18"/>
                  <w:szCs w:val="18"/>
                  <w:color w:val="auto"/>
                </w:rPr>
                <w:t>Item 1.</w:t>
              </w:r>
            </w:hyperlink>
          </w:p>
        </w:tc>
        <w:tc>
          <w:tcPr>
            <w:tcW w:w="9440" w:type="dxa"/>
            <w:vAlign w:val="bottom"/>
            <w:gridSpan w:val="3"/>
          </w:tcPr>
          <w:p>
            <w:pPr>
              <w:ind w:left="200"/>
              <w:spacing w:after="0"/>
              <w:rPr>
                <w:rFonts w:ascii="Arial" w:cs="Arial" w:eastAsia="Arial" w:hAnsi="Arial"/>
                <w:sz w:val="18"/>
                <w:szCs w:val="18"/>
                <w:color w:val="auto"/>
              </w:rPr>
            </w:pPr>
            <w:hyperlink w:anchor="page2">
              <w:r>
                <w:rPr>
                  <w:rFonts w:ascii="Arial" w:cs="Arial" w:eastAsia="Arial" w:hAnsi="Arial"/>
                  <w:sz w:val="18"/>
                  <w:szCs w:val="18"/>
                  <w:color w:val="auto"/>
                </w:rPr>
                <w:t>Condensed Consolidated Financial Statements</w:t>
              </w:r>
            </w:hyperlink>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440" w:type="dxa"/>
            <w:vAlign w:val="bottom"/>
            <w:gridSpan w:val="3"/>
          </w:tcPr>
          <w:p>
            <w:pPr>
              <w:ind w:left="200"/>
              <w:spacing w:after="0"/>
              <w:rPr>
                <w:rFonts w:ascii="Arial" w:cs="Arial" w:eastAsia="Arial" w:hAnsi="Arial"/>
                <w:sz w:val="18"/>
                <w:szCs w:val="18"/>
                <w:color w:val="auto"/>
                <w:w w:val="90"/>
              </w:rPr>
            </w:pPr>
            <w:hyperlink w:anchor="page3">
              <w:r>
                <w:rPr>
                  <w:rFonts w:ascii="Arial" w:cs="Arial" w:eastAsia="Arial" w:hAnsi="Arial"/>
                  <w:sz w:val="18"/>
                  <w:szCs w:val="18"/>
                  <w:color w:val="auto"/>
                  <w:w w:val="90"/>
                </w:rPr>
                <w:t xml:space="preserve">Condensed Consolidated Statements of Operations for the three-month and </w:t>
              </w:r>
            </w:hyperlink>
            <w:r>
              <w:rPr>
                <w:rFonts w:ascii="Arial" w:cs="Arial" w:eastAsia="Arial" w:hAnsi="Arial"/>
                <w:sz w:val="18"/>
                <w:szCs w:val="18"/>
                <w:color w:val="auto"/>
                <w:w w:val="90"/>
              </w:rPr>
              <w:t xml:space="preserve">nine-month </w:t>
            </w:r>
            <w:hyperlink w:anchor="page3">
              <w:r>
                <w:rPr>
                  <w:rFonts w:ascii="Arial" w:cs="Arial" w:eastAsia="Arial" w:hAnsi="Arial"/>
                  <w:sz w:val="18"/>
                  <w:szCs w:val="18"/>
                  <w:color w:val="auto"/>
                  <w:w w:val="90"/>
                </w:rPr>
                <w:t xml:space="preserve">periods ended </w:t>
              </w:r>
            </w:hyperlink>
            <w:r>
              <w:rPr>
                <w:rFonts w:ascii="Arial" w:cs="Arial" w:eastAsia="Arial" w:hAnsi="Arial"/>
                <w:sz w:val="18"/>
                <w:szCs w:val="18"/>
                <w:color w:val="auto"/>
                <w:w w:val="90"/>
              </w:rPr>
              <w:t xml:space="preserve">September 30, 2021 </w:t>
            </w:r>
            <w:hyperlink w:anchor="page3">
              <w:r>
                <w:rPr>
                  <w:rFonts w:ascii="Arial" w:cs="Arial" w:eastAsia="Arial" w:hAnsi="Arial"/>
                  <w:sz w:val="18"/>
                  <w:szCs w:val="18"/>
                  <w:color w:val="auto"/>
                  <w:w w:val="90"/>
                </w:rPr>
                <w:t>and</w:t>
              </w:r>
            </w:hyperlink>
          </w:p>
        </w:tc>
        <w:tc>
          <w:tcPr>
            <w:tcW w:w="880" w:type="dxa"/>
            <w:vAlign w:val="bottom"/>
            <w:vMerge w:val="restart"/>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2020</w:t>
            </w:r>
          </w:p>
        </w:tc>
        <w:tc>
          <w:tcPr>
            <w:tcW w:w="19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440" w:type="dxa"/>
            <w:vAlign w:val="bottom"/>
            <w:gridSpan w:val="3"/>
          </w:tcPr>
          <w:p>
            <w:pPr>
              <w:ind w:left="200"/>
              <w:spacing w:after="0"/>
              <w:rPr>
                <w:rFonts w:ascii="Arial" w:cs="Arial" w:eastAsia="Arial" w:hAnsi="Arial"/>
                <w:sz w:val="18"/>
                <w:szCs w:val="18"/>
                <w:color w:val="auto"/>
              </w:rPr>
            </w:pPr>
            <w:hyperlink w:anchor="page3">
              <w:r>
                <w:rPr>
                  <w:rFonts w:ascii="Arial" w:cs="Arial" w:eastAsia="Arial" w:hAnsi="Arial"/>
                  <w:sz w:val="18"/>
                  <w:szCs w:val="18"/>
                  <w:color w:val="auto"/>
                </w:rPr>
                <w:t xml:space="preserve">Condensed Consolidated Statements of Comprehensive Income for the three-month and </w:t>
              </w:r>
            </w:hyperlink>
            <w:r>
              <w:rPr>
                <w:rFonts w:ascii="Arial" w:cs="Arial" w:eastAsia="Arial" w:hAnsi="Arial"/>
                <w:sz w:val="18"/>
                <w:szCs w:val="18"/>
                <w:color w:val="auto"/>
              </w:rPr>
              <w:t xml:space="preserve">nine-month </w:t>
            </w:r>
            <w:hyperlink w:anchor="page3">
              <w:r>
                <w:rPr>
                  <w:rFonts w:ascii="Arial" w:cs="Arial" w:eastAsia="Arial" w:hAnsi="Arial"/>
                  <w:sz w:val="18"/>
                  <w:szCs w:val="18"/>
                  <w:color w:val="auto"/>
                </w:rPr>
                <w:t>periods ended</w:t>
              </w:r>
            </w:hyperlink>
          </w:p>
        </w:tc>
        <w:tc>
          <w:tcPr>
            <w:tcW w:w="880" w:type="dxa"/>
            <w:vAlign w:val="bottom"/>
            <w:vMerge w:val="restart"/>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9440" w:type="dxa"/>
            <w:vAlign w:val="bottom"/>
            <w:gridSpan w:val="3"/>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September 30, 2021 </w:t>
            </w:r>
            <w:hyperlink w:anchor="page3">
              <w:r>
                <w:rPr>
                  <w:rFonts w:ascii="Arial" w:cs="Arial" w:eastAsia="Arial" w:hAnsi="Arial"/>
                  <w:sz w:val="18"/>
                  <w:szCs w:val="18"/>
                  <w:color w:val="auto"/>
                </w:rPr>
                <w:t xml:space="preserve">and </w:t>
              </w:r>
            </w:hyperlink>
            <w:r>
              <w:rPr>
                <w:rFonts w:ascii="Arial" w:cs="Arial" w:eastAsia="Arial" w:hAnsi="Arial"/>
                <w:sz w:val="18"/>
                <w:szCs w:val="18"/>
                <w:color w:val="auto"/>
              </w:rPr>
              <w:t>2020</w:t>
            </w: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gridSpan w:val="3"/>
          </w:tcPr>
          <w:p>
            <w:pPr>
              <w:ind w:left="200"/>
              <w:spacing w:after="0"/>
              <w:rPr>
                <w:rFonts w:ascii="Arial" w:cs="Arial" w:eastAsia="Arial" w:hAnsi="Arial"/>
                <w:sz w:val="18"/>
                <w:szCs w:val="18"/>
                <w:color w:val="auto"/>
              </w:rPr>
            </w:pPr>
            <w:hyperlink w:anchor="page4">
              <w:r>
                <w:rPr>
                  <w:rFonts w:ascii="Arial" w:cs="Arial" w:eastAsia="Arial" w:hAnsi="Arial"/>
                  <w:sz w:val="18"/>
                  <w:szCs w:val="18"/>
                  <w:color w:val="auto"/>
                </w:rPr>
                <w:t xml:space="preserve">Condensed Consolidated Balance Sheets as of </w:t>
              </w:r>
            </w:hyperlink>
            <w:r>
              <w:rPr>
                <w:rFonts w:ascii="Arial" w:cs="Arial" w:eastAsia="Arial" w:hAnsi="Arial"/>
                <w:sz w:val="18"/>
                <w:szCs w:val="18"/>
                <w:color w:val="auto"/>
              </w:rPr>
              <w:t xml:space="preserve">September 30, 2021 </w:t>
            </w:r>
            <w:hyperlink w:anchor="page4">
              <w:r>
                <w:rPr>
                  <w:rFonts w:ascii="Arial" w:cs="Arial" w:eastAsia="Arial" w:hAnsi="Arial"/>
                  <w:sz w:val="18"/>
                  <w:szCs w:val="18"/>
                  <w:color w:val="auto"/>
                </w:rPr>
                <w:t xml:space="preserve">and </w:t>
              </w:r>
            </w:hyperlink>
            <w:r>
              <w:rPr>
                <w:rFonts w:ascii="Arial" w:cs="Arial" w:eastAsia="Arial" w:hAnsi="Arial"/>
                <w:sz w:val="18"/>
                <w:szCs w:val="18"/>
                <w:color w:val="auto"/>
              </w:rPr>
              <w:t>December 31, 2020</w:t>
            </w:r>
          </w:p>
        </w:tc>
        <w:tc>
          <w:tcPr>
            <w:tcW w:w="8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gridSpan w:val="3"/>
          </w:tcPr>
          <w:p>
            <w:pPr>
              <w:ind w:left="200"/>
              <w:spacing w:after="0"/>
              <w:rPr>
                <w:rFonts w:ascii="Arial" w:cs="Arial" w:eastAsia="Arial" w:hAnsi="Arial"/>
                <w:sz w:val="18"/>
                <w:szCs w:val="18"/>
                <w:color w:val="auto"/>
                <w:w w:val="92"/>
              </w:rPr>
            </w:pPr>
            <w:hyperlink w:anchor="page5">
              <w:r>
                <w:rPr>
                  <w:rFonts w:ascii="Arial" w:cs="Arial" w:eastAsia="Arial" w:hAnsi="Arial"/>
                  <w:sz w:val="18"/>
                  <w:szCs w:val="18"/>
                  <w:color w:val="auto"/>
                  <w:w w:val="92"/>
                </w:rPr>
                <w:t xml:space="preserve">Condensed Consolidated Statement of Stockholders' Equity for the </w:t>
              </w:r>
            </w:hyperlink>
            <w:r>
              <w:rPr>
                <w:rFonts w:ascii="Arial" w:cs="Arial" w:eastAsia="Arial" w:hAnsi="Arial"/>
                <w:sz w:val="18"/>
                <w:szCs w:val="18"/>
                <w:color w:val="auto"/>
                <w:w w:val="92"/>
              </w:rPr>
              <w:t xml:space="preserve">nine-month </w:t>
            </w:r>
            <w:hyperlink w:anchor="page5">
              <w:r>
                <w:rPr>
                  <w:rFonts w:ascii="Arial" w:cs="Arial" w:eastAsia="Arial" w:hAnsi="Arial"/>
                  <w:sz w:val="18"/>
                  <w:szCs w:val="18"/>
                  <w:color w:val="auto"/>
                  <w:w w:val="92"/>
                </w:rPr>
                <w:t xml:space="preserve">periods ending </w:t>
              </w:r>
            </w:hyperlink>
            <w:r>
              <w:rPr>
                <w:rFonts w:ascii="Arial" w:cs="Arial" w:eastAsia="Arial" w:hAnsi="Arial"/>
                <w:sz w:val="18"/>
                <w:szCs w:val="18"/>
                <w:color w:val="auto"/>
                <w:w w:val="92"/>
              </w:rPr>
              <w:t xml:space="preserve">September 30, 2021 </w:t>
            </w:r>
            <w:hyperlink w:anchor="page5">
              <w:r>
                <w:rPr>
                  <w:rFonts w:ascii="Arial" w:cs="Arial" w:eastAsia="Arial" w:hAnsi="Arial"/>
                  <w:sz w:val="18"/>
                  <w:szCs w:val="18"/>
                  <w:color w:val="auto"/>
                  <w:w w:val="92"/>
                </w:rPr>
                <w:t xml:space="preserve">and </w:t>
              </w:r>
            </w:hyperlink>
            <w:r>
              <w:rPr>
                <w:rFonts w:ascii="Arial" w:cs="Arial" w:eastAsia="Arial" w:hAnsi="Arial"/>
                <w:sz w:val="18"/>
                <w:szCs w:val="18"/>
                <w:color w:val="auto"/>
                <w:w w:val="92"/>
              </w:rPr>
              <w:t>2020</w:t>
            </w:r>
          </w:p>
        </w:tc>
        <w:tc>
          <w:tcPr>
            <w:tcW w:w="8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gridSpan w:val="3"/>
          </w:tcPr>
          <w:p>
            <w:pPr>
              <w:ind w:left="200"/>
              <w:spacing w:after="0"/>
              <w:rPr>
                <w:rFonts w:ascii="Arial" w:cs="Arial" w:eastAsia="Arial" w:hAnsi="Arial"/>
                <w:sz w:val="18"/>
                <w:szCs w:val="18"/>
                <w:color w:val="auto"/>
                <w:w w:val="98"/>
              </w:rPr>
            </w:pPr>
            <w:hyperlink w:anchor="page7">
              <w:r>
                <w:rPr>
                  <w:rFonts w:ascii="Arial" w:cs="Arial" w:eastAsia="Arial" w:hAnsi="Arial"/>
                  <w:sz w:val="18"/>
                  <w:szCs w:val="18"/>
                  <w:color w:val="auto"/>
                  <w:w w:val="98"/>
                </w:rPr>
                <w:t xml:space="preserve">Condensed Consolidated Statements of Cash Flows for the </w:t>
              </w:r>
            </w:hyperlink>
            <w:r>
              <w:rPr>
                <w:rFonts w:ascii="Arial" w:cs="Arial" w:eastAsia="Arial" w:hAnsi="Arial"/>
                <w:sz w:val="18"/>
                <w:szCs w:val="18"/>
                <w:color w:val="auto"/>
                <w:w w:val="98"/>
              </w:rPr>
              <w:t xml:space="preserve">nine-month </w:t>
            </w:r>
            <w:hyperlink w:anchor="page7">
              <w:r>
                <w:rPr>
                  <w:rFonts w:ascii="Arial" w:cs="Arial" w:eastAsia="Arial" w:hAnsi="Arial"/>
                  <w:sz w:val="18"/>
                  <w:szCs w:val="18"/>
                  <w:color w:val="auto"/>
                  <w:w w:val="98"/>
                </w:rPr>
                <w:t xml:space="preserve">periods ended </w:t>
              </w:r>
            </w:hyperlink>
            <w:r>
              <w:rPr>
                <w:rFonts w:ascii="Arial" w:cs="Arial" w:eastAsia="Arial" w:hAnsi="Arial"/>
                <w:sz w:val="18"/>
                <w:szCs w:val="18"/>
                <w:color w:val="auto"/>
                <w:w w:val="98"/>
              </w:rPr>
              <w:t xml:space="preserve">September 30, 2021 </w:t>
            </w:r>
            <w:hyperlink w:anchor="page7">
              <w:r>
                <w:rPr>
                  <w:rFonts w:ascii="Arial" w:cs="Arial" w:eastAsia="Arial" w:hAnsi="Arial"/>
                  <w:sz w:val="18"/>
                  <w:szCs w:val="18"/>
                  <w:color w:val="auto"/>
                  <w:w w:val="98"/>
                </w:rPr>
                <w:t xml:space="preserve">and </w:t>
              </w:r>
            </w:hyperlink>
            <w:r>
              <w:rPr>
                <w:rFonts w:ascii="Arial" w:cs="Arial" w:eastAsia="Arial" w:hAnsi="Arial"/>
                <w:sz w:val="18"/>
                <w:szCs w:val="18"/>
                <w:color w:val="auto"/>
                <w:w w:val="98"/>
              </w:rPr>
              <w:t>2020</w:t>
            </w:r>
          </w:p>
        </w:tc>
        <w:tc>
          <w:tcPr>
            <w:tcW w:w="8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gridSpan w:val="3"/>
          </w:tcPr>
          <w:p>
            <w:pPr>
              <w:ind w:left="200"/>
              <w:spacing w:after="0"/>
              <w:rPr>
                <w:rFonts w:ascii="Arial" w:cs="Arial" w:eastAsia="Arial" w:hAnsi="Arial"/>
                <w:sz w:val="18"/>
                <w:szCs w:val="18"/>
                <w:color w:val="auto"/>
              </w:rPr>
            </w:pPr>
            <w:hyperlink w:anchor="page8">
              <w:r>
                <w:rPr>
                  <w:rFonts w:ascii="Arial" w:cs="Arial" w:eastAsia="Arial" w:hAnsi="Arial"/>
                  <w:sz w:val="18"/>
                  <w:szCs w:val="18"/>
                  <w:color w:val="auto"/>
                </w:rPr>
                <w:t>Notes to Condensed Consolidated Financial Statements</w:t>
              </w:r>
            </w:hyperlink>
          </w:p>
        </w:tc>
        <w:tc>
          <w:tcPr>
            <w:tcW w:w="88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84"/>
        </w:trPr>
        <w:tc>
          <w:tcPr>
            <w:tcW w:w="900" w:type="dxa"/>
            <w:vAlign w:val="bottom"/>
          </w:tcPr>
          <w:p>
            <w:pPr>
              <w:spacing w:after="0"/>
              <w:rPr>
                <w:rFonts w:ascii="Arial" w:cs="Arial" w:eastAsia="Arial" w:hAnsi="Arial"/>
                <w:sz w:val="18"/>
                <w:szCs w:val="18"/>
                <w:color w:val="auto"/>
              </w:rPr>
            </w:pPr>
            <w:hyperlink w:anchor="page25">
              <w:r>
                <w:rPr>
                  <w:rFonts w:ascii="Arial" w:cs="Arial" w:eastAsia="Arial" w:hAnsi="Arial"/>
                  <w:sz w:val="18"/>
                  <w:szCs w:val="18"/>
                  <w:color w:val="auto"/>
                </w:rPr>
                <w:t>Item 2.</w:t>
              </w:r>
            </w:hyperlink>
          </w:p>
        </w:tc>
        <w:tc>
          <w:tcPr>
            <w:tcW w:w="9440" w:type="dxa"/>
            <w:vAlign w:val="bottom"/>
            <w:gridSpan w:val="3"/>
          </w:tcPr>
          <w:p>
            <w:pPr>
              <w:ind w:left="200"/>
              <w:spacing w:after="0"/>
              <w:rPr>
                <w:rFonts w:ascii="Arial" w:cs="Arial" w:eastAsia="Arial" w:hAnsi="Arial"/>
                <w:sz w:val="18"/>
                <w:szCs w:val="18"/>
                <w:color w:val="auto"/>
              </w:rPr>
            </w:pPr>
            <w:hyperlink w:anchor="page25">
              <w:r>
                <w:rPr>
                  <w:rFonts w:ascii="Arial" w:cs="Arial" w:eastAsia="Arial" w:hAnsi="Arial"/>
                  <w:sz w:val="18"/>
                  <w:szCs w:val="18"/>
                  <w:color w:val="auto"/>
                </w:rPr>
                <w:t>Management's Discussion and Analysis of Financial Condition and Results of Operations</w:t>
              </w:r>
            </w:hyperlink>
          </w:p>
        </w:tc>
        <w:tc>
          <w:tcPr>
            <w:tcW w:w="88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24</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8">
              <w:r>
                <w:rPr>
                  <w:rFonts w:ascii="Arial" w:cs="Arial" w:eastAsia="Arial" w:hAnsi="Arial"/>
                  <w:sz w:val="18"/>
                  <w:szCs w:val="18"/>
                  <w:color w:val="auto"/>
                </w:rPr>
                <w:t>Item 3.</w:t>
              </w:r>
            </w:hyperlink>
          </w:p>
        </w:tc>
        <w:tc>
          <w:tcPr>
            <w:tcW w:w="9440" w:type="dxa"/>
            <w:vAlign w:val="bottom"/>
            <w:gridSpan w:val="3"/>
          </w:tcPr>
          <w:p>
            <w:pPr>
              <w:ind w:left="200"/>
              <w:spacing w:after="0"/>
              <w:rPr>
                <w:rFonts w:ascii="Arial" w:cs="Arial" w:eastAsia="Arial" w:hAnsi="Arial"/>
                <w:sz w:val="18"/>
                <w:szCs w:val="18"/>
                <w:color w:val="auto"/>
              </w:rPr>
            </w:pPr>
            <w:hyperlink w:anchor="page38">
              <w:r>
                <w:rPr>
                  <w:rFonts w:ascii="Arial" w:cs="Arial" w:eastAsia="Arial" w:hAnsi="Arial"/>
                  <w:sz w:val="18"/>
                  <w:szCs w:val="18"/>
                  <w:color w:val="auto"/>
                </w:rPr>
                <w:t>Quantitative and Qualitative Disclosures About Market Risk</w:t>
              </w:r>
            </w:hyperlink>
          </w:p>
        </w:tc>
        <w:tc>
          <w:tcPr>
            <w:tcW w:w="88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4.</w:t>
              </w:r>
            </w:hyperlink>
          </w:p>
        </w:tc>
        <w:tc>
          <w:tcPr>
            <w:tcW w:w="9440" w:type="dxa"/>
            <w:vAlign w:val="bottom"/>
            <w:gridSpan w:val="3"/>
          </w:tcPr>
          <w:p>
            <w:pPr>
              <w:ind w:left="200"/>
              <w:spacing w:after="0"/>
              <w:rPr>
                <w:rFonts w:ascii="Arial" w:cs="Arial" w:eastAsia="Arial" w:hAnsi="Arial"/>
                <w:sz w:val="18"/>
                <w:szCs w:val="18"/>
                <w:color w:val="auto"/>
              </w:rPr>
            </w:pPr>
            <w:hyperlink w:anchor="page39">
              <w:r>
                <w:rPr>
                  <w:rFonts w:ascii="Arial" w:cs="Arial" w:eastAsia="Arial" w:hAnsi="Arial"/>
                  <w:sz w:val="18"/>
                  <w:szCs w:val="18"/>
                  <w:color w:val="auto"/>
                </w:rPr>
                <w:t>Controls and Procedures</w:t>
              </w:r>
            </w:hyperlink>
          </w:p>
        </w:tc>
        <w:tc>
          <w:tcPr>
            <w:tcW w:w="88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b w:val="1"/>
                <w:bCs w:val="1"/>
                <w:color w:val="auto"/>
              </w:rPr>
            </w:pPr>
            <w:hyperlink w:anchor="page39">
              <w:r>
                <w:rPr>
                  <w:rFonts w:ascii="Arial" w:cs="Arial" w:eastAsia="Arial" w:hAnsi="Arial"/>
                  <w:sz w:val="18"/>
                  <w:szCs w:val="18"/>
                  <w:b w:val="1"/>
                  <w:bCs w:val="1"/>
                  <w:color w:val="auto"/>
                </w:rPr>
                <w:t>PART II.</w:t>
              </w:r>
            </w:hyperlink>
          </w:p>
        </w:tc>
        <w:tc>
          <w:tcPr>
            <w:tcW w:w="9440" w:type="dxa"/>
            <w:vAlign w:val="bottom"/>
            <w:gridSpan w:val="3"/>
          </w:tcPr>
          <w:p>
            <w:pPr>
              <w:ind w:left="200"/>
              <w:spacing w:after="0"/>
              <w:rPr>
                <w:rFonts w:ascii="Arial" w:cs="Arial" w:eastAsia="Arial" w:hAnsi="Arial"/>
                <w:sz w:val="18"/>
                <w:szCs w:val="18"/>
                <w:b w:val="1"/>
                <w:bCs w:val="1"/>
                <w:color w:val="auto"/>
              </w:rPr>
            </w:pPr>
            <w:hyperlink w:anchor="page39">
              <w:r>
                <w:rPr>
                  <w:rFonts w:ascii="Arial" w:cs="Arial" w:eastAsia="Arial" w:hAnsi="Arial"/>
                  <w:sz w:val="18"/>
                  <w:szCs w:val="18"/>
                  <w:b w:val="1"/>
                  <w:bCs w:val="1"/>
                  <w:color w:val="auto"/>
                </w:rPr>
                <w:t>OTHER INFORMATION</w:t>
              </w:r>
            </w:hyperlink>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1.</w:t>
              </w:r>
            </w:hyperlink>
          </w:p>
        </w:tc>
        <w:tc>
          <w:tcPr>
            <w:tcW w:w="9440" w:type="dxa"/>
            <w:vAlign w:val="bottom"/>
            <w:gridSpan w:val="3"/>
          </w:tcPr>
          <w:p>
            <w:pPr>
              <w:ind w:left="200"/>
              <w:spacing w:after="0"/>
              <w:rPr>
                <w:rFonts w:ascii="Arial" w:cs="Arial" w:eastAsia="Arial" w:hAnsi="Arial"/>
                <w:sz w:val="18"/>
                <w:szCs w:val="18"/>
                <w:color w:val="auto"/>
              </w:rPr>
            </w:pPr>
            <w:hyperlink w:anchor="page39">
              <w:r>
                <w:rPr>
                  <w:rFonts w:ascii="Arial" w:cs="Arial" w:eastAsia="Arial" w:hAnsi="Arial"/>
                  <w:sz w:val="18"/>
                  <w:szCs w:val="18"/>
                  <w:color w:val="auto"/>
                </w:rPr>
                <w:t>Legal Proceedings</w:t>
              </w:r>
            </w:hyperlink>
          </w:p>
        </w:tc>
        <w:tc>
          <w:tcPr>
            <w:tcW w:w="88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1A.</w:t>
              </w:r>
            </w:hyperlink>
          </w:p>
        </w:tc>
        <w:tc>
          <w:tcPr>
            <w:tcW w:w="9440" w:type="dxa"/>
            <w:vAlign w:val="bottom"/>
            <w:gridSpan w:val="3"/>
          </w:tcPr>
          <w:p>
            <w:pPr>
              <w:ind w:left="200"/>
              <w:spacing w:after="0"/>
              <w:rPr>
                <w:rFonts w:ascii="Arial" w:cs="Arial" w:eastAsia="Arial" w:hAnsi="Arial"/>
                <w:sz w:val="18"/>
                <w:szCs w:val="18"/>
                <w:color w:val="auto"/>
              </w:rPr>
            </w:pPr>
            <w:hyperlink w:anchor="page39">
              <w:r>
                <w:rPr>
                  <w:rFonts w:ascii="Arial" w:cs="Arial" w:eastAsia="Arial" w:hAnsi="Arial"/>
                  <w:sz w:val="18"/>
                  <w:szCs w:val="18"/>
                  <w:color w:val="auto"/>
                </w:rPr>
                <w:t>Risk Factors</w:t>
              </w:r>
            </w:hyperlink>
          </w:p>
        </w:tc>
        <w:tc>
          <w:tcPr>
            <w:tcW w:w="88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284"/>
        </w:trPr>
        <w:tc>
          <w:tcPr>
            <w:tcW w:w="900" w:type="dxa"/>
            <w:vAlign w:val="bottom"/>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2.</w:t>
              </w:r>
            </w:hyperlink>
          </w:p>
        </w:tc>
        <w:tc>
          <w:tcPr>
            <w:tcW w:w="9440" w:type="dxa"/>
            <w:vAlign w:val="bottom"/>
            <w:gridSpan w:val="3"/>
          </w:tcPr>
          <w:p>
            <w:pPr>
              <w:ind w:left="200"/>
              <w:spacing w:after="0"/>
              <w:rPr>
                <w:rFonts w:ascii="Arial" w:cs="Arial" w:eastAsia="Arial" w:hAnsi="Arial"/>
                <w:sz w:val="18"/>
                <w:szCs w:val="18"/>
                <w:color w:val="auto"/>
              </w:rPr>
            </w:pPr>
            <w:hyperlink w:anchor="page39">
              <w:r>
                <w:rPr>
                  <w:rFonts w:ascii="Arial" w:cs="Arial" w:eastAsia="Arial" w:hAnsi="Arial"/>
                  <w:sz w:val="18"/>
                  <w:szCs w:val="18"/>
                  <w:color w:val="auto"/>
                </w:rPr>
                <w:t>Unregistered Sales of Equity Securities and Use of Proceeds</w:t>
              </w:r>
            </w:hyperlink>
          </w:p>
        </w:tc>
        <w:tc>
          <w:tcPr>
            <w:tcW w:w="88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445"/>
        </w:trPr>
        <w:tc>
          <w:tcPr>
            <w:tcW w:w="900" w:type="dxa"/>
            <w:vAlign w:val="bottom"/>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3.</w:t>
              </w:r>
            </w:hyperlink>
          </w:p>
        </w:tc>
        <w:tc>
          <w:tcPr>
            <w:tcW w:w="9440" w:type="dxa"/>
            <w:vAlign w:val="bottom"/>
            <w:gridSpan w:val="3"/>
          </w:tcPr>
          <w:p>
            <w:pPr>
              <w:ind w:left="200"/>
              <w:spacing w:after="0"/>
              <w:rPr>
                <w:rFonts w:ascii="Arial" w:cs="Arial" w:eastAsia="Arial" w:hAnsi="Arial"/>
                <w:sz w:val="18"/>
                <w:szCs w:val="18"/>
                <w:color w:val="auto"/>
              </w:rPr>
            </w:pPr>
            <w:hyperlink w:anchor="page39">
              <w:r>
                <w:rPr>
                  <w:rFonts w:ascii="Arial" w:cs="Arial" w:eastAsia="Arial" w:hAnsi="Arial"/>
                  <w:sz w:val="18"/>
                  <w:szCs w:val="18"/>
                  <w:color w:val="auto"/>
                </w:rPr>
                <w:t>Defaults Upon Senior Securities</w:t>
              </w:r>
            </w:hyperlink>
          </w:p>
        </w:tc>
        <w:tc>
          <w:tcPr>
            <w:tcW w:w="88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284"/>
        </w:trPr>
        <w:tc>
          <w:tcPr>
            <w:tcW w:w="900" w:type="dxa"/>
            <w:vAlign w:val="bottom"/>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4.</w:t>
              </w:r>
            </w:hyperlink>
          </w:p>
        </w:tc>
        <w:tc>
          <w:tcPr>
            <w:tcW w:w="9440" w:type="dxa"/>
            <w:vAlign w:val="bottom"/>
            <w:gridSpan w:val="3"/>
          </w:tcPr>
          <w:p>
            <w:pPr>
              <w:ind w:left="200"/>
              <w:spacing w:after="0"/>
              <w:rPr>
                <w:rFonts w:ascii="Arial" w:cs="Arial" w:eastAsia="Arial" w:hAnsi="Arial"/>
                <w:sz w:val="18"/>
                <w:szCs w:val="18"/>
                <w:color w:val="auto"/>
              </w:rPr>
            </w:pPr>
            <w:hyperlink w:anchor="page39">
              <w:r>
                <w:rPr>
                  <w:rFonts w:ascii="Arial" w:cs="Arial" w:eastAsia="Arial" w:hAnsi="Arial"/>
                  <w:sz w:val="18"/>
                  <w:szCs w:val="18"/>
                  <w:color w:val="auto"/>
                </w:rPr>
                <w:t>Mine Safety Disclosures</w:t>
              </w:r>
            </w:hyperlink>
          </w:p>
        </w:tc>
        <w:tc>
          <w:tcPr>
            <w:tcW w:w="88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40">
              <w:r>
                <w:rPr>
                  <w:rFonts w:ascii="Arial" w:cs="Arial" w:eastAsia="Arial" w:hAnsi="Arial"/>
                  <w:sz w:val="18"/>
                  <w:szCs w:val="18"/>
                  <w:color w:val="auto"/>
                </w:rPr>
                <w:t>Item 5.</w:t>
              </w:r>
            </w:hyperlink>
          </w:p>
        </w:tc>
        <w:tc>
          <w:tcPr>
            <w:tcW w:w="9440" w:type="dxa"/>
            <w:vAlign w:val="bottom"/>
            <w:gridSpan w:val="3"/>
          </w:tcPr>
          <w:p>
            <w:pPr>
              <w:ind w:left="200"/>
              <w:spacing w:after="0"/>
              <w:rPr>
                <w:rFonts w:ascii="Arial" w:cs="Arial" w:eastAsia="Arial" w:hAnsi="Arial"/>
                <w:sz w:val="18"/>
                <w:szCs w:val="18"/>
                <w:color w:val="auto"/>
              </w:rPr>
            </w:pPr>
            <w:hyperlink w:anchor="page40">
              <w:r>
                <w:rPr>
                  <w:rFonts w:ascii="Arial" w:cs="Arial" w:eastAsia="Arial" w:hAnsi="Arial"/>
                  <w:sz w:val="18"/>
                  <w:szCs w:val="18"/>
                  <w:color w:val="auto"/>
                </w:rPr>
                <w:t>Other Information</w:t>
              </w:r>
            </w:hyperlink>
          </w:p>
        </w:tc>
        <w:tc>
          <w:tcPr>
            <w:tcW w:w="88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40">
              <w:r>
                <w:rPr>
                  <w:rFonts w:ascii="Arial" w:cs="Arial" w:eastAsia="Arial" w:hAnsi="Arial"/>
                  <w:sz w:val="18"/>
                  <w:szCs w:val="18"/>
                  <w:color w:val="auto"/>
                </w:rPr>
                <w:t>Item 6.</w:t>
              </w:r>
            </w:hyperlink>
          </w:p>
        </w:tc>
        <w:tc>
          <w:tcPr>
            <w:tcW w:w="9440" w:type="dxa"/>
            <w:vAlign w:val="bottom"/>
            <w:gridSpan w:val="3"/>
          </w:tcPr>
          <w:p>
            <w:pPr>
              <w:ind w:left="200"/>
              <w:spacing w:after="0"/>
              <w:rPr>
                <w:rFonts w:ascii="Arial" w:cs="Arial" w:eastAsia="Arial" w:hAnsi="Arial"/>
                <w:sz w:val="18"/>
                <w:szCs w:val="18"/>
                <w:color w:val="auto"/>
              </w:rPr>
            </w:pPr>
            <w:hyperlink w:anchor="page40">
              <w:r>
                <w:rPr>
                  <w:rFonts w:ascii="Arial" w:cs="Arial" w:eastAsia="Arial" w:hAnsi="Arial"/>
                  <w:sz w:val="18"/>
                  <w:szCs w:val="18"/>
                  <w:color w:val="auto"/>
                </w:rPr>
                <w:t>Exhibits</w:t>
              </w:r>
            </w:hyperlink>
          </w:p>
        </w:tc>
        <w:tc>
          <w:tcPr>
            <w:tcW w:w="88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rFonts w:ascii="Arial" w:cs="Arial" w:eastAsia="Arial" w:hAnsi="Arial"/>
          <w:sz w:val="18"/>
          <w:szCs w:val="18"/>
          <w:b w:val="1"/>
          <w:bCs w:val="1"/>
          <w:color w:val="auto"/>
        </w:rPr>
      </w:pPr>
      <w:hyperlink w:anchor="page41">
        <w:r>
          <w:rPr>
            <w:rFonts w:ascii="Arial" w:cs="Arial" w:eastAsia="Arial" w:hAnsi="Arial"/>
            <w:sz w:val="18"/>
            <w:szCs w:val="18"/>
            <w:b w:val="1"/>
            <w:bCs w:val="1"/>
            <w:color w:val="auto"/>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1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RENT-A-CENTER, INC.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931" w:right="339" w:bottom="1440" w:gutter="0" w:footer="0" w:header="0"/>
        </w:sectPr>
      </w:pPr>
    </w:p>
    <w:p>
      <w:pPr>
        <w:spacing w:after="0" w:line="234" w:lineRule="exact"/>
        <w:rPr>
          <w:sz w:val="20"/>
          <w:szCs w:val="20"/>
          <w:color w:val="auto"/>
        </w:rPr>
      </w:pPr>
    </w:p>
    <w:p>
      <w:pPr>
        <w:jc w:val="center"/>
        <w:ind w:left="486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31115</wp:posOffset>
            </wp:positionV>
            <wp:extent cx="1920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33" w:lineRule="exact"/>
        <w:rPr>
          <w:sz w:val="20"/>
          <w:szCs w:val="20"/>
          <w:color w:val="auto"/>
        </w:rPr>
      </w:pPr>
    </w:p>
    <w:p>
      <w:pPr>
        <w:ind w:left="5460"/>
        <w:spacing w:after="0"/>
        <w:tabs>
          <w:tab w:leader="none" w:pos="70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46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31115</wp:posOffset>
            </wp:positionV>
            <wp:extent cx="19373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33" w:lineRule="exact"/>
        <w:rPr>
          <w:sz w:val="20"/>
          <w:szCs w:val="20"/>
          <w:color w:val="auto"/>
        </w:rPr>
      </w:pPr>
    </w:p>
    <w:p>
      <w:pPr>
        <w:ind w:left="140"/>
        <w:spacing w:after="0"/>
        <w:tabs>
          <w:tab w:leader="none" w:pos="17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5" w:lineRule="exact"/>
        <w:rPr>
          <w:sz w:val="20"/>
          <w:szCs w:val="20"/>
          <w:color w:val="auto"/>
        </w:rPr>
      </w:pPr>
    </w:p>
    <w:p>
      <w:pPr>
        <w:sectPr>
          <w:pgSz w:w="11900" w:h="16838" w:orient="portrait"/>
          <w:cols w:equalWidth="0" w:num="2">
            <w:col w:w="7920" w:space="720"/>
            <w:col w:w="2600"/>
          </w:cols>
          <w:pgMar w:left="320" w:top="931" w:right="33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48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3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360"/>
              <w:spacing w:after="0"/>
              <w:rPr>
                <w:sz w:val="20"/>
                <w:szCs w:val="20"/>
                <w:color w:val="auto"/>
              </w:rPr>
            </w:pPr>
            <w:r>
              <w:rPr>
                <w:rFonts w:ascii="Arial" w:cs="Arial" w:eastAsia="Arial" w:hAnsi="Arial"/>
                <w:sz w:val="18"/>
                <w:szCs w:val="18"/>
                <w:color w:val="auto"/>
              </w:rPr>
              <w:t>Store</w:t>
            </w: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Rentals and fees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930,849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579,573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2,592,788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1,682,310</w:t>
            </w:r>
          </w:p>
        </w:tc>
        <w:tc>
          <w:tcPr>
            <w:tcW w:w="0" w:type="dxa"/>
            <w:vAlign w:val="bottom"/>
          </w:tcPr>
          <w:p>
            <w:pPr>
              <w:spacing w:after="0"/>
              <w:rPr>
                <w:sz w:val="1"/>
                <w:szCs w:val="1"/>
                <w:color w:val="auto"/>
              </w:rPr>
            </w:pPr>
          </w:p>
        </w:tc>
      </w:tr>
      <w:tr>
        <w:trPr>
          <w:trHeight w:val="229"/>
        </w:trPr>
        <w:tc>
          <w:tcPr>
            <w:tcW w:w="4880" w:type="dxa"/>
            <w:vAlign w:val="bottom"/>
          </w:tcPr>
          <w:p>
            <w:pPr>
              <w:ind w:left="680"/>
              <w:spacing w:after="0"/>
              <w:rPr>
                <w:sz w:val="20"/>
                <w:szCs w:val="20"/>
                <w:color w:val="auto"/>
              </w:rPr>
            </w:pPr>
            <w:r>
              <w:rPr>
                <w:rFonts w:ascii="Arial" w:cs="Arial" w:eastAsia="Arial" w:hAnsi="Arial"/>
                <w:sz w:val="18"/>
                <w:szCs w:val="18"/>
                <w:color w:val="auto"/>
              </w:rPr>
              <w:t>Merchandise sales</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192,016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91,233</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646,038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300,693</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Installment sales</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48,970</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Total store revenues</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1,140,975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688,230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3,294,853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2,034,314</w:t>
            </w:r>
          </w:p>
        </w:tc>
        <w:tc>
          <w:tcPr>
            <w:tcW w:w="0" w:type="dxa"/>
            <w:vAlign w:val="bottom"/>
          </w:tcPr>
          <w:p>
            <w:pPr>
              <w:spacing w:after="0"/>
              <w:rPr>
                <w:sz w:val="1"/>
                <w:szCs w:val="1"/>
                <w:color w:val="auto"/>
              </w:rPr>
            </w:pPr>
          </w:p>
        </w:tc>
      </w:tr>
      <w:tr>
        <w:trPr>
          <w:trHeight w:val="230"/>
        </w:trPr>
        <w:tc>
          <w:tcPr>
            <w:tcW w:w="4880" w:type="dxa"/>
            <w:vAlign w:val="bottom"/>
          </w:tcPr>
          <w:p>
            <w:pPr>
              <w:ind w:left="360"/>
              <w:spacing w:after="0"/>
              <w:rPr>
                <w:sz w:val="20"/>
                <w:szCs w:val="20"/>
                <w:color w:val="auto"/>
              </w:rPr>
            </w:pPr>
            <w:r>
              <w:rPr>
                <w:rFonts w:ascii="Arial" w:cs="Arial" w:eastAsia="Arial" w:hAnsi="Arial"/>
                <w:sz w:val="18"/>
                <w:szCs w:val="18"/>
                <w:color w:val="auto"/>
              </w:rPr>
              <w:t>Franchise</w:t>
            </w: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Merchandise sales</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49,553</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Royalty income and fees</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4,716</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13,833</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Total revenues</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1,181,268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712,015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3,412,025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2,097,700</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Store</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680"/>
              <w:spacing w:after="0"/>
              <w:rPr>
                <w:sz w:val="20"/>
                <w:szCs w:val="20"/>
                <w:color w:val="auto"/>
              </w:rPr>
            </w:pPr>
            <w:r>
              <w:rPr>
                <w:rFonts w:ascii="Arial" w:cs="Arial" w:eastAsia="Arial" w:hAnsi="Arial"/>
                <w:sz w:val="18"/>
                <w:szCs w:val="18"/>
                <w:color w:val="auto"/>
              </w:rPr>
              <w:t>Cost of rentals and fees</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344,623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167,027</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912,531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489,606</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Cost of merchandise sold</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95,177</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717,983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296,894</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Cost of installment sales</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5,713</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16,830</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Total cost of store revenues</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267,917</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1,649,080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803,330</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Franchise cost of merchandise sold</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33,570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19,070</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96,190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49,632</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Total cost of revenues</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612,508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286,987</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1,745,270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852,962</w:t>
            </w:r>
          </w:p>
        </w:tc>
        <w:tc>
          <w:tcPr>
            <w:tcW w:w="0" w:type="dxa"/>
            <w:vAlign w:val="bottom"/>
          </w:tcPr>
          <w:p>
            <w:pPr>
              <w:spacing w:after="0"/>
              <w:rPr>
                <w:sz w:val="1"/>
                <w:szCs w:val="1"/>
                <w:color w:val="auto"/>
              </w:rPr>
            </w:pPr>
          </w:p>
        </w:tc>
      </w:tr>
      <w:tr>
        <w:trPr>
          <w:trHeight w:val="223"/>
        </w:trPr>
        <w:tc>
          <w:tcPr>
            <w:tcW w:w="4880" w:type="dxa"/>
            <w:vAlign w:val="bottom"/>
          </w:tcPr>
          <w:p>
            <w:pPr>
              <w:ind w:left="68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568,760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425,028</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1,666,755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1,244,738</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360"/>
              <w:spacing w:after="0"/>
              <w:rPr>
                <w:sz w:val="20"/>
                <w:szCs w:val="20"/>
                <w:color w:val="auto"/>
              </w:rPr>
            </w:pPr>
            <w:r>
              <w:rPr>
                <w:rFonts w:ascii="Arial" w:cs="Arial" w:eastAsia="Arial" w:hAnsi="Arial"/>
                <w:sz w:val="18"/>
                <w:szCs w:val="18"/>
                <w:color w:val="auto"/>
              </w:rPr>
              <w:t>Store expenses</w:t>
            </w: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Labor</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150,493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434,216</w:t>
            </w:r>
          </w:p>
        </w:tc>
        <w:tc>
          <w:tcPr>
            <w:tcW w:w="0" w:type="dxa"/>
            <w:vAlign w:val="bottom"/>
          </w:tcPr>
          <w:p>
            <w:pPr>
              <w:spacing w:after="0"/>
              <w:rPr>
                <w:sz w:val="1"/>
                <w:szCs w:val="1"/>
                <w:color w:val="auto"/>
              </w:rPr>
            </w:pPr>
          </w:p>
        </w:tc>
      </w:tr>
      <w:tr>
        <w:trPr>
          <w:trHeight w:val="230"/>
        </w:trPr>
        <w:tc>
          <w:tcPr>
            <w:tcW w:w="4880" w:type="dxa"/>
            <w:vAlign w:val="bottom"/>
          </w:tcPr>
          <w:p>
            <w:pPr>
              <w:ind w:left="680"/>
              <w:spacing w:after="0"/>
              <w:rPr>
                <w:sz w:val="20"/>
                <w:szCs w:val="20"/>
                <w:color w:val="auto"/>
              </w:rPr>
            </w:pPr>
            <w:r>
              <w:rPr>
                <w:rFonts w:ascii="Arial" w:cs="Arial" w:eastAsia="Arial" w:hAnsi="Arial"/>
                <w:sz w:val="18"/>
                <w:szCs w:val="18"/>
                <w:color w:val="auto"/>
              </w:rPr>
              <w:t>Other store expenses</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189,553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140,818</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540,698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463,292</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113,694</w:t>
            </w:r>
          </w:p>
        </w:tc>
        <w:tc>
          <w:tcPr>
            <w:tcW w:w="0" w:type="dxa"/>
            <w:vAlign w:val="bottom"/>
          </w:tcPr>
          <w:p>
            <w:pPr>
              <w:spacing w:after="0"/>
              <w:rPr>
                <w:sz w:val="1"/>
                <w:szCs w:val="1"/>
                <w:color w:val="auto"/>
              </w:rPr>
            </w:pPr>
          </w:p>
        </w:tc>
      </w:tr>
      <w:tr>
        <w:trPr>
          <w:trHeight w:val="229"/>
        </w:trPr>
        <w:tc>
          <w:tcPr>
            <w:tcW w:w="48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13,810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40,794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43,071</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charges (gains)</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88,323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212,095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7,768</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501,614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344,841</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1,423,044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1,062,041</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profit</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80,187</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182,697</w:t>
            </w:r>
          </w:p>
        </w:tc>
        <w:tc>
          <w:tcPr>
            <w:tcW w:w="0" w:type="dxa"/>
            <w:vAlign w:val="bottom"/>
          </w:tcPr>
          <w:p>
            <w:pPr>
              <w:spacing w:after="0"/>
              <w:rPr>
                <w:sz w:val="1"/>
                <w:szCs w:val="1"/>
                <w:color w:val="auto"/>
              </w:rPr>
            </w:pPr>
          </w:p>
        </w:tc>
      </w:tr>
      <w:tr>
        <w:trPr>
          <w:trHeight w:val="230"/>
        </w:trPr>
        <w:tc>
          <w:tcPr>
            <w:tcW w:w="4880" w:type="dxa"/>
            <w:vAlign w:val="bottom"/>
          </w:tcPr>
          <w:p>
            <w:pPr>
              <w:ind w:left="360"/>
              <w:spacing w:after="0"/>
              <w:rPr>
                <w:sz w:val="20"/>
                <w:szCs w:val="20"/>
                <w:color w:val="auto"/>
              </w:rPr>
            </w:pPr>
            <w:r>
              <w:rPr>
                <w:rFonts w:ascii="Arial" w:cs="Arial" w:eastAsia="Arial" w:hAnsi="Arial"/>
                <w:sz w:val="18"/>
                <w:szCs w:val="18"/>
                <w:color w:val="auto"/>
              </w:rPr>
              <w:t>Debt refinancing charges</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11,958</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Earnings before income taxes</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76,989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171,300</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12,959</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50,982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19,485</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earnings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64,030</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151,815</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common share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8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0.36</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w:t>
            </w:r>
          </w:p>
        </w:tc>
        <w:tc>
          <w:tcPr>
            <w:tcW w:w="28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2.17</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8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0.31</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0.29</w:t>
            </w:r>
          </w:p>
        </w:tc>
        <w:tc>
          <w:tcPr>
            <w:tcW w:w="28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0.93</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364" w:right="339" w:bottom="1440" w:gutter="0" w:footer="0" w:header="0"/>
        </w:sectPr>
      </w:pPr>
    </w:p>
    <w:p>
      <w:pPr>
        <w:spacing w:after="0" w:line="216" w:lineRule="exact"/>
        <w:rPr>
          <w:sz w:val="20"/>
          <w:szCs w:val="20"/>
          <w:color w:val="auto"/>
        </w:rPr>
      </w:pPr>
    </w:p>
    <w:p>
      <w:pPr>
        <w:jc w:val="center"/>
        <w:ind w:left="492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31115</wp:posOffset>
            </wp:positionV>
            <wp:extent cx="1920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33" w:lineRule="exact"/>
        <w:rPr>
          <w:sz w:val="20"/>
          <w:szCs w:val="20"/>
          <w:color w:val="auto"/>
        </w:rPr>
      </w:pPr>
    </w:p>
    <w:p>
      <w:pPr>
        <w:ind w:left="5500"/>
        <w:spacing w:after="0"/>
        <w:tabs>
          <w:tab w:leader="none" w:pos="70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44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31115</wp:posOffset>
            </wp:positionV>
            <wp:extent cx="1920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33" w:lineRule="exact"/>
        <w:rPr>
          <w:sz w:val="20"/>
          <w:szCs w:val="20"/>
          <w:color w:val="auto"/>
        </w:rPr>
      </w:pPr>
    </w:p>
    <w:p>
      <w:pPr>
        <w:ind w:left="140"/>
        <w:spacing w:after="0"/>
        <w:tabs>
          <w:tab w:leader="none" w:pos="16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5" w:lineRule="exact"/>
        <w:rPr>
          <w:sz w:val="20"/>
          <w:szCs w:val="20"/>
          <w:color w:val="auto"/>
        </w:rPr>
      </w:pPr>
    </w:p>
    <w:p>
      <w:pPr>
        <w:sectPr>
          <w:pgSz w:w="11900" w:h="16838" w:orient="portrait"/>
          <w:cols w:equalWidth="0" w:num="2">
            <w:col w:w="7940" w:space="720"/>
            <w:col w:w="2580"/>
          </w:cols>
          <w:pgMar w:left="320" w:top="364" w:right="33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49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64,030</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151,815</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Foreign currency translation adjustments, net of tax of $(251)</w:t>
            </w: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6"/>
              </w:rPr>
              <w:t>and $162, $(240) and $(872) for the three and nine months</w:t>
            </w:r>
          </w:p>
        </w:tc>
        <w:tc>
          <w:tcPr>
            <w:tcW w:w="5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ended September 30, 2021 and 2020, respectively</w:t>
            </w: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other comprehensive (loss) income</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2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Comprehensive income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64,639</w:t>
            </w:r>
          </w:p>
        </w:tc>
        <w:tc>
          <w:tcPr>
            <w:tcW w:w="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148,535</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6"/>
                <w:szCs w:val="16"/>
                <w:color w:val="auto"/>
              </w:rPr>
            </w:pPr>
          </w:p>
        </w:tc>
        <w:tc>
          <w:tcPr>
            <w:tcW w:w="1440" w:type="dxa"/>
            <w:vAlign w:val="bottom"/>
          </w:tcPr>
          <w:p>
            <w:pPr>
              <w:jc w:val="right"/>
              <w:ind w:right="131"/>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69"/>
        </w:trPr>
        <w:tc>
          <w:tcPr>
            <w:tcW w:w="79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par value data)</w:t>
            </w:r>
          </w:p>
        </w:tc>
        <w:tc>
          <w:tcPr>
            <w:tcW w:w="1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ASSETS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158,830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159,449</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Receivables, net of allowance for doubtful accounts of $7,964 and $8,047 in 2021 and 2020, respectively</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90,003</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51,480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50,006</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merchandise, net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Arial" w:cs="Arial" w:eastAsia="Arial" w:hAnsi="Arial"/>
                <w:sz w:val="18"/>
                <w:szCs w:val="18"/>
                <w:color w:val="auto"/>
              </w:rPr>
              <w:t>On rent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1,121,038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762,886</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Held for rent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146,266</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Merchandise held for installment sale</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5,439</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Property assets, net of accumulated depreciation of $542,328 and $505,074 in 2021 and 2020, respectively</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141,641</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298,263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283,422</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33,782</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332,210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70,217</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454,672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7,869</w:t>
            </w:r>
          </w:p>
        </w:tc>
        <w:tc>
          <w:tcPr>
            <w:tcW w:w="0" w:type="dxa"/>
            <w:vAlign w:val="bottom"/>
          </w:tcPr>
          <w:p>
            <w:pPr>
              <w:spacing w:after="0"/>
              <w:rPr>
                <w:sz w:val="1"/>
                <w:szCs w:val="1"/>
                <w:color w:val="auto"/>
              </w:rPr>
            </w:pPr>
          </w:p>
        </w:tc>
      </w:tr>
      <w:tr>
        <w:trPr>
          <w:trHeight w:val="223"/>
        </w:trPr>
        <w:tc>
          <w:tcPr>
            <w:tcW w:w="794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3,053,670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1,750,980</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Accounts payable – trade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150,232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186,063</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320,583</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300,410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285,354</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176,410</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Senior debt, net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846,060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190,490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net</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435,497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4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2,199,591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1,158,900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40" w:type="dxa"/>
            <w:vAlign w:val="bottom"/>
          </w:tcPr>
          <w:p>
            <w:pPr>
              <w:ind w:left="20"/>
              <w:spacing w:after="0" w:line="176" w:lineRule="exact"/>
              <w:rPr>
                <w:sz w:val="20"/>
                <w:szCs w:val="20"/>
                <w:color w:val="auto"/>
              </w:rPr>
            </w:pPr>
            <w:r>
              <w:rPr>
                <w:rFonts w:ascii="Arial" w:cs="Arial" w:eastAsia="Arial" w:hAnsi="Arial"/>
                <w:sz w:val="18"/>
                <w:szCs w:val="18"/>
                <w:color w:val="auto"/>
                <w:w w:val="89"/>
              </w:rPr>
              <w:t>Common stock, $0.01 par value; 250,000,000 shares authorized; 124,375,880 and 112,180,517 shares issued</w:t>
            </w:r>
          </w:p>
        </w:tc>
        <w:tc>
          <w:tcPr>
            <w:tcW w:w="16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in 2021 and 2020, respectively</w:t>
            </w:r>
          </w:p>
        </w:tc>
        <w:tc>
          <w:tcPr>
            <w:tcW w:w="16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1,106,425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886,902</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1,154,386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1,091,010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stock at cost, 58,227,367 and 57,891,859 shares in 2021 and 2020, respectively</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(1,395,576)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(1,375,541)</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(11,396)</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854,079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592,080</w:t>
            </w:r>
          </w:p>
        </w:tc>
        <w:tc>
          <w:tcPr>
            <w:tcW w:w="0" w:type="dxa"/>
            <w:vAlign w:val="bottom"/>
          </w:tcPr>
          <w:p>
            <w:pPr>
              <w:spacing w:after="0"/>
              <w:rPr>
                <w:sz w:val="1"/>
                <w:szCs w:val="1"/>
                <w:color w:val="auto"/>
              </w:rPr>
            </w:pPr>
          </w:p>
        </w:tc>
      </w:tr>
      <w:tr>
        <w:trPr>
          <w:trHeight w:val="223"/>
        </w:trPr>
        <w:tc>
          <w:tcPr>
            <w:tcW w:w="7940" w:type="dxa"/>
            <w:vAlign w:val="bottom"/>
          </w:tcPr>
          <w:p>
            <w:pPr>
              <w:ind w:left="100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3,053,670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1,750,980</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000" w:type="dxa"/>
            <w:vAlign w:val="bottom"/>
          </w:tcPr>
          <w:p>
            <w:pPr>
              <w:spacing w:after="0"/>
              <w:rPr>
                <w:sz w:val="17"/>
                <w:szCs w:val="17"/>
                <w:color w:val="auto"/>
              </w:rPr>
            </w:pPr>
          </w:p>
        </w:tc>
        <w:tc>
          <w:tcPr>
            <w:tcW w:w="198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Accumulated Other</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3000" w:type="dxa"/>
            <w:vAlign w:val="bottom"/>
          </w:tcPr>
          <w:p>
            <w:pPr>
              <w:spacing w:after="0"/>
              <w:rPr>
                <w:sz w:val="10"/>
                <w:szCs w:val="10"/>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0"/>
                <w:szCs w:val="10"/>
                <w:color w:val="auto"/>
              </w:rPr>
            </w:pPr>
          </w:p>
        </w:tc>
        <w:tc>
          <w:tcPr>
            <w:tcW w:w="1060" w:type="dxa"/>
            <w:vAlign w:val="bottom"/>
            <w:gridSpan w:val="2"/>
          </w:tcPr>
          <w:p>
            <w:pPr>
              <w:jc w:val="center"/>
              <w:ind w:right="280"/>
              <w:spacing w:after="0" w:line="115" w:lineRule="exact"/>
              <w:rPr>
                <w:sz w:val="20"/>
                <w:szCs w:val="20"/>
                <w:color w:val="auto"/>
              </w:rPr>
            </w:pPr>
            <w:r>
              <w:rPr>
                <w:rFonts w:ascii="Arial" w:cs="Arial" w:eastAsia="Arial" w:hAnsi="Arial"/>
                <w:sz w:val="13"/>
                <w:szCs w:val="13"/>
                <w:b w:val="1"/>
                <w:bCs w:val="1"/>
                <w:color w:val="auto"/>
              </w:rPr>
              <w:t>Paid-In</w:t>
            </w:r>
          </w:p>
        </w:tc>
        <w:tc>
          <w:tcPr>
            <w:tcW w:w="200" w:type="dxa"/>
            <w:vAlign w:val="bottom"/>
          </w:tcPr>
          <w:p>
            <w:pPr>
              <w:spacing w:after="0"/>
              <w:rPr>
                <w:sz w:val="10"/>
                <w:szCs w:val="10"/>
                <w:color w:val="auto"/>
              </w:rPr>
            </w:pPr>
          </w:p>
        </w:tc>
        <w:tc>
          <w:tcPr>
            <w:tcW w:w="1040" w:type="dxa"/>
            <w:vAlign w:val="bottom"/>
            <w:gridSpan w:val="2"/>
          </w:tcPr>
          <w:p>
            <w:pPr>
              <w:ind w:left="100"/>
              <w:spacing w:after="0" w:line="115" w:lineRule="exact"/>
              <w:rPr>
                <w:sz w:val="20"/>
                <w:szCs w:val="20"/>
                <w:color w:val="auto"/>
              </w:rPr>
            </w:pPr>
            <w:r>
              <w:rPr>
                <w:rFonts w:ascii="Arial" w:cs="Arial" w:eastAsia="Arial" w:hAnsi="Arial"/>
                <w:sz w:val="13"/>
                <w:szCs w:val="13"/>
                <w:b w:val="1"/>
                <w:bCs w:val="1"/>
                <w:color w:val="auto"/>
              </w:rPr>
              <w:t>Retained</w:t>
            </w:r>
          </w:p>
        </w:tc>
        <w:tc>
          <w:tcPr>
            <w:tcW w:w="220" w:type="dxa"/>
            <w:vAlign w:val="bottom"/>
          </w:tcPr>
          <w:p>
            <w:pPr>
              <w:spacing w:after="0"/>
              <w:rPr>
                <w:sz w:val="10"/>
                <w:szCs w:val="10"/>
                <w:color w:val="auto"/>
              </w:rPr>
            </w:pPr>
          </w:p>
        </w:tc>
        <w:tc>
          <w:tcPr>
            <w:tcW w:w="1080" w:type="dxa"/>
            <w:vAlign w:val="bottom"/>
            <w:gridSpan w:val="2"/>
          </w:tcPr>
          <w:p>
            <w:pPr>
              <w:ind w:left="100"/>
              <w:spacing w:after="0" w:line="115" w:lineRule="exact"/>
              <w:rPr>
                <w:sz w:val="20"/>
                <w:szCs w:val="20"/>
                <w:color w:val="auto"/>
              </w:rPr>
            </w:pPr>
            <w:r>
              <w:rPr>
                <w:rFonts w:ascii="Arial" w:cs="Arial" w:eastAsia="Arial" w:hAnsi="Arial"/>
                <w:sz w:val="13"/>
                <w:szCs w:val="13"/>
                <w:b w:val="1"/>
                <w:bCs w:val="1"/>
                <w:color w:val="auto"/>
              </w:rPr>
              <w:t>Treasury</w:t>
            </w:r>
          </w:p>
        </w:tc>
        <w:tc>
          <w:tcPr>
            <w:tcW w:w="120" w:type="dxa"/>
            <w:vAlign w:val="bottom"/>
          </w:tcPr>
          <w:p>
            <w:pPr>
              <w:spacing w:after="0"/>
              <w:rPr>
                <w:sz w:val="10"/>
                <w:szCs w:val="10"/>
                <w:color w:val="auto"/>
              </w:rPr>
            </w:pPr>
          </w:p>
        </w:tc>
        <w:tc>
          <w:tcPr>
            <w:tcW w:w="128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w w:val="98"/>
              </w:rPr>
              <w:t>Comprehensive</w:t>
            </w:r>
          </w:p>
        </w:tc>
        <w:tc>
          <w:tcPr>
            <w:tcW w:w="220" w:type="dxa"/>
            <w:vAlign w:val="bottom"/>
          </w:tcPr>
          <w:p>
            <w:pPr>
              <w:spacing w:after="0"/>
              <w:rPr>
                <w:sz w:val="10"/>
                <w:szCs w:val="10"/>
                <w:color w:val="auto"/>
              </w:rPr>
            </w:pPr>
          </w:p>
        </w:tc>
        <w:tc>
          <w:tcPr>
            <w:tcW w:w="76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(Loss) Income</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000" w:type="dxa"/>
            <w:vAlign w:val="bottom"/>
          </w:tcPr>
          <w:p>
            <w:pPr>
              <w:ind w:left="60"/>
              <w:spacing w:after="0"/>
              <w:rPr>
                <w:sz w:val="20"/>
                <w:szCs w:val="20"/>
                <w:color w:val="auto"/>
              </w:rPr>
            </w:pPr>
            <w:r>
              <w:rPr>
                <w:rFonts w:ascii="Arial" w:cs="Arial" w:eastAsia="Arial" w:hAnsi="Arial"/>
                <w:sz w:val="14"/>
                <w:szCs w:val="14"/>
                <w:i w:val="1"/>
                <w:iCs w:val="1"/>
                <w:color w:val="auto"/>
              </w:rPr>
              <w:t>(In thousands)</w:t>
            </w: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886,902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1,091,010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(1,375,541)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592,080</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Net earnings</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42,552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42,552</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8,944</w:t>
            </w:r>
          </w:p>
        </w:tc>
        <w:tc>
          <w:tcPr>
            <w:tcW w:w="0" w:type="dxa"/>
            <w:vAlign w:val="bottom"/>
          </w:tcPr>
          <w:p>
            <w:pPr>
              <w:spacing w:after="0"/>
              <w:rPr>
                <w:sz w:val="1"/>
                <w:szCs w:val="1"/>
                <w:color w:val="auto"/>
              </w:rPr>
            </w:pPr>
          </w:p>
        </w:tc>
      </w:tr>
      <w:tr>
        <w:trPr>
          <w:trHeight w:val="169"/>
        </w:trPr>
        <w:tc>
          <w:tcPr>
            <w:tcW w:w="30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Vesting of restricted share units, net of</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(20,910)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(20,903)</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140"/>
              <w:spacing w:after="0" w:line="213" w:lineRule="exact"/>
              <w:rPr>
                <w:sz w:val="20"/>
                <w:szCs w:val="20"/>
                <w:color w:val="auto"/>
              </w:rPr>
            </w:pPr>
            <w:r>
              <w:rPr>
                <w:rFonts w:ascii="Arial" w:cs="Arial" w:eastAsia="Arial" w:hAnsi="Arial"/>
                <w:sz w:val="16"/>
                <w:szCs w:val="16"/>
                <w:color w:val="auto"/>
              </w:rPr>
              <w:t>shares withheld for employee taxes</w:t>
            </w:r>
            <w:r>
              <w:rPr>
                <w:rFonts w:ascii="Arial" w:cs="Arial" w:eastAsia="Arial" w:hAnsi="Arial"/>
                <w:sz w:val="21"/>
                <w:szCs w:val="21"/>
                <w:color w:val="auto"/>
                <w:vertAlign w:val="superscript"/>
              </w:rPr>
              <w:t>(1)</w:t>
            </w: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20,148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20,148</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(20,722)</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Acima acquisition</w:t>
            </w:r>
          </w:p>
        </w:tc>
        <w:tc>
          <w:tcPr>
            <w:tcW w:w="940" w:type="dxa"/>
            <w:vAlign w:val="bottom"/>
          </w:tcPr>
          <w:p>
            <w:pPr>
              <w:jc w:val="right"/>
              <w:spacing w:after="0"/>
              <w:rPr>
                <w:sz w:val="20"/>
                <w:szCs w:val="20"/>
                <w:color w:val="auto"/>
              </w:rPr>
            </w:pPr>
            <w:r>
              <w:rPr>
                <w:rFonts w:ascii="Arial" w:cs="Arial" w:eastAsia="Arial" w:hAnsi="Arial"/>
                <w:sz w:val="16"/>
                <w:szCs w:val="16"/>
                <w:color w:val="auto"/>
              </w:rPr>
              <w:t>10,780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120,914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120,941</w:t>
            </w:r>
          </w:p>
        </w:tc>
        <w:tc>
          <w:tcPr>
            <w:tcW w:w="0" w:type="dxa"/>
            <w:vAlign w:val="bottom"/>
          </w:tcPr>
          <w:p>
            <w:pPr>
              <w:spacing w:after="0"/>
              <w:rPr>
                <w:sz w:val="1"/>
                <w:szCs w:val="1"/>
                <w:color w:val="auto"/>
              </w:rPr>
            </w:pPr>
          </w:p>
        </w:tc>
      </w:tr>
      <w:tr>
        <w:trPr>
          <w:trHeight w:val="213"/>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124,193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1,015,995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1,112,840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(1,375,541)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742,187</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Net earnings</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61,309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61,309</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1,682</w:t>
            </w:r>
          </w:p>
        </w:tc>
        <w:tc>
          <w:tcPr>
            <w:tcW w:w="0" w:type="dxa"/>
            <w:vAlign w:val="bottom"/>
          </w:tcPr>
          <w:p>
            <w:pPr>
              <w:spacing w:after="0"/>
              <w:rPr>
                <w:sz w:val="1"/>
                <w:szCs w:val="1"/>
                <w:color w:val="auto"/>
              </w:rPr>
            </w:pPr>
          </w:p>
        </w:tc>
      </w:tr>
      <w:tr>
        <w:trPr>
          <w:trHeight w:val="169"/>
        </w:trPr>
        <w:tc>
          <w:tcPr>
            <w:tcW w:w="30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Vesting of restricted share units, net of</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withheld for employee taxes</w:t>
            </w: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39,566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39,566</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(20,477)</w:t>
            </w:r>
          </w:p>
        </w:tc>
        <w:tc>
          <w:tcPr>
            <w:tcW w:w="0" w:type="dxa"/>
            <w:vAlign w:val="bottom"/>
          </w:tcPr>
          <w:p>
            <w:pPr>
              <w:spacing w:after="0"/>
              <w:rPr>
                <w:sz w:val="1"/>
                <w:szCs w:val="1"/>
                <w:color w:val="auto"/>
              </w:rPr>
            </w:pPr>
          </w:p>
        </w:tc>
      </w:tr>
      <w:tr>
        <w:trPr>
          <w:trHeight w:val="207"/>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124,347</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1,144</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1,057,242</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1,153,672</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(1,375,541)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(11,353)</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825,164</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earnings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21,267</w:t>
            </w:r>
          </w:p>
        </w:tc>
        <w:tc>
          <w:tcPr>
            <w:tcW w:w="0" w:type="dxa"/>
            <w:vAlign w:val="bottom"/>
          </w:tcPr>
          <w:p>
            <w:pPr>
              <w:spacing w:after="0"/>
              <w:rPr>
                <w:sz w:val="1"/>
                <w:szCs w:val="1"/>
                <w:color w:val="auto"/>
              </w:rPr>
            </w:pPr>
          </w:p>
        </w:tc>
      </w:tr>
      <w:tr>
        <w:trPr>
          <w:trHeight w:val="213"/>
        </w:trPr>
        <w:tc>
          <w:tcPr>
            <w:tcW w:w="3000" w:type="dxa"/>
            <w:vAlign w:val="bottom"/>
          </w:tcPr>
          <w:p>
            <w:pPr>
              <w:ind w:left="180"/>
              <w:spacing w:after="0"/>
              <w:rPr>
                <w:sz w:val="20"/>
                <w:szCs w:val="20"/>
                <w:color w:val="auto"/>
              </w:rPr>
            </w:pPr>
            <w:r>
              <w:rPr>
                <w:rFonts w:ascii="Arial" w:cs="Arial" w:eastAsia="Arial" w:hAnsi="Arial"/>
                <w:sz w:val="16"/>
                <w:szCs w:val="16"/>
                <w:color w:val="auto"/>
              </w:rPr>
              <w:t>Other comprehensive loss</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(944)</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 of treasury stock</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(20,039)</w:t>
            </w:r>
          </w:p>
        </w:tc>
        <w:tc>
          <w:tcPr>
            <w:tcW w:w="0" w:type="dxa"/>
            <w:vAlign w:val="bottom"/>
          </w:tcPr>
          <w:p>
            <w:pPr>
              <w:spacing w:after="0"/>
              <w:rPr>
                <w:sz w:val="1"/>
                <w:szCs w:val="1"/>
                <w:color w:val="auto"/>
              </w:rPr>
            </w:pPr>
          </w:p>
        </w:tc>
      </w:tr>
      <w:tr>
        <w:trPr>
          <w:trHeight w:val="213"/>
        </w:trPr>
        <w:tc>
          <w:tcPr>
            <w:tcW w:w="3000" w:type="dxa"/>
            <w:vAlign w:val="bottom"/>
          </w:tcPr>
          <w:p>
            <w:pPr>
              <w:ind w:left="180"/>
              <w:spacing w:after="0"/>
              <w:rPr>
                <w:sz w:val="20"/>
                <w:szCs w:val="20"/>
                <w:color w:val="auto"/>
              </w:rPr>
            </w:pPr>
            <w:r>
              <w:rPr>
                <w:rFonts w:ascii="Arial" w:cs="Arial" w:eastAsia="Arial" w:hAnsi="Arial"/>
                <w:sz w:val="16"/>
                <w:szCs w:val="16"/>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48,442</w:t>
            </w:r>
          </w:p>
        </w:tc>
        <w:tc>
          <w:tcPr>
            <w:tcW w:w="0" w:type="dxa"/>
            <w:vAlign w:val="bottom"/>
          </w:tcPr>
          <w:p>
            <w:pPr>
              <w:spacing w:after="0"/>
              <w:rPr>
                <w:sz w:val="1"/>
                <w:szCs w:val="1"/>
                <w:color w:val="auto"/>
              </w:rPr>
            </w:pPr>
          </w:p>
        </w:tc>
      </w:tr>
      <w:tr>
        <w:trPr>
          <w:trHeight w:val="213"/>
        </w:trPr>
        <w:tc>
          <w:tcPr>
            <w:tcW w:w="3000" w:type="dxa"/>
            <w:vAlign w:val="bottom"/>
          </w:tcPr>
          <w:p>
            <w:pPr>
              <w:ind w:left="180"/>
              <w:spacing w:after="0"/>
              <w:rPr>
                <w:sz w:val="20"/>
                <w:szCs w:val="20"/>
                <w:color w:val="auto"/>
              </w:rPr>
            </w:pPr>
            <w:r>
              <w:rPr>
                <w:rFonts w:ascii="Arial" w:cs="Arial" w:eastAsia="Arial" w:hAnsi="Arial"/>
                <w:sz w:val="16"/>
                <w:szCs w:val="16"/>
                <w:color w:val="auto"/>
              </w:rPr>
              <w:t>Dividends declared</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(20,553)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(20,553)</w:t>
            </w:r>
          </w:p>
        </w:tc>
        <w:tc>
          <w:tcPr>
            <w:tcW w:w="0" w:type="dxa"/>
            <w:vAlign w:val="bottom"/>
          </w:tcPr>
          <w:p>
            <w:pPr>
              <w:spacing w:after="0"/>
              <w:rPr>
                <w:sz w:val="1"/>
                <w:szCs w:val="1"/>
                <w:color w:val="auto"/>
              </w:rPr>
            </w:pPr>
          </w:p>
        </w:tc>
      </w:tr>
      <w:tr>
        <w:trPr>
          <w:trHeight w:val="213"/>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124,376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1,106,425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1,154,386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(1,395,576)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854,079</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Includes shares released from escrow related to the 2019 Merchant's Preferred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260" w:type="dxa"/>
            <w:vAlign w:val="bottom"/>
            <w:gridSpan w:val="5"/>
          </w:tcPr>
          <w:p>
            <w:pPr>
              <w:ind w:left="60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6"/>
                <w:szCs w:val="16"/>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Other</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980" w:type="dxa"/>
            <w:vAlign w:val="bottom"/>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3"/>
                <w:szCs w:val="3"/>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Treasury</w:t>
            </w:r>
          </w:p>
        </w:tc>
        <w:tc>
          <w:tcPr>
            <w:tcW w:w="140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1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1"/>
                <w:szCs w:val="11"/>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1"/>
                <w:szCs w:val="11"/>
                <w:color w:val="auto"/>
              </w:rPr>
            </w:pPr>
          </w:p>
        </w:tc>
        <w:tc>
          <w:tcPr>
            <w:tcW w:w="76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9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(Loss) Income</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980" w:type="dxa"/>
            <w:vAlign w:val="bottom"/>
          </w:tcPr>
          <w:p>
            <w:pPr>
              <w:ind w:left="60"/>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869,617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947,875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(1,348,969)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458,963</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Arial" w:cs="Arial" w:eastAsia="Arial" w:hAnsi="Arial"/>
                <w:sz w:val="16"/>
                <w:szCs w:val="16"/>
                <w:color w:val="auto"/>
              </w:rPr>
              <w:t>ASC 326 adoption</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earnings</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49,292</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Arial" w:cs="Arial" w:eastAsia="Arial" w:hAnsi="Arial"/>
                <w:sz w:val="16"/>
                <w:szCs w:val="16"/>
                <w:color w:val="auto"/>
              </w:rPr>
              <w:t>Other comprehensive loss</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(3,906)</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treasury stock</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(26,511)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(26,525)</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Arial" w:cs="Arial" w:eastAsia="Arial" w:hAnsi="Arial"/>
                <w:sz w:val="16"/>
                <w:szCs w:val="16"/>
                <w:color w:val="auto"/>
              </w:rPr>
              <w:t>Exercise of stock options</w:t>
            </w:r>
          </w:p>
        </w:tc>
        <w:tc>
          <w:tcPr>
            <w:tcW w:w="102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1,195</w:t>
            </w:r>
          </w:p>
        </w:tc>
        <w:tc>
          <w:tcPr>
            <w:tcW w:w="0" w:type="dxa"/>
            <w:vAlign w:val="bottom"/>
          </w:tcPr>
          <w:p>
            <w:pPr>
              <w:spacing w:after="0"/>
              <w:rPr>
                <w:sz w:val="1"/>
                <w:szCs w:val="1"/>
                <w:color w:val="auto"/>
              </w:rPr>
            </w:pPr>
          </w:p>
        </w:tc>
      </w:tr>
      <w:tr>
        <w:trPr>
          <w:trHeight w:val="169"/>
        </w:trPr>
        <w:tc>
          <w:tcPr>
            <w:tcW w:w="29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Vesting of restricted share units, net of</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(5,274)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(5,270)</w:t>
            </w:r>
          </w:p>
        </w:tc>
        <w:tc>
          <w:tcPr>
            <w:tcW w:w="0" w:type="dxa"/>
            <w:vAlign w:val="bottom"/>
          </w:tcPr>
          <w:p>
            <w:pPr>
              <w:spacing w:after="0"/>
              <w:rPr>
                <w:sz w:val="1"/>
                <w:szCs w:val="1"/>
                <w:color w:val="auto"/>
              </w:rPr>
            </w:pPr>
          </w:p>
        </w:tc>
      </w:tr>
      <w:tr>
        <w:trPr>
          <w:trHeight w:val="212"/>
        </w:trPr>
        <w:tc>
          <w:tcPr>
            <w:tcW w:w="2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withheld for employee taxes</w:t>
            </w: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3,043</w:t>
            </w:r>
          </w:p>
        </w:tc>
        <w:tc>
          <w:tcPr>
            <w:tcW w:w="0" w:type="dxa"/>
            <w:vAlign w:val="bottom"/>
          </w:tcPr>
          <w:p>
            <w:pPr>
              <w:spacing w:after="0"/>
              <w:rPr>
                <w:sz w:val="1"/>
                <w:szCs w:val="1"/>
                <w:color w:val="auto"/>
              </w:rPr>
            </w:pPr>
          </w:p>
        </w:tc>
      </w:tr>
      <w:tr>
        <w:trPr>
          <w:trHeight w:val="212"/>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111,669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868,580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996,398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(1,375,480)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(14,576)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476,023</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Arial" w:cs="Arial" w:eastAsia="Arial" w:hAnsi="Arial"/>
                <w:sz w:val="16"/>
                <w:szCs w:val="16"/>
                <w:color w:val="auto"/>
              </w:rPr>
              <w:t>Net earnings</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38,493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38,493</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Arial" w:cs="Arial" w:eastAsia="Arial" w:hAnsi="Arial"/>
                <w:sz w:val="16"/>
                <w:szCs w:val="16"/>
                <w:color w:val="auto"/>
              </w:rPr>
              <w:t>Exercise of stock options</w:t>
            </w:r>
          </w:p>
        </w:tc>
        <w:tc>
          <w:tcPr>
            <w:tcW w:w="102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2,849</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Arial" w:cs="Arial" w:eastAsia="Arial" w:hAnsi="Arial"/>
                <w:sz w:val="16"/>
                <w:szCs w:val="16"/>
                <w:color w:val="auto"/>
              </w:rPr>
              <w:t>Dividends declared</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(31,292)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(31,292)</w:t>
            </w:r>
          </w:p>
        </w:tc>
        <w:tc>
          <w:tcPr>
            <w:tcW w:w="0" w:type="dxa"/>
            <w:vAlign w:val="bottom"/>
          </w:tcPr>
          <w:p>
            <w:pPr>
              <w:spacing w:after="0"/>
              <w:rPr>
                <w:sz w:val="1"/>
                <w:szCs w:val="1"/>
                <w:color w:val="auto"/>
              </w:rPr>
            </w:pPr>
          </w:p>
        </w:tc>
      </w:tr>
      <w:tr>
        <w:trPr>
          <w:trHeight w:val="212"/>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111,711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871,915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1,003,599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(1,375,480)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(14,559)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486,576</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Arial" w:cs="Arial" w:eastAsia="Arial" w:hAnsi="Arial"/>
                <w:sz w:val="16"/>
                <w:szCs w:val="16"/>
                <w:color w:val="auto"/>
              </w:rPr>
              <w:t>Net earnings</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64,030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64,030</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Arial" w:cs="Arial" w:eastAsia="Arial" w:hAnsi="Arial"/>
                <w:sz w:val="16"/>
                <w:szCs w:val="16"/>
                <w:color w:val="auto"/>
              </w:rPr>
              <w:t>Purchase of treasury stock</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 of stock options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4,055</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Arial" w:cs="Arial" w:eastAsia="Arial" w:hAnsi="Arial"/>
                <w:sz w:val="16"/>
                <w:szCs w:val="16"/>
                <w:color w:val="auto"/>
              </w:rPr>
              <w:t>MP Acquisition Share Release</w:t>
            </w:r>
          </w:p>
        </w:tc>
        <w:tc>
          <w:tcPr>
            <w:tcW w:w="102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2,997</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Arial" w:cs="Arial" w:eastAsia="Arial" w:hAnsi="Arial"/>
                <w:sz w:val="16"/>
                <w:szCs w:val="16"/>
                <w:color w:val="auto"/>
              </w:rPr>
              <w:t>Dividends Declared</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(15,869)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(15,869)</w:t>
            </w:r>
          </w:p>
        </w:tc>
        <w:tc>
          <w:tcPr>
            <w:tcW w:w="0" w:type="dxa"/>
            <w:vAlign w:val="bottom"/>
          </w:tcPr>
          <w:p>
            <w:pPr>
              <w:spacing w:after="0"/>
              <w:rPr>
                <w:sz w:val="1"/>
                <w:szCs w:val="1"/>
                <w:color w:val="auto"/>
              </w:rPr>
            </w:pPr>
          </w:p>
        </w:tc>
      </w:tr>
      <w:tr>
        <w:trPr>
          <w:trHeight w:val="213"/>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2020</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112,024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878,965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1,051,760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(1,375,541)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(13,950)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542,337</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86"/>
        </w:trPr>
        <w:tc>
          <w:tcPr>
            <w:tcW w:w="8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r>
      <w:tr>
        <w:trPr>
          <w:trHeight w:val="167"/>
        </w:trPr>
        <w:tc>
          <w:tcPr>
            <w:tcW w:w="8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4"/>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Net earnings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125,128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151,815</w:t>
            </w:r>
          </w:p>
        </w:tc>
      </w:tr>
      <w:tr>
        <w:trPr>
          <w:trHeight w:val="229"/>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160" w:type="dxa"/>
            <w:vAlign w:val="bottom"/>
          </w:tcPr>
          <w:p>
            <w:pPr>
              <w:ind w:left="680"/>
              <w:spacing w:after="0"/>
              <w:rPr>
                <w:sz w:val="20"/>
                <w:szCs w:val="20"/>
                <w:color w:val="auto"/>
              </w:rPr>
            </w:pPr>
            <w:r>
              <w:rPr>
                <w:rFonts w:ascii="Arial" w:cs="Arial" w:eastAsia="Arial" w:hAnsi="Arial"/>
                <w:sz w:val="18"/>
                <w:szCs w:val="18"/>
                <w:color w:val="auto"/>
              </w:rPr>
              <w:t>Depreciation of rental merchandise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880,341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471,530</w:t>
            </w:r>
          </w:p>
        </w:tc>
      </w:tr>
      <w:tr>
        <w:trPr>
          <w:trHeight w:val="230"/>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Bad debt expense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10,959</w:t>
            </w:r>
          </w:p>
        </w:tc>
      </w:tr>
      <w:tr>
        <w:trPr>
          <w:trHeight w:val="229"/>
        </w:trPr>
        <w:tc>
          <w:tcPr>
            <w:tcW w:w="8160" w:type="dxa"/>
            <w:vAlign w:val="bottom"/>
          </w:tcPr>
          <w:p>
            <w:pPr>
              <w:ind w:left="68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108,156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8,889</w:t>
            </w:r>
          </w:p>
        </w:tc>
      </w:tr>
      <w:tr>
        <w:trPr>
          <w:trHeight w:val="230"/>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of property assets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42,268</w:t>
            </w:r>
          </w:p>
        </w:tc>
      </w:tr>
      <w:tr>
        <w:trPr>
          <w:trHeight w:val="229"/>
        </w:trPr>
        <w:tc>
          <w:tcPr>
            <w:tcW w:w="8160" w:type="dxa"/>
            <w:vAlign w:val="bottom"/>
          </w:tcPr>
          <w:p>
            <w:pPr>
              <w:ind w:left="680"/>
              <w:spacing w:after="0"/>
              <w:rPr>
                <w:sz w:val="20"/>
                <w:szCs w:val="20"/>
                <w:color w:val="auto"/>
              </w:rPr>
            </w:pPr>
            <w:r>
              <w:rPr>
                <w:rFonts w:ascii="Arial" w:cs="Arial" w:eastAsia="Arial" w:hAnsi="Arial"/>
                <w:sz w:val="18"/>
                <w:szCs w:val="18"/>
                <w:color w:val="auto"/>
              </w:rPr>
              <w:t>Loss on sale or disposal of property assets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1,067</w:t>
            </w:r>
          </w:p>
        </w:tc>
      </w:tr>
      <w:tr>
        <w:trPr>
          <w:trHeight w:val="229"/>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Amortization of intangibles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r>
      <w:tr>
        <w:trPr>
          <w:trHeight w:val="230"/>
        </w:trPr>
        <w:tc>
          <w:tcPr>
            <w:tcW w:w="8160" w:type="dxa"/>
            <w:vAlign w:val="bottom"/>
          </w:tcPr>
          <w:p>
            <w:pPr>
              <w:ind w:left="680"/>
              <w:spacing w:after="0"/>
              <w:rPr>
                <w:sz w:val="20"/>
                <w:szCs w:val="20"/>
                <w:color w:val="auto"/>
              </w:rPr>
            </w:pPr>
            <w:r>
              <w:rPr>
                <w:rFonts w:ascii="Arial" w:cs="Arial" w:eastAsia="Arial" w:hAnsi="Arial"/>
                <w:sz w:val="18"/>
                <w:szCs w:val="18"/>
                <w:color w:val="auto"/>
              </w:rPr>
              <w:t>Amortization of financing fees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1,186</w:t>
            </w:r>
          </w:p>
        </w:tc>
      </w:tr>
      <w:tr>
        <w:trPr>
          <w:trHeight w:val="229"/>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Write-off of debt financing fees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60" w:type="dxa"/>
            <w:vAlign w:val="bottom"/>
          </w:tcPr>
          <w:p>
            <w:pPr>
              <w:ind w:left="6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32,752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4,383</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 net of acquired assets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160" w:type="dxa"/>
            <w:vAlign w:val="bottom"/>
          </w:tcPr>
          <w:p>
            <w:pPr>
              <w:ind w:left="680"/>
              <w:spacing w:after="0"/>
              <w:rPr>
                <w:sz w:val="20"/>
                <w:szCs w:val="20"/>
                <w:color w:val="auto"/>
              </w:rPr>
            </w:pPr>
            <w:r>
              <w:rPr>
                <w:rFonts w:ascii="Arial" w:cs="Arial" w:eastAsia="Arial" w:hAnsi="Arial"/>
                <w:sz w:val="18"/>
                <w:szCs w:val="18"/>
                <w:color w:val="auto"/>
              </w:rPr>
              <w:t>Rental merchandise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(900,921)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(435,722)</w:t>
            </w:r>
          </w:p>
        </w:tc>
      </w:tr>
      <w:tr>
        <w:trPr>
          <w:trHeight w:val="230"/>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Receivables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r>
      <w:tr>
        <w:trPr>
          <w:trHeight w:val="229"/>
        </w:trPr>
        <w:tc>
          <w:tcPr>
            <w:tcW w:w="8160" w:type="dxa"/>
            <w:vAlign w:val="bottom"/>
          </w:tcPr>
          <w:p>
            <w:pPr>
              <w:ind w:left="68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5,871</w:t>
            </w:r>
          </w:p>
        </w:tc>
      </w:tr>
      <w:tr>
        <w:trPr>
          <w:trHeight w:val="229"/>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lease right-of-use assets and lease liabilities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r>
      <w:tr>
        <w:trPr>
          <w:trHeight w:val="230"/>
        </w:trPr>
        <w:tc>
          <w:tcPr>
            <w:tcW w:w="8160" w:type="dxa"/>
            <w:vAlign w:val="bottom"/>
          </w:tcPr>
          <w:p>
            <w:pPr>
              <w:ind w:left="680"/>
              <w:spacing w:after="0"/>
              <w:rPr>
                <w:sz w:val="20"/>
                <w:szCs w:val="20"/>
                <w:color w:val="auto"/>
              </w:rPr>
            </w:pPr>
            <w:r>
              <w:rPr>
                <w:rFonts w:ascii="Arial" w:cs="Arial" w:eastAsia="Arial" w:hAnsi="Arial"/>
                <w:sz w:val="18"/>
                <w:szCs w:val="18"/>
                <w:color w:val="auto"/>
              </w:rPr>
              <w:t>Accounts payable – trade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(51,853)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8,184</w:t>
            </w:r>
          </w:p>
        </w:tc>
      </w:tr>
      <w:tr>
        <w:trPr>
          <w:trHeight w:val="229"/>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Accrued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27,987</w:t>
            </w:r>
          </w:p>
        </w:tc>
      </w:tr>
      <w:tr>
        <w:trPr>
          <w:trHeight w:val="223"/>
        </w:trPr>
        <w:tc>
          <w:tcPr>
            <w:tcW w:w="8160" w:type="dxa"/>
            <w:vAlign w:val="bottom"/>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326,204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296,226</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Purchase of property assets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(45,876)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(22,557)</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property assets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29"/>
        </w:trPr>
        <w:tc>
          <w:tcPr>
            <w:tcW w:w="8160" w:type="dxa"/>
            <w:vAlign w:val="bottom"/>
          </w:tcPr>
          <w:p>
            <w:pPr>
              <w:ind w:left="360"/>
              <w:spacing w:after="0"/>
              <w:rPr>
                <w:sz w:val="20"/>
                <w:szCs w:val="20"/>
                <w:color w:val="auto"/>
              </w:rPr>
            </w:pPr>
            <w:r>
              <w:rPr>
                <w:rFonts w:ascii="Arial" w:cs="Arial" w:eastAsia="Arial" w:hAnsi="Arial"/>
                <w:sz w:val="18"/>
                <w:szCs w:val="18"/>
                <w:color w:val="auto"/>
              </w:rPr>
              <w:t>Hurricane insurance recovery proceeds</w:t>
            </w: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 of businesses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(1,273,542)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23"/>
        </w:trPr>
        <w:tc>
          <w:tcPr>
            <w:tcW w:w="8160" w:type="dxa"/>
            <w:vAlign w:val="bottom"/>
          </w:tcPr>
          <w:p>
            <w:pPr>
              <w:ind w:left="8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(1,319,415)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(22,903)</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Share repurchases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(26,572)</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 of stock options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w:t>
            </w:r>
          </w:p>
        </w:tc>
      </w:tr>
      <w:tr>
        <w:trPr>
          <w:trHeight w:val="229"/>
        </w:trPr>
        <w:tc>
          <w:tcPr>
            <w:tcW w:w="8160" w:type="dxa"/>
            <w:vAlign w:val="bottom"/>
          </w:tcPr>
          <w:p>
            <w:pPr>
              <w:ind w:left="360"/>
              <w:spacing w:after="0"/>
              <w:rPr>
                <w:sz w:val="20"/>
                <w:szCs w:val="20"/>
                <w:color w:val="auto"/>
              </w:rPr>
            </w:pPr>
            <w:r>
              <w:rPr>
                <w:rFonts w:ascii="Arial" w:cs="Arial" w:eastAsia="Arial" w:hAnsi="Arial"/>
                <w:sz w:val="18"/>
                <w:szCs w:val="18"/>
                <w:color w:val="auto"/>
              </w:rPr>
              <w:t>Shares withheld for payment of employee tax withholdings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(5,270)</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issuance costs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Proceeds from debt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198,000</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of debt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(239,500)</w:t>
            </w:r>
          </w:p>
        </w:tc>
      </w:tr>
      <w:tr>
        <w:trPr>
          <w:trHeight w:val="229"/>
        </w:trPr>
        <w:tc>
          <w:tcPr>
            <w:tcW w:w="8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Dividends paid</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(47,329)</w:t>
            </w:r>
          </w:p>
        </w:tc>
      </w:tr>
      <w:tr>
        <w:trPr>
          <w:trHeight w:val="223"/>
        </w:trPr>
        <w:tc>
          <w:tcPr>
            <w:tcW w:w="8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992,751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(114,934)</w:t>
            </w:r>
          </w:p>
        </w:tc>
      </w:tr>
      <w:tr>
        <w:trPr>
          <w:trHeight w:val="229"/>
        </w:trPr>
        <w:tc>
          <w:tcPr>
            <w:tcW w:w="816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w:t>
            </w:r>
          </w:p>
        </w:tc>
      </w:tr>
      <w:tr>
        <w:trPr>
          <w:trHeight w:val="223"/>
        </w:trPr>
        <w:tc>
          <w:tcPr>
            <w:tcW w:w="8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(decrease) increase in cash and cash equivalents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156,904</w:t>
            </w:r>
          </w:p>
        </w:tc>
      </w:tr>
      <w:tr>
        <w:trPr>
          <w:trHeight w:val="23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70,494</w:t>
            </w: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227,398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8" w:name="page9"/>
    <w:bookmarkEnd w:id="8"/>
    <w:p>
      <w:pPr>
        <w:jc w:val="center"/>
        <w:spacing w:after="0" w:line="266"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interim condensed consolidated financial statements of Rent-A-Center, Inc. included herein have been prepared by us pursuant to the rules and regulations of the Securities and Exchange Commission (the “SEC”). Certain information and footnote disclosures normally included in financial statements prepared in accordance with U.S. generally accepted accounting principles (“GAAP”) have been condensed or omitted pursuant to the SEC’s rules and regulations, although we believe the disclosures are adequate to make the information presented not misleading. We suggest these financial statements be read in conjunction with the financial statements and notes included in our Annual Report on Form 10-K for the year ended December 31, 2020. In our opinion, the accompanying unaudited interim financial statements contain all adjustments, consisting only of those of a normal recurring nature, necessary to present fairly our results of operations and cash flows for the periods presented. The results of operations for the periods presented are not necessarily indicative of the results to be expected for the full year.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preparing financial statements in conformity with U.S. generally accepted accounting principles, we are required to make estimates and assumptions that affect the reported amounts of assets and liabilities, the disclosure of contingent losses and liabilities at the date of the condensed consolidated financial statements, and the reported amounts of revenues and expenses during the reporting period. In applying accounting principles, we must often make individual estimates and assumptions regarding expected outcomes or uncertainties. Our estimates, judgments and assumptions are continually evaluated based on available information and experience. However, uncertainties may affect certain estimates and assumptions inherent in the financial reporting process, which may impact reported amounts of assets and liabilities in future periods and cause actual results to differ from those estimates.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Nature of Operations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These financial statements included herein include the accounts of Rent-A-Center, Inc. and its direct and indirect subsidiaries. All intercompany accounts and transactions have been eliminated. Unless the context indicates otherwise, references to “Rent-A-Center” refer only to Rent-A-Center, Inc., the parent, and references to the “Company”, “we,” “us” and “our” refer to the consolidated business operations of Rent-A-Center and any or all of its direct and indirect subsidiaries. We report four operating segments: Rent-A-Center Business, Acima (formerly Preferred Lease), Mexico, and Franchising.</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Rent-A-Center Business segment consists of company-owned lease-to-own stores in the United States and Puerto Rico that lease household durable goods to customers on a lease-to-own basis. We also offer merchandise on an installment sales basis in certain of our stores under the names “Get It Now” and “Home Choice.” Our Rent-A-Center Business segment operates through our company-owned stores and e-commerce platform through rentacenter.com.</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Acima segment, which operates in the United States and Puerto Rico and which, includes the operations of Acima Holdings (as defined in Note 2 below) acquired in February 2021 and our Preferred Lease virtual and staffed locations, generally offers the lease-to-own transaction to consumers who do not qualify for financing from the traditional retailer. The Acima segment offers the lease-to-own transaction through our virtual offering solutions across e-commerce, digital, and mobile channels, and through staffed and unstaffed kiosks located within such retailer’s locations.</w:t>
      </w:r>
    </w:p>
    <w:p>
      <w:pPr>
        <w:spacing w:after="0" w:line="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Mexico segment consists of our company-owned lease-to-own stores in Mexico that lease household durable goods to customers on a lease-to-own basis.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Rent-A-Center Franchising International, Inc., an indirect wholly-owned subsidiary of Rent-A-Center, is a franchisor of lease-to-own stores. Our Franchising segment’s primary source of revenue is the sale of rental merchandise to its franchisees, who in turn offer the merchandise to the general public for rent or purchase under a lease-to-own transaction. The balance of our Franchising segment’s revenue is generated primarily from royalties based on franchisees’ monthly gross revenues.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Newly Adopted Accounting Pronouncements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which is intended to simplify various aspects related to accounting for income taxes. The standard removes certain exceptions to the general principles in Topic 740 and also clarifies and amends existing guidance to improve consistent application. We adopted ASU 2019-12 beginning January 1, 2021 using a prospective approach. Impacts to our financial statements for the nine months ended September 30, 2021 resulting from the adoption of this ASU were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 and Divestitures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20, 2020, we entered into the Merger Agreement (the “Merger”) with Radalta, LLC, a Utah limited liability company and wholly owned subsidiary of the company, Acima (“Acima Holdings”), and Aaron Allred, solely in his capacity as the representative of the former owners of Acima Holdings, providing for the merger of Radalta, LLC with and into Acima Holdings, with Acima Holdings surviving the Merger as a wholly owned subsidiary of the Company for total estimated consideration of $1.65 billion, including cash consideration of approximately $1.3 billion and approximately 10.8 million shares with an estimated value of approximately $377 million. On February 17, 2021, we completed the acquisition of the membership interest of Acima Holdings, LLC. Acima Holdings is a leading platform offering customers virtual lease-to-own solutions at the point-of-sale via web and mobile technology.</w:t>
      </w:r>
    </w:p>
    <w:p>
      <w:pPr>
        <w:spacing w:after="0" w:line="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accordance with the Merger Agreement, we issued to the former owners of Acima Holdings an aggregate of 10,779,923 shares of our common stock (the “Aggregate Stock Consideration”) and paid to them aggregate cash consideration of $1.3 billion (the “Aggregate Cash Consideration”). In accordance with the terms of the Merger Agreement, the portion of the Aggregate Stock Consideration issued to former owners of Acima Holdings who are also employees of Acima Holdings is subject to restricted stock agreements providing vesting conditions over a 36-month period beginning upon closing of the Merger. The portion of the Aggregate Stock Consideration issued to nonemployee former owners of Acima Holdings is subject to the terms of an 18-month lockup agreement, pursuant to which one-third of the aggregate shares of our common stock received by a non-employee former owner in the Merger becomes transferable after each six-month period following the closing of the Merger. We entered into a Registration Rights Agreement, dated as of February 17, 2021, pursuant to which certain former owners of Acima are entitled to registration rights in respect of the portion of the Aggregate Stock Consideration received by them in the Merger.</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aggregate purchase price was approximately $1.4 billion, including net cash consideration of approximately $1.3 billion, and 2,683,328 shares of the Aggregate Stock Consideration subject to 18-month lockup agreements valued at $51.14 per share, as of the date of closing, and adjusted by a discount for lack of marketability to account for the transfer restrictions in three tranches, each in 6-month intervals after the closing date. The Aggregate Cash Consideration for the acquisition was financed with a combination of cash on hand, borrowings under our ABL Credit Facility and proceeds from issuances under our Term Loan Facility, as defined in Note 7, in addition to proceeds from the issuance of new unsecured senior notes. See Note 7 and Note 8 for additional information.</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remaining 8,096,595 common shares included in the Aggregate Stock Consideration subject to restricted stock agreements and 36-month vesting conditions were valued at $414.1 million, as of the date of closing. These shares have been excluded from the aggregate purchase price and instead are being recognized as stock-based compensation expense subject to ASC Topic 718, “Stock-based Compensation”, over the required vesting period, and recorded to Other charges (gains) in our unaudited Condensed Consolidated Statements of Operations. However, for tax purposes the value of Aggregate Stock Consideration subject to restricted stock agreements is treated as goodwill. In addition, the total value of the common shares subject to restricted stock agreements noted above, resulted in a decrease in the deferred tax liability included in the net assets acquired of approximately $103.5 million based on the fair value of the shares, as of the date of closing, multiplied by the blended federal and state statutory rate of approximately 24%, as included in the below net assets acquired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700"/>
        <w:spacing w:after="0" w:line="284" w:lineRule="auto"/>
        <w:rPr>
          <w:sz w:val="20"/>
          <w:szCs w:val="20"/>
          <w:color w:val="auto"/>
        </w:rPr>
      </w:pPr>
      <w:r>
        <w:rPr>
          <w:rFonts w:ascii="Arial" w:cs="Arial" w:eastAsia="Arial" w:hAnsi="Arial"/>
          <w:sz w:val="17"/>
          <w:szCs w:val="17"/>
          <w:color w:val="auto"/>
        </w:rPr>
        <w:t>Assets acquired and liabilities assumed in connection with the acquisition have been recorded at their fair values. The following table provides the preliminary estimated fair values of the identifiable assets acquired and liabilities assumed as of the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February 17, 2021</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cash consideration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1,273,263</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Aggregate stock consideration, subject to lockup agreements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120,929</w:t>
            </w:r>
          </w:p>
        </w:tc>
      </w:tr>
      <w:tr>
        <w:trPr>
          <w:trHeight w:val="223"/>
        </w:trPr>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Purchase price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1,394,192</w:t>
            </w:r>
          </w:p>
        </w:tc>
      </w:tr>
      <w:tr>
        <w:trPr>
          <w:trHeight w:val="210"/>
        </w:trPr>
        <w:tc>
          <w:tcPr>
            <w:tcW w:w="9480" w:type="dxa"/>
            <w:vAlign w:val="bottom"/>
          </w:tcPr>
          <w:p>
            <w:pPr>
              <w:ind w:left="3920"/>
              <w:spacing w:after="0"/>
              <w:rPr>
                <w:sz w:val="20"/>
                <w:szCs w:val="20"/>
                <w:color w:val="auto"/>
              </w:rPr>
            </w:pPr>
            <w:r>
              <w:rPr>
                <w:rFonts w:ascii="Arial" w:cs="Arial" w:eastAsia="Arial" w:hAnsi="Arial"/>
                <w:sz w:val="18"/>
                <w:szCs w:val="18"/>
                <w:color w:val="auto"/>
              </w:rPr>
              <w:t>ASSETS ACQUIRED</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9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Receivables, net</w:t>
            </w:r>
            <w:r>
              <w:rPr>
                <w:rFonts w:ascii="Arial" w:cs="Arial" w:eastAsia="Arial" w:hAnsi="Arial"/>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30,465</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699</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merchandise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9480" w:type="dxa"/>
            <w:vAlign w:val="bottom"/>
          </w:tcPr>
          <w:p>
            <w:pPr>
              <w:ind w:left="240"/>
              <w:spacing w:after="0"/>
              <w:rPr>
                <w:sz w:val="20"/>
                <w:szCs w:val="20"/>
                <w:color w:val="auto"/>
              </w:rPr>
            </w:pPr>
            <w:r>
              <w:rPr>
                <w:rFonts w:ascii="Arial" w:cs="Arial" w:eastAsia="Arial" w:hAnsi="Arial"/>
                <w:sz w:val="18"/>
                <w:szCs w:val="18"/>
                <w:color w:val="auto"/>
              </w:rPr>
              <w:t>On rent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340,575</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assets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171,455</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9,136</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261,981</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intangible assets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520,000</w:t>
            </w:r>
          </w:p>
        </w:tc>
      </w:tr>
      <w:tr>
        <w:trPr>
          <w:trHeight w:val="223"/>
        </w:trPr>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 acquired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1,334,311</w:t>
            </w:r>
          </w:p>
        </w:tc>
      </w:tr>
      <w:tr>
        <w:trPr>
          <w:trHeight w:val="210"/>
        </w:trPr>
        <w:tc>
          <w:tcPr>
            <w:tcW w:w="9480" w:type="dxa"/>
            <w:vAlign w:val="bottom"/>
          </w:tcPr>
          <w:p>
            <w:pPr>
              <w:ind w:left="3780"/>
              <w:spacing w:after="0"/>
              <w:rPr>
                <w:sz w:val="20"/>
                <w:szCs w:val="20"/>
                <w:color w:val="auto"/>
              </w:rPr>
            </w:pPr>
            <w:r>
              <w:rPr>
                <w:rFonts w:ascii="Arial" w:cs="Arial" w:eastAsia="Arial" w:hAnsi="Arial"/>
                <w:sz w:val="18"/>
                <w:szCs w:val="18"/>
                <w:color w:val="auto"/>
              </w:rPr>
              <w:t>LIABILITIES ASSUMED</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 trade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16,023</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23,677</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9,689</w:t>
            </w:r>
          </w:p>
        </w:tc>
      </w:tr>
      <w:tr>
        <w:trPr>
          <w:trHeight w:val="229"/>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(109,270)</w:t>
            </w:r>
          </w:p>
        </w:tc>
      </w:tr>
      <w:tr>
        <w:trPr>
          <w:trHeight w:val="223"/>
        </w:trPr>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assumed</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(59,881)</w:t>
            </w:r>
          </w:p>
        </w:tc>
      </w:tr>
      <w:tr>
        <w:trPr>
          <w:trHeight w:val="223"/>
        </w:trPr>
        <w:tc>
          <w:tcPr>
            <w:tcW w:w="9480" w:type="dxa"/>
            <w:vAlign w:val="bottom"/>
          </w:tcPr>
          <w:p>
            <w:pPr>
              <w:ind w:left="20"/>
              <w:spacing w:after="0"/>
              <w:rPr>
                <w:sz w:val="20"/>
                <w:szCs w:val="20"/>
                <w:color w:val="auto"/>
              </w:rPr>
            </w:pPr>
            <w:r>
              <w:rPr>
                <w:rFonts w:ascii="Arial" w:cs="Arial" w:eastAsia="Arial" w:hAnsi="Arial"/>
                <w:sz w:val="18"/>
                <w:szCs w:val="18"/>
                <w:color w:val="auto"/>
              </w:rPr>
              <w:t>Total equity value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1,394,192</w:t>
            </w:r>
          </w:p>
        </w:tc>
      </w:tr>
    </w:tbl>
    <w:p>
      <w:pPr>
        <w:spacing w:after="0" w:line="57"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1"/>
          <w:szCs w:val="11"/>
          <w:color w:val="auto"/>
        </w:rPr>
        <w:t>Includes gross contractual receivables of $65.2 million related to merchandise lease contracts, of which $35.5 million were estimated to be uncollectible.</w:t>
      </w:r>
    </w:p>
    <w:p>
      <w:pPr>
        <w:spacing w:after="0" w:line="9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Carrying value for assets and liabilities assumed as part of the acquisition, including receivables, prepaid expenses and other assets, rental merchandise, accounts payable and accrued liabilities were recorded as fair value, as of the date of acquisition, due to the short term nature of these balances. Operating lease right-of-use assets and liabilities were recorded as the discounted value of future obligations in accordance with ASC Topic 842, “Leases”. The fair value measurements for acquired intangible assets and developed technology were primarily based on significant unobservable inputs (level 3) developed using company-specific information. Certain fair value estimates were determined based on an independent valuation of the net assets acquired, including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$520   million   of   identifiable   intangible   assets</w:t>
            </w:r>
          </w:p>
        </w:tc>
        <w:tc>
          <w:tcPr>
            <w:tcW w:w="2720" w:type="dxa"/>
            <w:vAlign w:val="bottom"/>
          </w:tcPr>
          <w:p>
            <w:pPr>
              <w:jc w:val="right"/>
              <w:ind w:right="30"/>
              <w:spacing w:after="0"/>
              <w:rPr>
                <w:sz w:val="20"/>
                <w:szCs w:val="20"/>
                <w:color w:val="auto"/>
              </w:rPr>
            </w:pPr>
            <w:r>
              <w:rPr>
                <w:rFonts w:ascii="Arial" w:cs="Arial" w:eastAsia="Arial" w:hAnsi="Arial"/>
                <w:sz w:val="18"/>
                <w:szCs w:val="18"/>
                <w:color w:val="auto"/>
              </w:rPr>
              <w:t>with   an   estimated   weighted</w:t>
            </w:r>
          </w:p>
        </w:tc>
        <w:tc>
          <w:tcPr>
            <w:tcW w:w="1980" w:type="dxa"/>
            <w:vAlign w:val="bottom"/>
          </w:tcPr>
          <w:p>
            <w:pPr>
              <w:jc w:val="right"/>
              <w:ind w:right="115"/>
              <w:spacing w:after="0"/>
              <w:rPr>
                <w:sz w:val="20"/>
                <w:szCs w:val="20"/>
                <w:color w:val="auto"/>
              </w:rPr>
            </w:pPr>
            <w:r>
              <w:rPr>
                <w:rFonts w:ascii="Arial" w:cs="Arial" w:eastAsia="Arial" w:hAnsi="Arial"/>
                <w:sz w:val="18"/>
                <w:szCs w:val="18"/>
                <w:color w:val="auto"/>
              </w:rPr>
              <w:t>average   useful   life</w:t>
            </w:r>
          </w:p>
        </w:tc>
        <w:tc>
          <w:tcPr>
            <w:tcW w:w="2320" w:type="dxa"/>
            <w:vAlign w:val="bottom"/>
          </w:tcPr>
          <w:p>
            <w:pPr>
              <w:jc w:val="center"/>
              <w:spacing w:after="0"/>
              <w:rPr>
                <w:sz w:val="20"/>
                <w:szCs w:val="20"/>
                <w:color w:val="auto"/>
              </w:rPr>
            </w:pPr>
            <w:r>
              <w:rPr>
                <w:rFonts w:ascii="Arial" w:cs="Arial" w:eastAsia="Arial" w:hAnsi="Arial"/>
                <w:sz w:val="18"/>
                <w:szCs w:val="18"/>
                <w:color w:val="auto"/>
              </w:rPr>
              <w:t>of   8   years,   as   follows:</w:t>
            </w:r>
          </w:p>
        </w:tc>
        <w:tc>
          <w:tcPr>
            <w:tcW w:w="0" w:type="dxa"/>
            <w:vAlign w:val="bottom"/>
          </w:tcPr>
          <w:p>
            <w:pPr>
              <w:spacing w:after="0"/>
              <w:rPr>
                <w:sz w:val="1"/>
                <w:szCs w:val="1"/>
                <w:color w:val="auto"/>
              </w:rPr>
            </w:pPr>
          </w:p>
        </w:tc>
      </w:tr>
      <w:tr>
        <w:trPr>
          <w:trHeight w:val="148"/>
        </w:trPr>
        <w:tc>
          <w:tcPr>
            <w:tcW w:w="4220" w:type="dxa"/>
            <w:vAlign w:val="bottom"/>
            <w:vMerge w:val="restart"/>
          </w:tcPr>
          <w:p>
            <w:pPr>
              <w:ind w:left="3000"/>
              <w:spacing w:after="0"/>
              <w:rPr>
                <w:sz w:val="20"/>
                <w:szCs w:val="20"/>
                <w:color w:val="auto"/>
              </w:rPr>
            </w:pPr>
            <w:r>
              <w:rPr>
                <w:rFonts w:ascii="Arial" w:cs="Arial" w:eastAsia="Arial" w:hAnsi="Arial"/>
                <w:sz w:val="14"/>
                <w:szCs w:val="14"/>
                <w:b w:val="1"/>
                <w:bCs w:val="1"/>
                <w:color w:val="auto"/>
              </w:rPr>
              <w:t>Asset Class</w:t>
            </w:r>
          </w:p>
        </w:tc>
        <w:tc>
          <w:tcPr>
            <w:tcW w:w="2720" w:type="dxa"/>
            <w:vAlign w:val="bottom"/>
          </w:tcPr>
          <w:p>
            <w:pPr>
              <w:spacing w:after="0"/>
              <w:rPr>
                <w:sz w:val="12"/>
                <w:szCs w:val="12"/>
                <w:color w:val="auto"/>
              </w:rPr>
            </w:pPr>
          </w:p>
        </w:tc>
        <w:tc>
          <w:tcPr>
            <w:tcW w:w="1980" w:type="dxa"/>
            <w:vAlign w:val="bottom"/>
          </w:tcPr>
          <w:p>
            <w:pPr>
              <w:jc w:val="right"/>
              <w:ind w:right="355"/>
              <w:spacing w:after="0" w:line="148" w:lineRule="exact"/>
              <w:rPr>
                <w:sz w:val="20"/>
                <w:szCs w:val="20"/>
                <w:color w:val="auto"/>
              </w:rPr>
            </w:pPr>
            <w:r>
              <w:rPr>
                <w:rFonts w:ascii="Arial" w:cs="Arial" w:eastAsia="Arial" w:hAnsi="Arial"/>
                <w:sz w:val="14"/>
                <w:szCs w:val="14"/>
                <w:b w:val="1"/>
                <w:bCs w:val="1"/>
                <w:color w:val="auto"/>
              </w:rPr>
              <w:t>Estimated Fair Value</w:t>
            </w:r>
          </w:p>
        </w:tc>
        <w:tc>
          <w:tcPr>
            <w:tcW w:w="23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Estimated Remaining Useful Life (in</w:t>
            </w:r>
          </w:p>
        </w:tc>
        <w:tc>
          <w:tcPr>
            <w:tcW w:w="0" w:type="dxa"/>
            <w:vAlign w:val="bottom"/>
          </w:tcPr>
          <w:p>
            <w:pPr>
              <w:spacing w:after="0"/>
              <w:rPr>
                <w:sz w:val="1"/>
                <w:szCs w:val="1"/>
                <w:color w:val="auto"/>
              </w:rPr>
            </w:pPr>
          </w:p>
        </w:tc>
      </w:tr>
      <w:tr>
        <w:trPr>
          <w:trHeight w:val="188"/>
        </w:trPr>
        <w:tc>
          <w:tcPr>
            <w:tcW w:w="4220" w:type="dxa"/>
            <w:vAlign w:val="bottom"/>
            <w:tcBorders>
              <w:bottom w:val="single" w:sz="8" w:color="auto"/>
            </w:tcBorders>
            <w:vMerge w:val="continue"/>
          </w:tcPr>
          <w:p>
            <w:pPr>
              <w:spacing w:after="0"/>
              <w:rPr>
                <w:sz w:val="16"/>
                <w:szCs w:val="16"/>
                <w:color w:val="auto"/>
              </w:rPr>
            </w:pPr>
          </w:p>
        </w:tc>
        <w:tc>
          <w:tcPr>
            <w:tcW w:w="27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(in thousands)</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r>
        <w:trPr>
          <w:trHeight w:val="224"/>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Merchant relationships</w:t>
            </w:r>
          </w:p>
        </w:tc>
        <w:tc>
          <w:tcPr>
            <w:tcW w:w="2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380,000</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Relationship with existing lessees</w:t>
            </w:r>
          </w:p>
        </w:tc>
        <w:tc>
          <w:tcPr>
            <w:tcW w:w="27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60,000</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27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27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40,000</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Developed technology, included in Property assets, net, in line with our accounting policies, was also acquired with a value of $170.0 million and an estimated remaining useful life of 10 years. The fair value for these intangible and property assets were estimated using common industry valuation methods for similar asset types, based primarily on cost inputs and projected cash flows.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we recorded goodwill of $262.0 million in our Acima operating segment, which consists of the excess of the net purchase price over the fair value of the net assets acquired and assembled workforce of $10 million. Goodwill represents expected cost and revenue synergies and other benefits expected to result within our retail partner business from the acquisition of Acima Holdings. The total value of goodwill for tax purposes, including our recorded goodwill, plus the value of Aggregate Stock Consideration subject to restricted stock agreements described above, and acquisition-related expenses described below, is fully deductible and will be amortized over 15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Acima Holdings results of operations are reflected in our unaudited condensed consolidated statements of operations from the date of acquisition.</w:t>
      </w:r>
    </w:p>
    <w:p>
      <w:pPr>
        <w:spacing w:after="0" w:line="1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third quarter of 2021, we recorded an adjustment to the fair value of rental merchandise increasing the value of the acquired assets by approximately $15.5 million with a corresponding decrease to goodwill. The recorded adjustment was based on further assessment of the carrying value of the assets and corresponding evaluation of related (Level 2) market inputs. In connection with the adjustment to increase the value of acquired rental merchandise we recorded a corresponding adjustment to increase rental merchandise depreciation by approximately $9.0 million, representing the period from the date of acquisition through September 30, 2021. The adjustment to rental merchandise depreciation is reflected in cost of rentals and fees in our condensed consolidated statement of operations. We believe the fair value measurements for acquired assets and liabilities is complete as of September 30, 2021, and we do not expect any additional adjustments to the purchase price allocation within the measurement period.</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this acquisition, we incurred approximately $23.4 million in acquisition-related expenses including expenses related to legal, professional, and banking transaction fees, which are treated as an addition to goodwill for tax purposes. In addition, we recognized a decrease in deferred tax liability included in the net assets acquired of $7.6 million related to these expenditures. These costs were included in Other charges (gains) in our unaudited Condensed Consolidated Statements of Operations.</w:t>
      </w:r>
    </w:p>
    <w:p>
      <w:pPr>
        <w:spacing w:after="0" w:line="7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following unaudited pro forma combined results of operations present our financial results as if the acquisition of Acima had been completed on January 1, 2020. These unaudited pro forma results may not necessarily reflect the actual results of operations that would have been achieved, nor are they necessarily indicative of future results of operations. The unaudited pro forma information reflects the step-up depreciation and amortization adjustments for the fair value of the assets acquired, adjustments to stock compensation expense as a result of Aggregate Stock Consideration subject to restricted stock awards, the adjustments in interest expense due to the elimination of historical debt and placement of the new debt, and the related adjustments to the income tax provision. In addition, the pro forma net income has been adjusted to include transaction expenses and other non-recurring costs as of January</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1,</w:t>
            </w:r>
          </w:p>
        </w:tc>
        <w:tc>
          <w:tcPr>
            <w:tcW w:w="1380" w:type="dxa"/>
            <w:vAlign w:val="bottom"/>
          </w:tcPr>
          <w:p>
            <w:pPr>
              <w:jc w:val="right"/>
              <w:ind w:right="550"/>
              <w:spacing w:after="0"/>
              <w:rPr>
                <w:sz w:val="20"/>
                <w:szCs w:val="20"/>
                <w:color w:val="auto"/>
              </w:rPr>
            </w:pPr>
            <w:r>
              <w:rPr>
                <w:rFonts w:ascii="Arial" w:cs="Arial" w:eastAsia="Arial" w:hAnsi="Arial"/>
                <w:sz w:val="18"/>
                <w:szCs w:val="18"/>
                <w:color w:val="auto"/>
              </w:rPr>
              <w:t>2020.</w:t>
            </w:r>
          </w:p>
        </w:tc>
        <w:tc>
          <w:tcPr>
            <w:tcW w:w="640" w:type="dxa"/>
            <w:vAlign w:val="bottom"/>
          </w:tcPr>
          <w:p>
            <w:pPr>
              <w:ind w:left="20"/>
              <w:spacing w:after="0"/>
              <w:rPr>
                <w:sz w:val="20"/>
                <w:szCs w:val="20"/>
                <w:color w:val="auto"/>
              </w:rPr>
            </w:pPr>
            <w:r>
              <w:rPr>
                <w:rFonts w:ascii="Arial" w:cs="Arial" w:eastAsia="Arial" w:hAnsi="Arial"/>
                <w:sz w:val="18"/>
                <w:szCs w:val="18"/>
                <w:color w:val="auto"/>
              </w:rPr>
              <w:t>The</w:t>
            </w:r>
          </w:p>
        </w:tc>
        <w:tc>
          <w:tcPr>
            <w:tcW w:w="1380" w:type="dxa"/>
            <w:vAlign w:val="bottom"/>
          </w:tcPr>
          <w:p>
            <w:pPr>
              <w:ind w:left="340"/>
              <w:spacing w:after="0"/>
              <w:rPr>
                <w:sz w:val="20"/>
                <w:szCs w:val="20"/>
                <w:color w:val="auto"/>
              </w:rPr>
            </w:pPr>
            <w:r>
              <w:rPr>
                <w:rFonts w:ascii="Arial" w:cs="Arial" w:eastAsia="Arial" w:hAnsi="Arial"/>
                <w:sz w:val="18"/>
                <w:szCs w:val="18"/>
                <w:color w:val="auto"/>
              </w:rPr>
              <w:t>unaudited</w:t>
            </w:r>
          </w:p>
        </w:tc>
        <w:tc>
          <w:tcPr>
            <w:tcW w:w="900" w:type="dxa"/>
            <w:vAlign w:val="bottom"/>
          </w:tcPr>
          <w:p>
            <w:pPr>
              <w:ind w:left="340"/>
              <w:spacing w:after="0"/>
              <w:rPr>
                <w:sz w:val="20"/>
                <w:szCs w:val="20"/>
                <w:color w:val="auto"/>
              </w:rPr>
            </w:pPr>
            <w:r>
              <w:rPr>
                <w:rFonts w:ascii="Arial" w:cs="Arial" w:eastAsia="Arial" w:hAnsi="Arial"/>
                <w:sz w:val="18"/>
                <w:szCs w:val="18"/>
                <w:color w:val="auto"/>
              </w:rPr>
              <w:t>pro</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forma</w:t>
            </w:r>
          </w:p>
        </w:tc>
        <w:tc>
          <w:tcPr>
            <w:tcW w:w="1380" w:type="dxa"/>
            <w:vAlign w:val="bottom"/>
            <w:gridSpan w:val="3"/>
          </w:tcPr>
          <w:p>
            <w:pPr>
              <w:jc w:val="right"/>
              <w:ind w:right="10"/>
              <w:spacing w:after="0"/>
              <w:rPr>
                <w:sz w:val="20"/>
                <w:szCs w:val="20"/>
                <w:color w:val="auto"/>
              </w:rPr>
            </w:pPr>
            <w:r>
              <w:rPr>
                <w:rFonts w:ascii="Arial" w:cs="Arial" w:eastAsia="Arial" w:hAnsi="Arial"/>
                <w:sz w:val="18"/>
                <w:szCs w:val="18"/>
                <w:color w:val="auto"/>
              </w:rPr>
              <w:t>financial</w:t>
            </w:r>
          </w:p>
        </w:tc>
        <w:tc>
          <w:tcPr>
            <w:tcW w:w="1520" w:type="dxa"/>
            <w:vAlign w:val="bottom"/>
            <w:gridSpan w:val="3"/>
          </w:tcPr>
          <w:p>
            <w:pPr>
              <w:jc w:val="right"/>
              <w:ind w:right="10"/>
              <w:spacing w:after="0"/>
              <w:rPr>
                <w:sz w:val="20"/>
                <w:szCs w:val="20"/>
                <w:color w:val="auto"/>
              </w:rPr>
            </w:pPr>
            <w:r>
              <w:rPr>
                <w:rFonts w:ascii="Arial" w:cs="Arial" w:eastAsia="Arial" w:hAnsi="Arial"/>
                <w:sz w:val="18"/>
                <w:szCs w:val="18"/>
                <w:color w:val="auto"/>
              </w:rPr>
              <w:t>information</w:t>
            </w:r>
          </w:p>
        </w:tc>
        <w:tc>
          <w:tcPr>
            <w:tcW w:w="1340" w:type="dxa"/>
            <w:vAlign w:val="bottom"/>
            <w:gridSpan w:val="2"/>
          </w:tcPr>
          <w:p>
            <w:pPr>
              <w:ind w:left="580"/>
              <w:spacing w:after="0"/>
              <w:rPr>
                <w:sz w:val="20"/>
                <w:szCs w:val="20"/>
                <w:color w:val="auto"/>
              </w:rPr>
            </w:pPr>
            <w:r>
              <w:rPr>
                <w:rFonts w:ascii="Arial" w:cs="Arial" w:eastAsia="Arial" w:hAnsi="Arial"/>
                <w:sz w:val="18"/>
                <w:szCs w:val="18"/>
                <w:color w:val="auto"/>
              </w:rPr>
              <w:t>is</w:t>
            </w:r>
          </w:p>
        </w:tc>
        <w:tc>
          <w:tcPr>
            <w:tcW w:w="240" w:type="dxa"/>
            <w:vAlign w:val="bottom"/>
          </w:tcPr>
          <w:p>
            <w:pPr>
              <w:ind w:left="20"/>
              <w:spacing w:after="0"/>
              <w:rPr>
                <w:sz w:val="20"/>
                <w:szCs w:val="20"/>
                <w:color w:val="auto"/>
              </w:rPr>
            </w:pPr>
            <w:r>
              <w:rPr>
                <w:rFonts w:ascii="Arial" w:cs="Arial" w:eastAsia="Arial" w:hAnsi="Arial"/>
                <w:sz w:val="18"/>
                <w:szCs w:val="18"/>
                <w:color w:val="auto"/>
              </w:rPr>
              <w:t>as</w:t>
            </w:r>
          </w:p>
        </w:tc>
        <w:tc>
          <w:tcPr>
            <w:tcW w:w="1200" w:type="dxa"/>
            <w:vAlign w:val="bottom"/>
          </w:tcPr>
          <w:p>
            <w:pPr>
              <w:jc w:val="right"/>
              <w:spacing w:after="0"/>
              <w:rPr>
                <w:sz w:val="20"/>
                <w:szCs w:val="20"/>
                <w:color w:val="auto"/>
              </w:rPr>
            </w:pPr>
            <w:r>
              <w:rPr>
                <w:rFonts w:ascii="Arial" w:cs="Arial" w:eastAsia="Arial" w:hAnsi="Arial"/>
                <w:sz w:val="18"/>
                <w:szCs w:val="18"/>
                <w:color w:val="auto"/>
              </w:rPr>
              <w:t>follows:</w:t>
            </w:r>
          </w:p>
        </w:tc>
      </w:tr>
      <w:tr>
        <w:trPr>
          <w:trHeight w:val="195"/>
        </w:trPr>
        <w:tc>
          <w:tcPr>
            <w:tcW w:w="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0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78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18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64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4"/>
        </w:trPr>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17"/>
              <w:spacing w:after="0"/>
              <w:rPr>
                <w:sz w:val="20"/>
                <w:szCs w:val="20"/>
                <w:color w:val="auto"/>
              </w:rPr>
            </w:pPr>
            <w:r>
              <w:rPr>
                <w:rFonts w:ascii="Arial" w:cs="Arial" w:eastAsia="Arial" w:hAnsi="Arial"/>
                <w:sz w:val="18"/>
                <w:szCs w:val="18"/>
                <w:color w:val="auto"/>
              </w:rPr>
              <w:t>(unaudited)</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98"/>
              </w:rPr>
              <w:t>(unaudited)</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(unaudited)</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96"/>
              </w:rPr>
              <w:t>(unaudited)</w:t>
            </w:r>
          </w:p>
        </w:tc>
      </w:tr>
      <w:tr>
        <w:trPr>
          <w:trHeight w:val="230"/>
        </w:trPr>
        <w:tc>
          <w:tcPr>
            <w:tcW w:w="1860" w:type="dxa"/>
            <w:vAlign w:val="bottom"/>
            <w:gridSpan w:val="2"/>
          </w:tcPr>
          <w:p>
            <w:pPr>
              <w:ind w:left="20"/>
              <w:spacing w:after="0"/>
              <w:rPr>
                <w:sz w:val="20"/>
                <w:szCs w:val="20"/>
                <w:color w:val="auto"/>
              </w:rPr>
            </w:pPr>
            <w:r>
              <w:rPr>
                <w:rFonts w:ascii="Arial" w:cs="Arial" w:eastAsia="Arial" w:hAnsi="Arial"/>
                <w:sz w:val="18"/>
                <w:szCs w:val="18"/>
                <w:color w:val="auto"/>
                <w:w w:val="89"/>
              </w:rPr>
              <w:t>Pro Forma total revenues</w:t>
            </w:r>
          </w:p>
        </w:tc>
        <w:tc>
          <w:tcPr>
            <w:tcW w:w="6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1,181,268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1,042,799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3,606,629</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3,011,812</w:t>
            </w:r>
          </w:p>
        </w:tc>
      </w:tr>
      <w:tr>
        <w:trPr>
          <w:trHeight w:val="229"/>
        </w:trPr>
        <w:tc>
          <w:tcPr>
            <w:tcW w:w="18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w w:val="87"/>
              </w:rPr>
              <w:t>Pro Forma net earnings</w:t>
            </w:r>
            <w:r>
              <w:rPr>
                <w:rFonts w:ascii="Arial" w:cs="Arial" w:eastAsia="Arial" w:hAnsi="Arial"/>
                <w:sz w:val="23"/>
                <w:szCs w:val="23"/>
                <w:color w:val="auto"/>
                <w:w w:val="87"/>
                <w:vertAlign w:val="superscript"/>
              </w:rPr>
              <w:t>(1)</w:t>
            </w: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31,160</w:t>
            </w:r>
          </w:p>
        </w:tc>
      </w:tr>
    </w:tbl>
    <w:p>
      <w:pPr>
        <w:spacing w:after="0" w:line="57"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vertAlign w:val="superscript"/>
        </w:rPr>
        <w:t>(1)</w:t>
      </w:r>
      <w:r>
        <w:rPr>
          <w:rFonts w:ascii="Arial" w:cs="Arial" w:eastAsia="Arial" w:hAnsi="Arial"/>
          <w:sz w:val="13"/>
          <w:szCs w:val="13"/>
          <w:color w:val="auto"/>
        </w:rPr>
        <w:t>Total pro forma adjustments to net earnings represented increases of $15.0 million and $5.9 million for the three and nine months ended September 30, 2021, and decreases of $98.9 million and $276.9 million for the three and nine months ended September 30, 2020,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amounts of revenue and earnings of Acima Holdings included in our Condensed Consolidated Statements of Operations from the acquisition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2021 are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4"/>
                <w:szCs w:val="14"/>
                <w:color w:val="auto"/>
              </w:rPr>
            </w:pPr>
          </w:p>
        </w:tc>
        <w:tc>
          <w:tcPr>
            <w:tcW w:w="1940" w:type="dxa"/>
            <w:vAlign w:val="bottom"/>
          </w:tcPr>
          <w:p>
            <w:pPr>
              <w:jc w:val="center"/>
              <w:ind w:right="217"/>
              <w:spacing w:after="0"/>
              <w:rPr>
                <w:sz w:val="20"/>
                <w:szCs w:val="20"/>
                <w:color w:val="auto"/>
              </w:rPr>
            </w:pPr>
            <w:r>
              <w:rPr>
                <w:rFonts w:ascii="Arial" w:cs="Arial" w:eastAsia="Arial" w:hAnsi="Arial"/>
                <w:sz w:val="14"/>
                <w:szCs w:val="14"/>
                <w:b w:val="1"/>
                <w:bCs w:val="1"/>
                <w:color w:val="auto"/>
                <w:w w:val="94"/>
              </w:rPr>
              <w:t>February 17, 2021 -</w:t>
            </w:r>
          </w:p>
        </w:tc>
        <w:tc>
          <w:tcPr>
            <w:tcW w:w="340" w:type="dxa"/>
            <w:vAlign w:val="bottom"/>
          </w:tcPr>
          <w:p>
            <w:pPr>
              <w:spacing w:after="0"/>
              <w:rPr>
                <w:sz w:val="14"/>
                <w:szCs w:val="14"/>
                <w:color w:val="auto"/>
              </w:rPr>
            </w:pPr>
          </w:p>
        </w:tc>
        <w:tc>
          <w:tcPr>
            <w:tcW w:w="1960" w:type="dxa"/>
            <w:vAlign w:val="bottom"/>
          </w:tcPr>
          <w:p>
            <w:pPr>
              <w:jc w:val="center"/>
              <w:ind w:right="237"/>
              <w:spacing w:after="0"/>
              <w:rPr>
                <w:sz w:val="20"/>
                <w:szCs w:val="20"/>
                <w:color w:val="auto"/>
              </w:rPr>
            </w:pPr>
            <w:r>
              <w:rPr>
                <w:rFonts w:ascii="Arial" w:cs="Arial" w:eastAsia="Arial" w:hAnsi="Arial"/>
                <w:sz w:val="14"/>
                <w:szCs w:val="14"/>
                <w:b w:val="1"/>
                <w:bCs w:val="1"/>
                <w:color w:val="auto"/>
                <w:w w:val="94"/>
              </w:rPr>
              <w:t>February 17, 2020 -</w:t>
            </w:r>
          </w:p>
        </w:tc>
        <w:tc>
          <w:tcPr>
            <w:tcW w:w="0" w:type="dxa"/>
            <w:vAlign w:val="bottom"/>
          </w:tcPr>
          <w:p>
            <w:pPr>
              <w:spacing w:after="0"/>
              <w:rPr>
                <w:sz w:val="1"/>
                <w:szCs w:val="1"/>
                <w:color w:val="auto"/>
              </w:rPr>
            </w:pPr>
          </w:p>
        </w:tc>
      </w:tr>
      <w:tr>
        <w:trPr>
          <w:trHeight w:val="188"/>
        </w:trPr>
        <w:tc>
          <w:tcPr>
            <w:tcW w:w="66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1"/>
              </w:rPr>
              <w:t>September 30, 2021</w:t>
            </w:r>
          </w:p>
        </w:tc>
        <w:tc>
          <w:tcPr>
            <w:tcW w:w="3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1"/>
              </w:rPr>
              <w:t>September 30, 2020</w:t>
            </w:r>
          </w:p>
        </w:tc>
        <w:tc>
          <w:tcPr>
            <w:tcW w:w="0" w:type="dxa"/>
            <w:vAlign w:val="bottom"/>
          </w:tcPr>
          <w:p>
            <w:pPr>
              <w:spacing w:after="0"/>
              <w:rPr>
                <w:sz w:val="1"/>
                <w:szCs w:val="1"/>
                <w:color w:val="auto"/>
              </w:rPr>
            </w:pPr>
          </w:p>
        </w:tc>
      </w:tr>
      <w:tr>
        <w:trPr>
          <w:trHeight w:val="224"/>
        </w:trPr>
        <w:tc>
          <w:tcPr>
            <w:tcW w:w="6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center"/>
              <w:ind w:right="217"/>
              <w:spacing w:after="0"/>
              <w:rPr>
                <w:sz w:val="20"/>
                <w:szCs w:val="20"/>
                <w:color w:val="auto"/>
              </w:rPr>
            </w:pPr>
            <w:r>
              <w:rPr>
                <w:rFonts w:ascii="Arial" w:cs="Arial" w:eastAsia="Arial" w:hAnsi="Arial"/>
                <w:sz w:val="18"/>
                <w:szCs w:val="18"/>
                <w:color w:val="auto"/>
                <w:w w:val="92"/>
              </w:rPr>
              <w:t>(unaudited)</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center"/>
              <w:ind w:right="237"/>
              <w:spacing w:after="0"/>
              <w:rPr>
                <w:sz w:val="20"/>
                <w:szCs w:val="20"/>
                <w:color w:val="auto"/>
              </w:rPr>
            </w:pPr>
            <w:r>
              <w:rPr>
                <w:rFonts w:ascii="Arial" w:cs="Arial" w:eastAsia="Arial" w:hAnsi="Arial"/>
                <w:sz w:val="18"/>
                <w:szCs w:val="18"/>
                <w:color w:val="auto"/>
                <w:w w:val="92"/>
              </w:rPr>
              <w:t>(unaudited)</w:t>
            </w:r>
          </w:p>
        </w:tc>
        <w:tc>
          <w:tcPr>
            <w:tcW w:w="0" w:type="dxa"/>
            <w:vAlign w:val="bottom"/>
          </w:tcPr>
          <w:p>
            <w:pPr>
              <w:spacing w:after="0"/>
              <w:rPr>
                <w:sz w:val="1"/>
                <w:szCs w:val="1"/>
                <w:color w:val="auto"/>
              </w:rPr>
            </w:pP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1,042,966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772,743</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earnings</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102,063</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137,276</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Net Earnings for the period February 17, 2021 - September 30, 2021 includes amortization of intangible assets acquired upon closing of the Acima Holdings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our revenue for the periods ended September 30, 2021 and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w w:val="92"/>
              </w:rPr>
              <w:t>Three Months Ended September 30, 2021</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Rent-A-Center</w:t>
            </w:r>
          </w:p>
        </w:tc>
        <w:tc>
          <w:tcPr>
            <w:tcW w:w="300" w:type="dxa"/>
            <w:vAlign w:val="bottom"/>
          </w:tcPr>
          <w:p>
            <w:pPr>
              <w:spacing w:after="0"/>
              <w:rPr>
                <w:sz w:val="21"/>
                <w:szCs w:val="21"/>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Acima</w:t>
            </w:r>
          </w:p>
        </w:tc>
        <w:tc>
          <w:tcPr>
            <w:tcW w:w="280" w:type="dxa"/>
            <w:vAlign w:val="bottom"/>
          </w:tcPr>
          <w:p>
            <w:pPr>
              <w:spacing w:after="0"/>
              <w:rPr>
                <w:sz w:val="21"/>
                <w:szCs w:val="21"/>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Mexico</w:t>
            </w:r>
          </w:p>
        </w:tc>
        <w:tc>
          <w:tcPr>
            <w:tcW w:w="220" w:type="dxa"/>
            <w:vAlign w:val="bottom"/>
          </w:tcPr>
          <w:p>
            <w:pPr>
              <w:spacing w:after="0"/>
              <w:rPr>
                <w:sz w:val="21"/>
                <w:szCs w:val="21"/>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Franchising</w:t>
            </w:r>
          </w:p>
        </w:tc>
        <w:tc>
          <w:tcPr>
            <w:tcW w:w="180" w:type="dxa"/>
            <w:vAlign w:val="bottom"/>
          </w:tcPr>
          <w:p>
            <w:pPr>
              <w:spacing w:after="0"/>
              <w:rPr>
                <w:sz w:val="21"/>
                <w:szCs w:val="21"/>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86"/>
        </w:trPr>
        <w:tc>
          <w:tcPr>
            <w:tcW w:w="4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3"/>
              </w:rPr>
              <w:t>Business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360"/>
              <w:spacing w:after="0"/>
              <w:rPr>
                <w:sz w:val="20"/>
                <w:szCs w:val="20"/>
                <w:color w:val="auto"/>
              </w:rPr>
            </w:pPr>
            <w:r>
              <w:rPr>
                <w:rFonts w:ascii="Arial" w:cs="Arial" w:eastAsia="Arial" w:hAnsi="Arial"/>
                <w:sz w:val="18"/>
                <w:szCs w:val="18"/>
                <w:color w:val="auto"/>
              </w:rPr>
              <w:t>Rentals and fees</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446,049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469,692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15,108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930,849</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Merchandise sales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192,016</w:t>
            </w:r>
          </w:p>
        </w:tc>
        <w:tc>
          <w:tcPr>
            <w:tcW w:w="0" w:type="dxa"/>
            <w:vAlign w:val="bottom"/>
          </w:tcPr>
          <w:p>
            <w:pPr>
              <w:spacing w:after="0"/>
              <w:rPr>
                <w:sz w:val="1"/>
                <w:szCs w:val="1"/>
                <w:color w:val="auto"/>
              </w:rPr>
            </w:pPr>
          </w:p>
        </w:tc>
      </w:tr>
      <w:tr>
        <w:trPr>
          <w:trHeight w:val="229"/>
        </w:trPr>
        <w:tc>
          <w:tcPr>
            <w:tcW w:w="4000" w:type="dxa"/>
            <w:vAlign w:val="bottom"/>
          </w:tcPr>
          <w:p>
            <w:pPr>
              <w:ind w:left="360"/>
              <w:spacing w:after="0"/>
              <w:rPr>
                <w:sz w:val="20"/>
                <w:szCs w:val="20"/>
                <w:color w:val="auto"/>
              </w:rPr>
            </w:pPr>
            <w:r>
              <w:rPr>
                <w:rFonts w:ascii="Arial" w:cs="Arial" w:eastAsia="Arial" w:hAnsi="Arial"/>
                <w:sz w:val="18"/>
                <w:szCs w:val="18"/>
                <w:color w:val="auto"/>
              </w:rPr>
              <w:t>Installment sales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17,028</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23"/>
        </w:trPr>
        <w:tc>
          <w:tcPr>
            <w:tcW w:w="4000" w:type="dxa"/>
            <w:vAlign w:val="bottom"/>
          </w:tcPr>
          <w:p>
            <w:pPr>
              <w:ind w:left="560"/>
              <w:spacing w:after="0"/>
              <w:rPr>
                <w:sz w:val="20"/>
                <w:szCs w:val="20"/>
                <w:color w:val="auto"/>
              </w:rPr>
            </w:pPr>
            <w:r>
              <w:rPr>
                <w:rFonts w:ascii="Arial" w:cs="Arial" w:eastAsia="Arial" w:hAnsi="Arial"/>
                <w:sz w:val="18"/>
                <w:szCs w:val="18"/>
                <w:color w:val="auto"/>
              </w:rPr>
              <w:t>Total store revenues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500,986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623,445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1,140,975</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60"/>
              <w:spacing w:after="0"/>
              <w:rPr>
                <w:sz w:val="20"/>
                <w:szCs w:val="20"/>
                <w:color w:val="auto"/>
              </w:rPr>
            </w:pPr>
            <w:r>
              <w:rPr>
                <w:rFonts w:ascii="Arial" w:cs="Arial" w:eastAsia="Arial" w:hAnsi="Arial"/>
                <w:sz w:val="18"/>
                <w:szCs w:val="18"/>
                <w:color w:val="auto"/>
              </w:rPr>
              <w:t>Merchandise sales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33,671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33,671</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 and fees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6,622</w:t>
            </w:r>
          </w:p>
        </w:tc>
        <w:tc>
          <w:tcPr>
            <w:tcW w:w="0" w:type="dxa"/>
            <w:vAlign w:val="bottom"/>
          </w:tcPr>
          <w:p>
            <w:pPr>
              <w:spacing w:after="0"/>
              <w:rPr>
                <w:sz w:val="1"/>
                <w:szCs w:val="1"/>
                <w:color w:val="auto"/>
              </w:rPr>
            </w:pPr>
          </w:p>
        </w:tc>
      </w:tr>
      <w:tr>
        <w:trPr>
          <w:trHeight w:val="223"/>
        </w:trPr>
        <w:tc>
          <w:tcPr>
            <w:tcW w:w="4000" w:type="dxa"/>
            <w:vAlign w:val="bottom"/>
          </w:tcPr>
          <w:p>
            <w:pPr>
              <w:ind w:left="56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500,986</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623,445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15,917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40,920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1,181,268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40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w w:val="93"/>
              </w:rPr>
              <w:t>Nine Months Ended September 30, 2021</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Rent-A-Center</w:t>
            </w:r>
          </w:p>
        </w:tc>
        <w:tc>
          <w:tcPr>
            <w:tcW w:w="300" w:type="dxa"/>
            <w:vAlign w:val="bottom"/>
          </w:tcPr>
          <w:p>
            <w:pPr>
              <w:spacing w:after="0"/>
              <w:rPr>
                <w:sz w:val="21"/>
                <w:szCs w:val="21"/>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Acima</w:t>
            </w:r>
          </w:p>
        </w:tc>
        <w:tc>
          <w:tcPr>
            <w:tcW w:w="280" w:type="dxa"/>
            <w:vAlign w:val="bottom"/>
          </w:tcPr>
          <w:p>
            <w:pPr>
              <w:spacing w:after="0"/>
              <w:rPr>
                <w:sz w:val="21"/>
                <w:szCs w:val="21"/>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Mexico</w:t>
            </w:r>
          </w:p>
        </w:tc>
        <w:tc>
          <w:tcPr>
            <w:tcW w:w="220" w:type="dxa"/>
            <w:vAlign w:val="bottom"/>
          </w:tcPr>
          <w:p>
            <w:pPr>
              <w:spacing w:after="0"/>
              <w:rPr>
                <w:sz w:val="21"/>
                <w:szCs w:val="21"/>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Franchising</w:t>
            </w:r>
          </w:p>
        </w:tc>
        <w:tc>
          <w:tcPr>
            <w:tcW w:w="180" w:type="dxa"/>
            <w:vAlign w:val="bottom"/>
          </w:tcPr>
          <w:p>
            <w:pPr>
              <w:spacing w:after="0"/>
              <w:rPr>
                <w:sz w:val="21"/>
                <w:szCs w:val="21"/>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86"/>
        </w:trPr>
        <w:tc>
          <w:tcPr>
            <w:tcW w:w="40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3"/>
              </w:rPr>
              <w:t>Business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60"/>
              <w:spacing w:after="0"/>
              <w:rPr>
                <w:sz w:val="20"/>
                <w:szCs w:val="20"/>
                <w:color w:val="auto"/>
              </w:rPr>
            </w:pPr>
            <w:r>
              <w:rPr>
                <w:rFonts w:ascii="Arial" w:cs="Arial" w:eastAsia="Arial" w:hAnsi="Arial"/>
                <w:sz w:val="18"/>
                <w:szCs w:val="18"/>
                <w:color w:val="auto"/>
              </w:rPr>
              <w:t>Rentals and fees</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1,313,512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1,236,059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43,217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2,592,788</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Merchandise sales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646,038</w:t>
            </w:r>
          </w:p>
        </w:tc>
        <w:tc>
          <w:tcPr>
            <w:tcW w:w="0" w:type="dxa"/>
            <w:vAlign w:val="bottom"/>
          </w:tcPr>
          <w:p>
            <w:pPr>
              <w:spacing w:after="0"/>
              <w:rPr>
                <w:sz w:val="1"/>
                <w:szCs w:val="1"/>
                <w:color w:val="auto"/>
              </w:rPr>
            </w:pPr>
          </w:p>
        </w:tc>
      </w:tr>
      <w:tr>
        <w:trPr>
          <w:trHeight w:val="230"/>
        </w:trPr>
        <w:tc>
          <w:tcPr>
            <w:tcW w:w="4000" w:type="dxa"/>
            <w:vAlign w:val="bottom"/>
          </w:tcPr>
          <w:p>
            <w:pPr>
              <w:ind w:left="360"/>
              <w:spacing w:after="0"/>
              <w:rPr>
                <w:sz w:val="20"/>
                <w:szCs w:val="20"/>
                <w:color w:val="auto"/>
              </w:rPr>
            </w:pPr>
            <w:r>
              <w:rPr>
                <w:rFonts w:ascii="Arial" w:cs="Arial" w:eastAsia="Arial" w:hAnsi="Arial"/>
                <w:sz w:val="18"/>
                <w:szCs w:val="18"/>
                <w:color w:val="auto"/>
              </w:rPr>
              <w:t>Installment sales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52,992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52,992</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23"/>
        </w:trPr>
        <w:tc>
          <w:tcPr>
            <w:tcW w:w="4000" w:type="dxa"/>
            <w:vAlign w:val="bottom"/>
          </w:tcPr>
          <w:p>
            <w:pPr>
              <w:ind w:left="560"/>
              <w:spacing w:after="0"/>
              <w:rPr>
                <w:sz w:val="20"/>
                <w:szCs w:val="20"/>
                <w:color w:val="auto"/>
              </w:rPr>
            </w:pPr>
            <w:r>
              <w:rPr>
                <w:rFonts w:ascii="Arial" w:cs="Arial" w:eastAsia="Arial" w:hAnsi="Arial"/>
                <w:sz w:val="18"/>
                <w:szCs w:val="18"/>
                <w:color w:val="auto"/>
              </w:rPr>
              <w:t>Total store revenues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1,531,686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1,716,174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45,670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3,294,853</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60"/>
              <w:spacing w:after="0"/>
              <w:rPr>
                <w:sz w:val="20"/>
                <w:szCs w:val="20"/>
                <w:color w:val="auto"/>
              </w:rPr>
            </w:pPr>
            <w:r>
              <w:rPr>
                <w:rFonts w:ascii="Arial" w:cs="Arial" w:eastAsia="Arial" w:hAnsi="Arial"/>
                <w:sz w:val="18"/>
                <w:szCs w:val="18"/>
                <w:color w:val="auto"/>
              </w:rPr>
              <w:t>Merchandise sales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96,342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96,342</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 and fees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20,830</w:t>
            </w:r>
          </w:p>
        </w:tc>
        <w:tc>
          <w:tcPr>
            <w:tcW w:w="0" w:type="dxa"/>
            <w:vAlign w:val="bottom"/>
          </w:tcPr>
          <w:p>
            <w:pPr>
              <w:spacing w:after="0"/>
              <w:rPr>
                <w:sz w:val="1"/>
                <w:szCs w:val="1"/>
                <w:color w:val="auto"/>
              </w:rPr>
            </w:pPr>
          </w:p>
        </w:tc>
      </w:tr>
      <w:tr>
        <w:trPr>
          <w:trHeight w:val="223"/>
        </w:trPr>
        <w:tc>
          <w:tcPr>
            <w:tcW w:w="4000" w:type="dxa"/>
            <w:vAlign w:val="bottom"/>
          </w:tcPr>
          <w:p>
            <w:pPr>
              <w:ind w:left="56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1,531,686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1,716,174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45,670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118,495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3,412,025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w w:val="92"/>
              </w:rPr>
              <w:t>Three Months Ended September 30, 2020</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Rent-A-Center</w:t>
            </w:r>
          </w:p>
        </w:tc>
        <w:tc>
          <w:tcPr>
            <w:tcW w:w="300" w:type="dxa"/>
            <w:vAlign w:val="bottom"/>
          </w:tcPr>
          <w:p>
            <w:pPr>
              <w:spacing w:after="0"/>
              <w:rPr>
                <w:sz w:val="21"/>
                <w:szCs w:val="21"/>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Acima</w:t>
            </w:r>
          </w:p>
        </w:tc>
        <w:tc>
          <w:tcPr>
            <w:tcW w:w="280" w:type="dxa"/>
            <w:vAlign w:val="bottom"/>
          </w:tcPr>
          <w:p>
            <w:pPr>
              <w:spacing w:after="0"/>
              <w:rPr>
                <w:sz w:val="21"/>
                <w:szCs w:val="21"/>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Mexico</w:t>
            </w:r>
          </w:p>
        </w:tc>
        <w:tc>
          <w:tcPr>
            <w:tcW w:w="220" w:type="dxa"/>
            <w:vAlign w:val="bottom"/>
          </w:tcPr>
          <w:p>
            <w:pPr>
              <w:spacing w:after="0"/>
              <w:rPr>
                <w:sz w:val="21"/>
                <w:szCs w:val="21"/>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Franchising</w:t>
            </w:r>
          </w:p>
        </w:tc>
        <w:tc>
          <w:tcPr>
            <w:tcW w:w="180" w:type="dxa"/>
            <w:vAlign w:val="bottom"/>
          </w:tcPr>
          <w:p>
            <w:pPr>
              <w:spacing w:after="0"/>
              <w:rPr>
                <w:sz w:val="21"/>
                <w:szCs w:val="21"/>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86"/>
        </w:trPr>
        <w:tc>
          <w:tcPr>
            <w:tcW w:w="4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3"/>
              </w:rPr>
              <w:t>Business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60"/>
              <w:spacing w:after="0"/>
              <w:rPr>
                <w:sz w:val="20"/>
                <w:szCs w:val="20"/>
                <w:color w:val="auto"/>
              </w:rPr>
            </w:pPr>
            <w:r>
              <w:rPr>
                <w:rFonts w:ascii="Arial" w:cs="Arial" w:eastAsia="Arial" w:hAnsi="Arial"/>
                <w:sz w:val="18"/>
                <w:szCs w:val="18"/>
                <w:color w:val="auto"/>
              </w:rPr>
              <w:t>Rentals and fees</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414,798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153,306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11,469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579,573</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Merchandise sales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91,233</w:t>
            </w:r>
          </w:p>
        </w:tc>
        <w:tc>
          <w:tcPr>
            <w:tcW w:w="0" w:type="dxa"/>
            <w:vAlign w:val="bottom"/>
          </w:tcPr>
          <w:p>
            <w:pPr>
              <w:spacing w:after="0"/>
              <w:rPr>
                <w:sz w:val="1"/>
                <w:szCs w:val="1"/>
                <w:color w:val="auto"/>
              </w:rPr>
            </w:pPr>
          </w:p>
        </w:tc>
      </w:tr>
      <w:tr>
        <w:trPr>
          <w:trHeight w:val="230"/>
        </w:trPr>
        <w:tc>
          <w:tcPr>
            <w:tcW w:w="4000" w:type="dxa"/>
            <w:vAlign w:val="bottom"/>
          </w:tcPr>
          <w:p>
            <w:pPr>
              <w:ind w:left="360"/>
              <w:spacing w:after="0"/>
              <w:rPr>
                <w:sz w:val="20"/>
                <w:szCs w:val="20"/>
                <w:color w:val="auto"/>
              </w:rPr>
            </w:pPr>
            <w:r>
              <w:rPr>
                <w:rFonts w:ascii="Arial" w:cs="Arial" w:eastAsia="Arial" w:hAnsi="Arial"/>
                <w:sz w:val="18"/>
                <w:szCs w:val="18"/>
                <w:color w:val="auto"/>
              </w:rPr>
              <w:t>Installment sales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16,580</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23"/>
        </w:trPr>
        <w:tc>
          <w:tcPr>
            <w:tcW w:w="4000" w:type="dxa"/>
            <w:vAlign w:val="bottom"/>
          </w:tcPr>
          <w:p>
            <w:pPr>
              <w:ind w:left="560"/>
              <w:spacing w:after="0"/>
              <w:rPr>
                <w:sz w:val="20"/>
                <w:szCs w:val="20"/>
                <w:color w:val="auto"/>
              </w:rPr>
            </w:pPr>
            <w:r>
              <w:rPr>
                <w:rFonts w:ascii="Arial" w:cs="Arial" w:eastAsia="Arial" w:hAnsi="Arial"/>
                <w:sz w:val="18"/>
                <w:szCs w:val="18"/>
                <w:color w:val="auto"/>
              </w:rPr>
              <w:t>Total store revenues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474,223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201,659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688,230</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60"/>
              <w:spacing w:after="0"/>
              <w:rPr>
                <w:sz w:val="20"/>
                <w:szCs w:val="20"/>
                <w:color w:val="auto"/>
              </w:rPr>
            </w:pPr>
            <w:r>
              <w:rPr>
                <w:rFonts w:ascii="Arial" w:cs="Arial" w:eastAsia="Arial" w:hAnsi="Arial"/>
                <w:sz w:val="18"/>
                <w:szCs w:val="18"/>
                <w:color w:val="auto"/>
              </w:rPr>
              <w:t>Merchandise sales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19,069</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 and fees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0" w:type="dxa"/>
            <w:vAlign w:val="bottom"/>
          </w:tcPr>
          <w:p>
            <w:pPr>
              <w:spacing w:after="0"/>
              <w:rPr>
                <w:sz w:val="1"/>
                <w:szCs w:val="1"/>
                <w:color w:val="auto"/>
              </w:rPr>
            </w:pPr>
          </w:p>
        </w:tc>
      </w:tr>
      <w:tr>
        <w:trPr>
          <w:trHeight w:val="223"/>
        </w:trPr>
        <w:tc>
          <w:tcPr>
            <w:tcW w:w="4000" w:type="dxa"/>
            <w:vAlign w:val="bottom"/>
          </w:tcPr>
          <w:p>
            <w:pPr>
              <w:ind w:left="56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474,223</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201,659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23,974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712,015</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8"/>
        </w:trPr>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w w:val="92"/>
              </w:rPr>
              <w:t>Nine Months Ended September 30, 2020</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Rent-A-Center</w:t>
            </w:r>
          </w:p>
        </w:tc>
        <w:tc>
          <w:tcPr>
            <w:tcW w:w="300" w:type="dxa"/>
            <w:vAlign w:val="bottom"/>
          </w:tcPr>
          <w:p>
            <w:pPr>
              <w:spacing w:after="0"/>
              <w:rPr>
                <w:sz w:val="21"/>
                <w:szCs w:val="21"/>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Acima</w:t>
            </w:r>
          </w:p>
        </w:tc>
        <w:tc>
          <w:tcPr>
            <w:tcW w:w="280" w:type="dxa"/>
            <w:vAlign w:val="bottom"/>
          </w:tcPr>
          <w:p>
            <w:pPr>
              <w:spacing w:after="0"/>
              <w:rPr>
                <w:sz w:val="21"/>
                <w:szCs w:val="21"/>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Mexico</w:t>
            </w:r>
          </w:p>
        </w:tc>
        <w:tc>
          <w:tcPr>
            <w:tcW w:w="220" w:type="dxa"/>
            <w:vAlign w:val="bottom"/>
          </w:tcPr>
          <w:p>
            <w:pPr>
              <w:spacing w:after="0"/>
              <w:rPr>
                <w:sz w:val="21"/>
                <w:szCs w:val="21"/>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Franchising</w:t>
            </w:r>
          </w:p>
        </w:tc>
        <w:tc>
          <w:tcPr>
            <w:tcW w:w="180" w:type="dxa"/>
            <w:vAlign w:val="bottom"/>
          </w:tcPr>
          <w:p>
            <w:pPr>
              <w:spacing w:after="0"/>
              <w:rPr>
                <w:sz w:val="21"/>
                <w:szCs w:val="21"/>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86"/>
        </w:trPr>
        <w:tc>
          <w:tcPr>
            <w:tcW w:w="4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3"/>
              </w:rPr>
              <w:t>Business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360"/>
              <w:spacing w:after="0"/>
              <w:rPr>
                <w:sz w:val="20"/>
                <w:szCs w:val="20"/>
                <w:color w:val="auto"/>
              </w:rPr>
            </w:pPr>
            <w:r>
              <w:rPr>
                <w:rFonts w:ascii="Arial" w:cs="Arial" w:eastAsia="Arial" w:hAnsi="Arial"/>
                <w:sz w:val="18"/>
                <w:szCs w:val="18"/>
                <w:color w:val="auto"/>
              </w:rPr>
              <w:t>Rentals and fees</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1,193,301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454,744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34,265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1,682,310</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Merchandise sales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144,887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300,693</w:t>
            </w:r>
          </w:p>
        </w:tc>
        <w:tc>
          <w:tcPr>
            <w:tcW w:w="0" w:type="dxa"/>
            <w:vAlign w:val="bottom"/>
          </w:tcPr>
          <w:p>
            <w:pPr>
              <w:spacing w:after="0"/>
              <w:rPr>
                <w:sz w:val="1"/>
                <w:szCs w:val="1"/>
                <w:color w:val="auto"/>
              </w:rPr>
            </w:pPr>
          </w:p>
        </w:tc>
      </w:tr>
      <w:tr>
        <w:trPr>
          <w:trHeight w:val="229"/>
        </w:trPr>
        <w:tc>
          <w:tcPr>
            <w:tcW w:w="4000" w:type="dxa"/>
            <w:vAlign w:val="bottom"/>
          </w:tcPr>
          <w:p>
            <w:pPr>
              <w:ind w:left="360"/>
              <w:spacing w:after="0"/>
              <w:rPr>
                <w:sz w:val="20"/>
                <w:szCs w:val="20"/>
                <w:color w:val="auto"/>
              </w:rPr>
            </w:pPr>
            <w:r>
              <w:rPr>
                <w:rFonts w:ascii="Arial" w:cs="Arial" w:eastAsia="Arial" w:hAnsi="Arial"/>
                <w:sz w:val="18"/>
                <w:szCs w:val="18"/>
                <w:color w:val="auto"/>
              </w:rPr>
              <w:t>Installment sales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48,970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48,970</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23"/>
        </w:trPr>
        <w:tc>
          <w:tcPr>
            <w:tcW w:w="4000" w:type="dxa"/>
            <w:vAlign w:val="bottom"/>
          </w:tcPr>
          <w:p>
            <w:pPr>
              <w:ind w:left="560"/>
              <w:spacing w:after="0"/>
              <w:rPr>
                <w:sz w:val="20"/>
                <w:szCs w:val="20"/>
                <w:color w:val="auto"/>
              </w:rPr>
            </w:pPr>
            <w:r>
              <w:rPr>
                <w:rFonts w:ascii="Arial" w:cs="Arial" w:eastAsia="Arial" w:hAnsi="Arial"/>
                <w:sz w:val="18"/>
                <w:szCs w:val="18"/>
                <w:color w:val="auto"/>
              </w:rPr>
              <w:t>Total store revenues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1,388,380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609,029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36,316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2,034,314</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360"/>
              <w:spacing w:after="0"/>
              <w:rPr>
                <w:sz w:val="20"/>
                <w:szCs w:val="20"/>
                <w:color w:val="auto"/>
              </w:rPr>
            </w:pPr>
            <w:r>
              <w:rPr>
                <w:rFonts w:ascii="Arial" w:cs="Arial" w:eastAsia="Arial" w:hAnsi="Arial"/>
                <w:sz w:val="18"/>
                <w:szCs w:val="18"/>
                <w:color w:val="auto"/>
              </w:rPr>
              <w:t>Merchandise sales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49,553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49,553</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 and fees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13,833</w:t>
            </w:r>
          </w:p>
        </w:tc>
        <w:tc>
          <w:tcPr>
            <w:tcW w:w="0" w:type="dxa"/>
            <w:vAlign w:val="bottom"/>
          </w:tcPr>
          <w:p>
            <w:pPr>
              <w:spacing w:after="0"/>
              <w:rPr>
                <w:sz w:val="1"/>
                <w:szCs w:val="1"/>
                <w:color w:val="auto"/>
              </w:rPr>
            </w:pPr>
          </w:p>
        </w:tc>
      </w:tr>
      <w:tr>
        <w:trPr>
          <w:trHeight w:val="223"/>
        </w:trPr>
        <w:tc>
          <w:tcPr>
            <w:tcW w:w="4000" w:type="dxa"/>
            <w:vAlign w:val="bottom"/>
          </w:tcPr>
          <w:p>
            <w:pPr>
              <w:ind w:left="56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1,388,380</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609,029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36,316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63,975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2,097,700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Purchase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Rent-A-Center Business, Acima, and Mexico</w:t>
      </w:r>
    </w:p>
    <w:p>
      <w:pPr>
        <w:spacing w:after="0" w:line="11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 xml:space="preserve">Rentals and Fees. </w:t>
      </w:r>
      <w:r>
        <w:rPr>
          <w:rFonts w:ascii="Arial" w:cs="Arial" w:eastAsia="Arial" w:hAnsi="Arial"/>
          <w:sz w:val="16"/>
          <w:szCs w:val="16"/>
          <w:color w:val="auto"/>
        </w:rPr>
        <w:t>Rental merchandise is leased to customers pursuant to rental purchase agreements, which provide for weekly, semi-monthly or monthly</w:t>
      </w:r>
      <w:r>
        <w:rPr>
          <w:rFonts w:ascii="Arial" w:cs="Arial" w:eastAsia="Arial" w:hAnsi="Arial"/>
          <w:sz w:val="16"/>
          <w:szCs w:val="16"/>
          <w:i w:val="1"/>
          <w:iCs w:val="1"/>
          <w:color w:val="auto"/>
        </w:rPr>
        <w:t xml:space="preserve"> </w:t>
      </w:r>
      <w:r>
        <w:rPr>
          <w:rFonts w:ascii="Arial" w:cs="Arial" w:eastAsia="Arial" w:hAnsi="Arial"/>
          <w:sz w:val="16"/>
          <w:szCs w:val="16"/>
          <w:color w:val="auto"/>
        </w:rPr>
        <w:t>rental terms with non-refundable rental payments. At the expiration of each rental term, customers may renew the rental agreement for the next rental term.</w:t>
      </w:r>
    </w:p>
    <w:p>
      <w:pPr>
        <w:sectPr>
          <w:pgSz w:w="11900" w:h="16838" w:orient="portrait"/>
          <w:cols w:equalWidth="0" w:num="1">
            <w:col w:w="11240"/>
          </w:cols>
          <w:pgMar w:left="320" w:top="121" w:right="339" w:bottom="0" w:gutter="0" w:footer="0" w:header="0"/>
        </w:sectPr>
      </w:pPr>
    </w:p>
    <w:bookmarkStart w:id="13" w:name="page14"/>
    <w:bookmarkEnd w:id="13"/>
    <w:p>
      <w:pPr>
        <w:jc w:val="both"/>
        <w:ind w:right="20"/>
        <w:spacing w:after="0" w:line="263" w:lineRule="auto"/>
        <w:rPr>
          <w:sz w:val="20"/>
          <w:szCs w:val="20"/>
          <w:color w:val="auto"/>
        </w:rPr>
      </w:pPr>
      <w:r>
        <w:rPr>
          <w:rFonts w:ascii="Arial" w:cs="Arial" w:eastAsia="Arial" w:hAnsi="Arial"/>
          <w:sz w:val="18"/>
          <w:szCs w:val="18"/>
          <w:color w:val="auto"/>
        </w:rPr>
        <w:t>Generally, the customer has the right to acquire title of the merchandise either through a purchase option or through payment of all required rental terms. Customers can terminate the rental agreement at the end of any rental term without penalty. Therefore, rental transactions are accounted for as operating leases.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Rental payments received at our Rent-A-Center Business, Acima (excluding virtual) and Mexico locations must be prepaid in advance of the next rental term. Under the virtual business model, revenues may be earned prior to the rental payment due date, in which case revenue is accrued prior to receipt of the rental payment, net of estimated returns and uncollectible renewal payments. Under both models, rental revenue is recognized over the rental term. See Note 4 for additional information regarding accrued rental revenue.</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received for rental payments, including fees, prior to the period in which it should be recognized, is deferred and recognized according to the rental term. At September 30, 2021 and December 31, 2020, we had $40.5 million and $45.8 million, respectively, in deferred revenue included in accrued liabilities related to our rental purchase agreements. Revenue related to various payment, reinstatement or late fees is recognized when paid by the customer at the point service is provided. Rental merchandise in our Rent-A-Center Business, former Preferred Lease, and Mexico locations is depreciated using the income forecasting method and recognized in cost of sales over the rental term. Rental merchandise in the recently acquired Acima Holdings is depreciated over the rental term using a straight-line depreciation method.</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offer additional product plans along with our rental agreements which provide customers with liability protection against significant damage or loss of a product, and club membership benefits, including various discount programs and product service and replacement benefits in the event merchandise is damaged or lost, and payment insurance in the event eligible customers become unemployed. Customers renew product plans in conjunction with their rental term renewals, and can cancel the plans at any time. Revenue for product plans is recognized over the term of the plan. Costs incurred related to product plans are primarily recognized in cost of sales.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Rent-A-Center Business, Acima, and Mexico</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Merchandise Sales. </w:t>
      </w:r>
      <w:r>
        <w:rPr>
          <w:rFonts w:ascii="Arial" w:cs="Arial" w:eastAsia="Arial" w:hAnsi="Arial"/>
          <w:sz w:val="16"/>
          <w:szCs w:val="16"/>
          <w:color w:val="auto"/>
        </w:rPr>
        <w:t>Merchandise sales include payments received for the exercise of the early purchase option offered through our rental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or merchandise sold through point of sale transactions. Revenue for merchandise sales is recognized when payment is received and ownership of the merchandise passes to the customer. The remaining net value of merchandise sold is recorded to cost of sales at the time of the transaction.</w:t>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Installment Sales. </w:t>
      </w:r>
      <w:r>
        <w:rPr>
          <w:rFonts w:ascii="Arial" w:cs="Arial" w:eastAsia="Arial" w:hAnsi="Arial"/>
          <w:sz w:val="18"/>
          <w:szCs w:val="18"/>
          <w:color w:val="auto"/>
        </w:rPr>
        <w:t>Revenue from the sale of merchandise in our retail installment stores is recognized when the installment note is signed and control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merchandise has passed to the customer. The cost of merchandise sold through installment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agreements is recognized in cost of sales at the time of the transaction. We offer extended service plans with our installment agreements which are administered by third parties and provide customers with product service maintenance beyond the term of the installment agreement. Payments received for extended service plans are deferred and recognized, net of related costs, when the installment payment plan is complete and the service plan goes into effect. Customers can cancel extended service plans at any time during the installment agreement period and receive a refund for payments previously made towards the plan. At September 30, 2021 and December 31, 2020, we had $3.4 million and $3.1 million in deferred revenue included in accrued liabilities related to extended service plans.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Other revenue consists of revenue generated by other miscellaneous product plans offered to our rental and installment customers. Revenue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plans is recognized in accordance with the terms of the applicable plan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Merchandise Sales. </w:t>
      </w:r>
      <w:r>
        <w:rPr>
          <w:rFonts w:ascii="Arial" w:cs="Arial" w:eastAsia="Arial" w:hAnsi="Arial"/>
          <w:sz w:val="18"/>
          <w:szCs w:val="18"/>
          <w:color w:val="auto"/>
        </w:rPr>
        <w:t>Revenue from the sale of rental merchandise is recognized upon shipment of the merchandise to the franchisee.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Royalty Income and Fees. </w:t>
      </w:r>
      <w:r>
        <w:rPr>
          <w:rFonts w:ascii="Arial" w:cs="Arial" w:eastAsia="Arial" w:hAnsi="Arial"/>
          <w:sz w:val="18"/>
          <w:szCs w:val="18"/>
          <w:color w:val="auto"/>
        </w:rPr>
        <w:t>Franchise royalties, including franchisee contributions to corporate advertising funds, represent sales-based royalties calculated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gross rental payments and sales. Royalty revenue is accrued and recognized as rental payments and merchandise sales occur. Franchise fees are initial fees charged to franchisees for new or converted franchise stores. Franchise fee revenue is recognized on a straight-line basis over the term of the franchise agreement. At both September 30, 2021 and December 31, 2020, we had $4.3 million and $4.7 million in deferred revenue included in accrued liabilities related to franchise fees.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Receivables and Allowance for Doubtful Accounts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Installment sales receivables consist primarily of receivables due from customers for the sale of merchandise in our retail installment stores. Installment sales receivable associated with the sale of merchandise at our Get It Now and Home Choice stores generally consist of the sales price of the merchandise purchased and any additional fees for services the customer has chosen, less the customer’s down payment. No interest is accrued and interest income is recognized each time a customer makes a payment, generally on a monthly basis. Interest paid on installment agreements for the nine months ended September 30, 2021 and 2020 was $9.2 million and $8.5 million, respectively.</w:t>
      </w:r>
    </w:p>
    <w:p>
      <w:pPr>
        <w:spacing w:after="0" w:line="13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Trade and notes receivables consist of amounts due from our rental customers for renewal and uncollected rental payments; amounts owed from our franchisees for inventory purchases, earned royalties and other obligations; and other corporate related receivables. Credit is extended to franchisees based on an evaluation of each franchisee’s financial condition and collateral is generally not required. Trade receivables are generally due within 30 days.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Receivables consist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6"/>
                <w:szCs w:val="16"/>
                <w:color w:val="auto"/>
              </w:rPr>
            </w:pP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December 31, 2020</w:t>
            </w:r>
          </w:p>
        </w:tc>
      </w:tr>
      <w:tr>
        <w:trPr>
          <w:trHeight w:val="215"/>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Installment sales receivables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63,064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61,794</w:t>
            </w:r>
          </w:p>
        </w:tc>
      </w:tr>
      <w:tr>
        <w:trPr>
          <w:trHeight w:val="21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Trade and notes receivables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76,830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36,256</w:t>
            </w:r>
          </w:p>
        </w:tc>
      </w:tr>
      <w:tr>
        <w:trPr>
          <w:trHeight w:val="213"/>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receivables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ind w:left="980"/>
              <w:spacing w:after="0"/>
              <w:rPr>
                <w:sz w:val="20"/>
                <w:szCs w:val="20"/>
                <w:color w:val="auto"/>
              </w:rPr>
            </w:pPr>
            <w:r>
              <w:rPr>
                <w:rFonts w:ascii="Arial" w:cs="Arial" w:eastAsia="Arial" w:hAnsi="Arial"/>
                <w:sz w:val="16"/>
                <w:szCs w:val="16"/>
                <w:color w:val="auto"/>
              </w:rPr>
              <w:t>98,050</w:t>
            </w:r>
          </w:p>
        </w:tc>
      </w:tr>
      <w:tr>
        <w:trPr>
          <w:trHeight w:val="21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allowance for doubtful accounts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w w:val="94"/>
              </w:rPr>
              <w:t>(8,047)</w:t>
            </w:r>
          </w:p>
        </w:tc>
      </w:tr>
      <w:tr>
        <w:trPr>
          <w:trHeight w:val="237"/>
        </w:trPr>
        <w:tc>
          <w:tcPr>
            <w:tcW w:w="7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receivables, net of allowance for doubtful accounts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131,930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90,003</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an allowance for doubtful accounts for our installment notes receivable. Our policy for determining the allowance is primarily based on historical loss experience, as well as the results of management’s review and analysis of the payment and collection of the installment notes receivable within the previous year. We believe our allowance is adequate to absorb all expected losses. Our policy is to charge off installment notes receivable that are 120 days or more past due. Charge-offs are applied as a reduction to the allowance for doubtful accounts and any recoveries of previously charged off balances are applied as an increase to the allowance for doubtful accounts.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our Franchising trade and notes receivables is determined by considering a number of factors, including the length of time receivables are past due, previous loss history, the franchisee’s current ability to pay its obligation, and the condition of the general economy and the industry as a whole. Trade receivables that are more than 90 days past due are either written-off or fully reserved in our allowance for doubtful accounts. Payments subsequently received on such receivables are credited to the allowance for doubtful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allowance for doubtful accounts related to trade and notes receivable was $0.9 million and $1.0 million at September 30, 2021 and December 31, 2020, respectively. The allowance for doubtful accounts related to installment sales receivable was $7.1 million and $7.0 million at September 30, 2021 and December 31, 2020,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allowance for doubtful accounts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September 30, 2021</w:t>
            </w:r>
          </w:p>
        </w:tc>
      </w:tr>
      <w:tr>
        <w:trPr>
          <w:trHeight w:val="215"/>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allowance for doubtful accounts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center"/>
              <w:ind w:left="921"/>
              <w:spacing w:after="0"/>
              <w:rPr>
                <w:sz w:val="20"/>
                <w:szCs w:val="20"/>
                <w:color w:val="auto"/>
              </w:rPr>
            </w:pPr>
            <w:r>
              <w:rPr>
                <w:rFonts w:ascii="Arial" w:cs="Arial" w:eastAsia="Arial" w:hAnsi="Arial"/>
                <w:sz w:val="16"/>
                <w:szCs w:val="16"/>
                <w:color w:val="auto"/>
                <w:w w:val="94"/>
              </w:rPr>
              <w:t>8,047</w:t>
            </w:r>
          </w:p>
        </w:tc>
      </w:tr>
      <w:tr>
        <w:trPr>
          <w:trHeight w:val="216"/>
        </w:trPr>
        <w:tc>
          <w:tcPr>
            <w:tcW w:w="9580" w:type="dxa"/>
            <w:vAlign w:val="bottom"/>
          </w:tcPr>
          <w:p>
            <w:pPr>
              <w:ind w:left="140"/>
              <w:spacing w:after="0" w:line="216" w:lineRule="exact"/>
              <w:rPr>
                <w:sz w:val="20"/>
                <w:szCs w:val="20"/>
                <w:color w:val="auto"/>
              </w:rPr>
            </w:pPr>
            <w:r>
              <w:rPr>
                <w:rFonts w:ascii="Arial" w:cs="Arial" w:eastAsia="Arial" w:hAnsi="Arial"/>
                <w:sz w:val="16"/>
                <w:szCs w:val="16"/>
                <w:color w:val="auto"/>
              </w:rPr>
              <w:t>Bad debt expense</w:t>
            </w:r>
            <w:r>
              <w:rPr>
                <w:rFonts w:ascii="Arial" w:cs="Arial" w:eastAsia="Arial" w:hAnsi="Arial"/>
                <w:sz w:val="21"/>
                <w:szCs w:val="21"/>
                <w:color w:val="auto"/>
                <w:vertAlign w:val="superscript"/>
              </w:rPr>
              <w:t>(1)</w:t>
            </w:r>
          </w:p>
        </w:tc>
        <w:tc>
          <w:tcPr>
            <w:tcW w:w="160" w:type="dxa"/>
            <w:vAlign w:val="bottom"/>
          </w:tcPr>
          <w:p>
            <w:pPr>
              <w:spacing w:after="0"/>
              <w:rPr>
                <w:sz w:val="18"/>
                <w:szCs w:val="18"/>
                <w:color w:val="auto"/>
              </w:rPr>
            </w:pPr>
          </w:p>
        </w:tc>
        <w:tc>
          <w:tcPr>
            <w:tcW w:w="1500" w:type="dxa"/>
            <w:vAlign w:val="bottom"/>
          </w:tcPr>
          <w:p>
            <w:pPr>
              <w:jc w:val="center"/>
              <w:ind w:left="921"/>
              <w:spacing w:after="0"/>
              <w:rPr>
                <w:sz w:val="20"/>
                <w:szCs w:val="20"/>
                <w:color w:val="auto"/>
              </w:rPr>
            </w:pPr>
            <w:r>
              <w:rPr>
                <w:rFonts w:ascii="Arial" w:cs="Arial" w:eastAsia="Arial" w:hAnsi="Arial"/>
                <w:sz w:val="16"/>
                <w:szCs w:val="16"/>
                <w:color w:val="auto"/>
                <w:w w:val="94"/>
              </w:rPr>
              <w:t>9,825</w:t>
            </w:r>
          </w:p>
        </w:tc>
      </w:tr>
      <w:tr>
        <w:trPr>
          <w:trHeight w:val="213"/>
        </w:trPr>
        <w:tc>
          <w:tcPr>
            <w:tcW w:w="9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written off, net of recoveries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center"/>
              <w:ind w:left="901"/>
              <w:spacing w:after="0"/>
              <w:rPr>
                <w:sz w:val="20"/>
                <w:szCs w:val="20"/>
                <w:color w:val="auto"/>
              </w:rPr>
            </w:pPr>
            <w:r>
              <w:rPr>
                <w:rFonts w:ascii="Arial" w:cs="Arial" w:eastAsia="Arial" w:hAnsi="Arial"/>
                <w:sz w:val="16"/>
                <w:szCs w:val="16"/>
                <w:color w:val="auto"/>
                <w:w w:val="94"/>
              </w:rPr>
              <w:t>(9,908)</w:t>
            </w:r>
          </w:p>
        </w:tc>
      </w:tr>
      <w:tr>
        <w:trPr>
          <w:trHeight w:val="213"/>
        </w:trPr>
        <w:tc>
          <w:tcPr>
            <w:tcW w:w="9580" w:type="dxa"/>
            <w:vAlign w:val="bottom"/>
          </w:tcPr>
          <w:p>
            <w:pPr>
              <w:ind w:left="60"/>
              <w:spacing w:after="0"/>
              <w:rPr>
                <w:sz w:val="20"/>
                <w:szCs w:val="20"/>
                <w:color w:val="auto"/>
              </w:rPr>
            </w:pPr>
            <w:r>
              <w:rPr>
                <w:rFonts w:ascii="Arial" w:cs="Arial" w:eastAsia="Arial" w:hAnsi="Arial"/>
                <w:sz w:val="16"/>
                <w:szCs w:val="16"/>
                <w:color w:val="auto"/>
              </w:rPr>
              <w:t>Ending allowance for doubtful accounts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center"/>
              <w:ind w:left="921"/>
              <w:spacing w:after="0"/>
              <w:rPr>
                <w:sz w:val="20"/>
                <w:szCs w:val="20"/>
                <w:color w:val="auto"/>
              </w:rPr>
            </w:pPr>
            <w:r>
              <w:rPr>
                <w:rFonts w:ascii="Arial" w:cs="Arial" w:eastAsia="Arial" w:hAnsi="Arial"/>
                <w:sz w:val="16"/>
                <w:szCs w:val="16"/>
                <w:color w:val="auto"/>
                <w:w w:val="94"/>
              </w:rPr>
              <w:t>7,964</w:t>
            </w:r>
          </w:p>
        </w:tc>
      </w:tr>
      <w:tr>
        <w:trPr>
          <w:trHeight w:val="21"/>
        </w:trPr>
        <w:tc>
          <w:tcPr>
            <w:tcW w:w="9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5"/>
          <w:szCs w:val="15"/>
          <w:color w:val="auto"/>
          <w:vertAlign w:val="superscript"/>
        </w:rPr>
      </w:pPr>
      <w:r>
        <w:rPr>
          <w:rFonts w:ascii="Arial" w:cs="Arial" w:eastAsia="Arial" w:hAnsi="Arial"/>
          <w:sz w:val="12"/>
          <w:szCs w:val="12"/>
          <w:color w:val="auto"/>
        </w:rPr>
        <w:t>Uncollectible installment payments, franchisee obligations, and other corporate receivables are recognized in other store operating expenses in our condensed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lease space for all of our Rent-A-Center Business and Mexico stores under operating leases expiring at various times through 2027. In addition, we lease space for certain support facilities under operating leases expiring at various times through 2032. Most of our store leases are five year leases and contain renewal options for additional periods ranging from three to five years at rental rates adjusted according to agreed upon formulas. We evaluate all leases to determine if it is likely that we will exercise future renewal options and in most cases we are not reasonably certain of exercise due to competing market rental rates and lack of significant penalty, or business disruption incurred by not exercising the renewal options. In certain situations involving the sale of a Rent-A-Center Business corporate store to a franchisee, we enter into a lease assignment agreement with the buyer, but we remain the primary obligor under the original lease for the remaining active term. These assignments are therefore classified as subleases and the original lease is included in our operating lease right-of-use assets and operating lease liabilities in our Condensed Consolidated Balance Sheets.</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lease vehicles for all of our Rent-A-Center Business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Condensed Consolidated Balance Sheets. We also lease vehicles for all of our Mexico stores which have terms expiring at various times through 2025 with rental rates adjusted periodically for inflation. Finally, we have a minimal number of equipment leases, primarily related to temporary storage containers and certain back-office technology hardware assets.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all of the leases described above, we have elected not to separate the lease and non-lease components and instead account for these as a single component. In addition, we have elected to use available practical expedients that eliminate the requirement to reassess whether expired or existing contracts contained leases and the requirement to reassess the lease classification for any existing leases prior to our adoption of ASU 2016-02 on January 1, 2019.</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lease right-of-use assets and operating lease liabilities are discounted using our incremental borrowing rate, since the implicit rate is not readily determinable. We do not currently have any financing leases.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Operating lease costs are recorded on a straight-line basis within other store expenses in our Condensed Consolidated Statements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costs by expense type: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gridSpan w:val="5"/>
          </w:tcPr>
          <w:p>
            <w:pPr>
              <w:ind w:left="9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3420" w:type="dxa"/>
            <w:vAlign w:val="bottom"/>
            <w:gridSpan w:val="4"/>
          </w:tcPr>
          <w:p>
            <w:pPr>
              <w:ind w:left="10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39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7"/>
              </w:rPr>
              <w:t>September 30, 2020</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7"/>
              </w:rPr>
              <w:t>September 30, 2020</w:t>
            </w:r>
          </w:p>
        </w:tc>
        <w:tc>
          <w:tcPr>
            <w:tcW w:w="0" w:type="dxa"/>
            <w:vAlign w:val="bottom"/>
          </w:tcPr>
          <w:p>
            <w:pPr>
              <w:spacing w:after="0"/>
              <w:rPr>
                <w:sz w:val="1"/>
                <w:szCs w:val="1"/>
                <w:color w:val="auto"/>
              </w:rPr>
            </w:pPr>
          </w:p>
        </w:tc>
      </w:tr>
      <w:tr>
        <w:trPr>
          <w:trHeight w:val="157"/>
        </w:trPr>
        <w:tc>
          <w:tcPr>
            <w:tcW w:w="394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Operating lease cost included in Other store</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33,218</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34,682</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102,044</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106,559</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expenses</w:t>
            </w:r>
            <w:r>
              <w:rPr>
                <w:rFonts w:ascii="Arial" w:cs="Arial" w:eastAsia="Arial" w:hAnsi="Arial"/>
                <w:sz w:val="23"/>
                <w:szCs w:val="23"/>
                <w:color w:val="auto"/>
                <w:vertAlign w:val="superscript"/>
              </w:rPr>
              <w:t>(1)(2)</w:t>
            </w:r>
          </w:p>
        </w:tc>
        <w:tc>
          <w:tcPr>
            <w:tcW w:w="180" w:type="dxa"/>
            <w:vAlign w:val="bottom"/>
            <w:vMerge w:val="continue"/>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940" w:type="dxa"/>
            <w:vAlign w:val="bottom"/>
          </w:tcPr>
          <w:p>
            <w:pPr>
              <w:ind w:left="20"/>
              <w:spacing w:after="0" w:line="176" w:lineRule="exact"/>
              <w:rPr>
                <w:sz w:val="20"/>
                <w:szCs w:val="20"/>
                <w:color w:val="auto"/>
              </w:rPr>
            </w:pPr>
            <w:r>
              <w:rPr>
                <w:rFonts w:ascii="Arial" w:cs="Arial" w:eastAsia="Arial" w:hAnsi="Arial"/>
                <w:sz w:val="18"/>
                <w:szCs w:val="18"/>
                <w:color w:val="auto"/>
              </w:rPr>
              <w:t>Operating lease cost included in Other charges</w:t>
            </w:r>
          </w:p>
        </w:tc>
        <w:tc>
          <w:tcPr>
            <w:tcW w:w="18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line="230" w:lineRule="exact"/>
              <w:rPr>
                <w:sz w:val="20"/>
                <w:szCs w:val="20"/>
                <w:color w:val="auto"/>
              </w:rPr>
            </w:pPr>
            <w:r>
              <w:rPr>
                <w:rFonts w:ascii="Arial" w:cs="Arial" w:eastAsia="Arial" w:hAnsi="Arial"/>
                <w:sz w:val="18"/>
                <w:szCs w:val="18"/>
                <w:color w:val="auto"/>
              </w:rPr>
              <w:t>(gains)</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receipts</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94"/>
              </w:rPr>
              <w:t>(9,333)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(6,641)</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color w:val="auto"/>
              </w:rPr>
              <w:t>Total operating lease charges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30,384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92,971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100,999</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20" w:hanging="112"/>
        <w:spacing w:after="0"/>
        <w:tabs>
          <w:tab w:leader="none" w:pos="120" w:val="left"/>
        </w:tabs>
        <w:numPr>
          <w:ilvl w:val="0"/>
          <w:numId w:val="5"/>
        </w:numPr>
        <w:rPr>
          <w:rFonts w:ascii="Arial" w:cs="Arial" w:eastAsia="Arial" w:hAnsi="Arial"/>
          <w:sz w:val="13"/>
          <w:szCs w:val="13"/>
          <w:color w:val="auto"/>
          <w:vertAlign w:val="superscript"/>
        </w:rPr>
      </w:pPr>
      <w:r>
        <w:rPr>
          <w:rFonts w:ascii="Arial" w:cs="Arial" w:eastAsia="Arial" w:hAnsi="Arial"/>
          <w:sz w:val="10"/>
          <w:szCs w:val="10"/>
          <w:color w:val="auto"/>
        </w:rPr>
        <w:t>Includes short-term lease costs, which are not significant.</w:t>
      </w:r>
    </w:p>
    <w:p>
      <w:pPr>
        <w:spacing w:after="0" w:line="9" w:lineRule="exact"/>
        <w:rPr>
          <w:rFonts w:ascii="Arial" w:cs="Arial" w:eastAsia="Arial" w:hAnsi="Arial"/>
          <w:sz w:val="13"/>
          <w:szCs w:val="13"/>
          <w:color w:val="auto"/>
          <w:vertAlign w:val="superscript"/>
        </w:rPr>
      </w:pPr>
    </w:p>
    <w:p>
      <w:pPr>
        <w:ind w:right="980" w:firstLine="8"/>
        <w:spacing w:after="0" w:line="261" w:lineRule="auto"/>
        <w:tabs>
          <w:tab w:leader="none" w:pos="127" w:val="left"/>
        </w:tabs>
        <w:numPr>
          <w:ilvl w:val="0"/>
          <w:numId w:val="5"/>
        </w:numPr>
        <w:rPr>
          <w:rFonts w:ascii="Arial" w:cs="Arial" w:eastAsia="Arial" w:hAnsi="Arial"/>
          <w:sz w:val="14"/>
          <w:szCs w:val="14"/>
          <w:color w:val="auto"/>
          <w:vertAlign w:val="superscript"/>
        </w:rPr>
      </w:pPr>
      <w:r>
        <w:rPr>
          <w:rFonts w:ascii="Arial" w:cs="Arial" w:eastAsia="Arial" w:hAnsi="Arial"/>
          <w:sz w:val="11"/>
          <w:szCs w:val="11"/>
          <w:color w:val="auto"/>
        </w:rPr>
        <w:t>Excludes variable lease costs of $8.4 million and $25.4 million for the three and nine months ended September 30, 2021 compared to $8.7 million and $26.0 million for the three and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3640" w:type="dxa"/>
            <w:vAlign w:val="bottom"/>
            <w:tcBorders>
              <w:bottom w:val="single" w:sz="8" w:color="auto"/>
            </w:tcBorders>
            <w:gridSpan w:val="2"/>
          </w:tcPr>
          <w:p>
            <w:pPr>
              <w:ind w:left="1200"/>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75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820" w:type="dxa"/>
            <w:vAlign w:val="bottom"/>
          </w:tcPr>
          <w:p>
            <w:pPr>
              <w:ind w:left="280"/>
              <w:spacing w:after="0"/>
              <w:rPr>
                <w:sz w:val="20"/>
                <w:szCs w:val="20"/>
                <w:color w:val="auto"/>
              </w:rPr>
            </w:pPr>
            <w:r>
              <w:rPr>
                <w:rFonts w:ascii="Arial" w:cs="Arial" w:eastAsia="Arial" w:hAnsi="Arial"/>
                <w:sz w:val="14"/>
                <w:szCs w:val="14"/>
                <w:b w:val="1"/>
                <w:bCs w:val="1"/>
                <w:color w:val="auto"/>
              </w:rPr>
              <w:t>September 30, 2021</w:t>
            </w:r>
          </w:p>
        </w:tc>
        <w:tc>
          <w:tcPr>
            <w:tcW w:w="1820" w:type="dxa"/>
            <w:vAlign w:val="bottom"/>
          </w:tcPr>
          <w:p>
            <w:pPr>
              <w:ind w:left="340"/>
              <w:spacing w:after="0"/>
              <w:rPr>
                <w:sz w:val="20"/>
                <w:szCs w:val="20"/>
                <w:color w:val="auto"/>
              </w:rPr>
            </w:pPr>
            <w:r>
              <w:rPr>
                <w:rFonts w:ascii="Arial" w:cs="Arial" w:eastAsia="Arial" w:hAnsi="Arial"/>
                <w:sz w:val="14"/>
                <w:szCs w:val="14"/>
                <w:b w:val="1"/>
                <w:bCs w:val="1"/>
                <w:color w:val="auto"/>
              </w:rPr>
              <w:t>September 30, 2020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measurement of operating lease liabilities</w:t>
            </w:r>
          </w:p>
        </w:tc>
        <w:tc>
          <w:tcPr>
            <w:tcW w:w="66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80,800</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85,794</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Cash paid for short-term operating leases not included in operating lease liabilities</w:t>
            </w: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13,022</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17,466</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87,178</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74,095</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discount rate and weighted-average remaining lease term:</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980" w:type="dxa"/>
            <w:vAlign w:val="bottom"/>
            <w:gridSpan w:val="2"/>
          </w:tcPr>
          <w:p>
            <w:pPr>
              <w:ind w:left="340"/>
              <w:spacing w:after="0"/>
              <w:rPr>
                <w:sz w:val="20"/>
                <w:szCs w:val="20"/>
                <w:color w:val="auto"/>
              </w:rPr>
            </w:pPr>
            <w:r>
              <w:rPr>
                <w:rFonts w:ascii="Arial" w:cs="Arial" w:eastAsia="Arial" w:hAnsi="Arial"/>
                <w:sz w:val="14"/>
                <w:szCs w:val="14"/>
                <w:b w:val="1"/>
                <w:bCs w:val="1"/>
                <w:color w:val="auto"/>
              </w:rPr>
              <w:t>September 30, 2021</w:t>
            </w:r>
          </w:p>
        </w:tc>
        <w:tc>
          <w:tcPr>
            <w:tcW w:w="190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736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Weighted-average discount rate</w:t>
            </w:r>
            <w:r>
              <w:rPr>
                <w:rFonts w:ascii="Arial" w:cs="Arial" w:eastAsia="Arial" w:hAnsi="Arial"/>
                <w:sz w:val="23"/>
                <w:szCs w:val="23"/>
                <w:color w:val="auto"/>
                <w:vertAlign w:val="superscript"/>
              </w:rPr>
              <w:t>(1)</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66" w:lineRule="exact"/>
        <w:rPr>
          <w:sz w:val="20"/>
          <w:szCs w:val="20"/>
          <w:color w:val="auto"/>
        </w:rPr>
      </w:pPr>
    </w:p>
    <w:p>
      <w:pPr>
        <w:ind w:left="120" w:hanging="112"/>
        <w:spacing w:after="0"/>
        <w:tabs>
          <w:tab w:leader="none" w:pos="120" w:val="left"/>
        </w:tabs>
        <w:numPr>
          <w:ilvl w:val="0"/>
          <w:numId w:val="6"/>
        </w:numPr>
        <w:rPr>
          <w:rFonts w:ascii="Arial" w:cs="Arial" w:eastAsia="Arial" w:hAnsi="Arial"/>
          <w:sz w:val="13"/>
          <w:szCs w:val="13"/>
          <w:color w:val="auto"/>
          <w:vertAlign w:val="superscript"/>
        </w:rPr>
      </w:pPr>
      <w:r>
        <w:rPr>
          <w:rFonts w:ascii="Arial" w:cs="Arial" w:eastAsia="Arial" w:hAnsi="Arial"/>
          <w:sz w:val="10"/>
          <w:szCs w:val="10"/>
          <w:color w:val="auto"/>
        </w:rPr>
        <w:t>The January 1, 2019 incremental borrowing rate was used for leases in existence at the time of adoption of ASU 2016-02.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undiscounted operating lease liabilities to the present value operating lease liabilities at September 30,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jc w:val="right"/>
              <w:ind w:right="820"/>
              <w:spacing w:after="0"/>
              <w:rPr>
                <w:sz w:val="20"/>
                <w:szCs w:val="20"/>
                <w:color w:val="auto"/>
              </w:rPr>
            </w:pPr>
            <w:r>
              <w:rPr>
                <w:rFonts w:ascii="Arial" w:cs="Arial" w:eastAsia="Arial" w:hAnsi="Arial"/>
                <w:sz w:val="14"/>
                <w:szCs w:val="14"/>
                <w:b w:val="1"/>
                <w:bCs w:val="1"/>
                <w:color w:val="auto"/>
              </w:rPr>
              <w:t>Operating Leases</w:t>
            </w:r>
          </w:p>
        </w:tc>
      </w:tr>
      <w:tr>
        <w:trPr>
          <w:trHeight w:val="215"/>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37,919</w:t>
            </w: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2022</w:t>
            </w:r>
          </w:p>
        </w:tc>
        <w:tc>
          <w:tcPr>
            <w:tcW w:w="5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6"/>
                <w:szCs w:val="16"/>
                <w:color w:val="auto"/>
              </w:rPr>
              <w:t>102,197</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5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76,597</w:t>
            </w: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2024</w:t>
            </w:r>
          </w:p>
        </w:tc>
        <w:tc>
          <w:tcPr>
            <w:tcW w:w="5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6"/>
                <w:szCs w:val="16"/>
                <w:color w:val="auto"/>
              </w:rPr>
              <w:t>58,245</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5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41,294</w:t>
            </w:r>
          </w:p>
        </w:tc>
      </w:tr>
      <w:tr>
        <w:trPr>
          <w:trHeight w:val="213"/>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5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32,088</w:t>
            </w:r>
          </w:p>
        </w:tc>
      </w:tr>
      <w:tr>
        <w:trPr>
          <w:trHeight w:val="212"/>
        </w:trPr>
        <w:tc>
          <w:tcPr>
            <w:tcW w:w="8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undiscounted operating lease liabilities</w:t>
            </w:r>
          </w:p>
        </w:tc>
        <w:tc>
          <w:tcPr>
            <w:tcW w:w="500" w:type="dxa"/>
            <w:vAlign w:val="bottom"/>
            <w:shd w:val="clear" w:color="auto" w:fill="CCEEFF"/>
          </w:tcPr>
          <w:p>
            <w:pPr>
              <w:spacing w:after="0"/>
              <w:rPr>
                <w:sz w:val="18"/>
                <w:szCs w:val="18"/>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348,340</w:t>
            </w:r>
          </w:p>
        </w:tc>
      </w:tr>
      <w:tr>
        <w:trPr>
          <w:trHeight w:val="213"/>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w:t>
            </w:r>
          </w:p>
        </w:tc>
        <w:tc>
          <w:tcPr>
            <w:tcW w:w="5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(47,930)</w:t>
            </w:r>
          </w:p>
        </w:tc>
      </w:tr>
      <w:tr>
        <w:trPr>
          <w:trHeight w:val="238"/>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present value of operating lease liabilities</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300,410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response to the COVID-19 pandemic and related government restrictions negatively impacting our operations, we renegotiated approximately 500 store lease agreements in the third quarter of 2020 to obtain rent relief, in order to help offset the negative financial impacts of COVID-19. Lease amendments executed as a result of our renegotiations included near term rent abatements of approximately $2.3 million and rent deferrals of approximately $2.1 million. As of September 30, 2021, we have repaid substantially all deferred rent associated with these lease amendments.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effective tax rate was 47.6% and 28.9% for the three and nine months ended September 30, 2021, compared to 16.8% and 11.4% for the respective periods in 2020. The effective tax rate for the nine months ended September 30, 2021 was impacted by the tax effect of the equity consideration included in the Aggregate Stock Consideration subject to vesting conditions, discrete income tax items related to excess tax benefits from the vesting of our annual restricted stock award grants and stock option exercises, and the release of domestic and foreign tax valuation allowances. The effective tax rate for the nine months ended September 30, 2020 was primarily impacted by the tax benefit of net operating loss carrybacks at a 35% tax rate, as a result of the Coronavirus Aid, Relief, and Economic Security Act, enacted on March 27,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Senior Debt, net</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17, 2021, we entered into a credit agreement with JPMorgan Chase Bank, N.A., as administrative agent, and lenders party thereto, providing for a seven-year $875 million senior secured term loan facility (the “Term Loan Facility”) and an Asset Based Loan Credit Facility (the “ABL Credit Facility”) providing for a five-year asset-based revolving credit facility with commitments of $550 million and a letter of credit sublimit of $150 million. Commitments under the ABL Credit Facility may be increased, at our option and under certain conditions, by up to an additional $125 million in the aggregate.</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Proceeds from the Term Loan Facility were net of original issue discount of $4.4 million upon issuance from the lenders. In addition, in connection with the closing of the Term Loan Facility and the ABL Credit Facility, we incurred approximately $30.2 million in debt issuance costs, including bank financing fees and third party legal and other professional fees, of which $25.3 million was capitalized in accordance with ASC Topic 470, “Debt” and recorded as a reduction of our outstanding senior debt, net in our Condensed Consolidated Balance Sheets. Remaining debt issuance costs incurred of $4.9 million were expensed and recorded to Other charges (gains) in our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21, 2021 we entered into a First Amendment (the “First Amendment”) to the Term Loan Facility, effective as of September 21, 2021. The amendment effected a repricing of the applicable margin under the Term Loan Facility by reducing the LIBOR floor by 25 basis points from 0.75% to 0.50%, and the applicable margin, with respect to any initial term loans, by 75 basis points from 4.00% to 3.25%.</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execution of the First Amendment, we incurred approximately $1.5 million in debt issuance costs, including third party arrangement and other professional fees, of which approximately $1.4 million were expensed as debt refinance charges in our Condensed Consolidated Statement of Operations, and approximately $0.1 million were capitalized and recorded as a reduction to our outstanding senior debt in our Condensed Consolidated Balance Sheets. In addition, in accordance with ASC Topic 470, “Debt”, we recorded approximately $5.4 million in write-offs of unamortized debt issuance costs and original issue discount previously capitalized upon the issuance of the Term Loan Facility on February 17, 2021. The write-offs were recorded as debt refinance charges in our Condensed Consolidated Statement of Operations.</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2021, the total remaining balance of unamortized debt issuance costs and original issue discount related to our senior debt reported in the Condensed Consolidated Balance Sheets were approximately $21.3 million and $3.0 million, respectively. Remaining unamortized debt issuance costs and original issue discount will be amortized to interest expense over the remaining term of the Term Loan Facility.</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outstanding under the Term Loan Facility was $870.6 million at September 30, 2021. We had no outstanding borrowings under our ABL Credit Facility at September 30, 2021 and borrowing capacity of $463.6 million.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utilize the ABL Credit Facility for the issuance of letters of credit. As of September 30, 2021, we have issued letters of credit in the aggregate outstanding amount of $86.4 million primarily relating to workers compensation insurance claims.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Credit Agreement</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Facility, which matures on February 17, 2028, amortizes in equal quarterly installments at a rate of 1.00% per annum of the original principal amount thereof, with the remaining balance due at final maturity. Subject in each case to certain restrictions and conditions, we may add up to $500 million of incremental term loan facilities to the Term Loan Facility or utilize incremental capacity under the Term Loan Facility at any time by issuing or incurring incremental equivalent term debt.</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on borrowings under the Term Loan Facility is payable at a fluctuating rate of interest determined by reference to the eurodollar rate plus an applicable margin of 3.25%, subject to a 0.50% LIBOR floor. Borrowings under the Term Loan Facility amortize in equal quarterly installments in an amount equal to 1.000% per annum of the original aggregate principal amount thereof, with the remaining balance due at final maturity.</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Facility is secured by a first-priority security interest in substantially all of our present and future tangible and intangible personal property, including our subsidiary guarantors, other than the ABL Priority Collateral (as defined below), and by a second-priority security interest in the ABL Priority Collateral, subject to certain exceptions. The obligations under the Term Loan Facility are guaranteed by us and our material wholly-owned domestic restricted subsidiaries that also guarantee the ABL Credit Facility.</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Term Loan Facility contains covenants that are usual and customary for similar facilities and transactions and that, among other things, restrict our ability and our restricted subsidiaries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 The Term Loan Facility also includes mandatory prepayment requirements related to asset sales (subject to reinvestment), debt incurrence (other than permitted debt) and excess cash flow, subject to certain limitations described therein. These covenants are subject to a number of limitations and exceptions set forth in the documentation governing the Term Loan.</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Loan provides for customary events of default, including, but not limited to, failure to pay principal and interest, failure to comply with covenants, agreements or conditions, and certain events of bankruptcy or insolvency involving us and our significant subsidiaries.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Loan Facility was fully drawn at the closing of the Acima Holdings acquisition to fund a portion of the Aggregate Cash Consideration payable in the transaction, repay certain of our outstanding indebtedness and that of our subsidiaries, repay all outstanding indebtedness of Acima Holdings and its subsidiaries and pay certain fees and expenses incurred in connection with the transaction. A portion of such proceeds were used to repay $197.5 million outstanding under the prior term loan facility, dated as of August 5, 2019, among us, JPMorgan Chase Bank, N.A., as administrative agent, and the lenders party thereto (the “Prior Term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Credit Agreement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ABL Credit Facility will mature on February 17, 2026. We may borrow only up to the lesser of the level of the then-current borrowing base and the aggregate amount of commitments under the ABL Credit Facility. The borrowing base is tied to the amount of eligible installment sales accounts, inventory and eligible rental contracts, reduced by certain reserves.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ABL Credit Facility bears interest at a fluctuating rate determined by reference to the eurodollar rate plus an applicable margin of 1.50% to 2.00%. The total interest rate on the ABL Credit Facility at September 30, 2021 was 1.875%. A commitment fee equal to 0.250% to 0.375% of the unused portion of the ABL Credit Facility fluctuates dependent upon average utilization for the prior month as defined by a pricing grid included in the documentation governing the ABL Credit Facility. The commitment fee at September 30, 2021 was 0.375%. We paid $0.9 million of commitment fees during the third quarter of 2021.</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Loans under the ABL Credit Facility may be borrowed, repaid and re-borrowed until February 17, 2026, at which time all amounts borrowed must be repaid. The obligations under the ABL Credit Facility are guaranteed by us and certain of our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spacing w:after="0" w:line="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ABL Credit Facility contains covenants that are usual and customary for similar facilities and transactions and that, among other things, restrict our ability and our restricted subsidiaries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ABL Credit Facility also requires the maintenance of a consolidated fixed charge coverage ratio of 1.10 to 1.00 at the end of each fiscal quarter when either (i) certain specified events of default have occurred and are continuing or (ii) availability is less than or equal to the greater of $56.25 million and 15% of the line cap then in effect. These covenants are subject to a number of limitations and exceptions set forth in the documentation governing the ABL Credit Facility. The fixed charge coverage ratio as of September 30, 2021 was 1.66 to 1.00.</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documentation governing the ABL Credit Facility provides for customary events of default, including, but not limited to, failure to pay principal and interest, failure to comply with covenants, agreements or conditions, and certain events of bankruptcy or insolvency involving us and our significant subsidiaries.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shows the scheduled maturity dates of our outstanding debt at September 30, 2021 for each of the years ending December 31:</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 Loan</w:t>
            </w:r>
          </w:p>
        </w:tc>
        <w:tc>
          <w:tcPr>
            <w:tcW w:w="18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ABL Credit</w:t>
            </w:r>
          </w:p>
        </w:tc>
        <w:tc>
          <w:tcPr>
            <w:tcW w:w="260" w:type="dxa"/>
            <w:vAlign w:val="bottom"/>
          </w:tcPr>
          <w:p>
            <w:pPr>
              <w:spacing w:after="0"/>
              <w:rPr>
                <w:sz w:val="14"/>
                <w:szCs w:val="14"/>
                <w:color w:val="auto"/>
              </w:rPr>
            </w:pPr>
          </w:p>
        </w:tc>
        <w:tc>
          <w:tcPr>
            <w:tcW w:w="94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73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Facility</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Facility</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2,188</w:t>
            </w: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8,750</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w:t>
            </w: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8,750</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w:t>
            </w:r>
          </w:p>
        </w:tc>
        <w:tc>
          <w:tcPr>
            <w:tcW w:w="0" w:type="dxa"/>
            <w:vAlign w:val="bottom"/>
          </w:tcPr>
          <w:p>
            <w:pPr>
              <w:spacing w:after="0"/>
              <w:rPr>
                <w:sz w:val="1"/>
                <w:szCs w:val="1"/>
                <w:color w:val="auto"/>
              </w:rPr>
            </w:pPr>
          </w:p>
        </w:tc>
      </w:tr>
      <w:tr>
        <w:trPr>
          <w:trHeight w:val="213"/>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833,437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833,437</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senior debt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870,625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870,625</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8 -Senior Notes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17, 2021, we issued $450 million in senior unsecured notes due February 15, 2029, at par value, bearing interest at 6.375% (the “Notes”), the proceeds of which were used to fund a portion of the Aggregate Cash Consideration upon closing of the Acima Holdings acquisition. Interest on the Notes is payable in arrears on February 15 and August 15 of each year, beginning on August 15, 2021. In connection with the issuance of the Notes, we incurred approximately $15.7 million in debt issuance costs, including bank financing fees and third party legal and other professional fees, which were capitalized in accordance with ASC Topic 470, “Debt” and recorded as a reduction of our outstanding Notes in our Condensed Consolidated Balance Sheets. Debt issuance costs will be amortized as interest expense over the term of the Notes.</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redeem some or all of the Notes at any time on or after February 15, 2024 for cash at the redemption prices set forth in the indenture governing the Notes, plus accrued and unpaid interest to, but not including, the redemption date. Prior to February 15, 2024, we may redeem up to 40% of the aggregate principal amount of the Notes with the proceeds of certain equity offerings at a redemption price of 106.375% plus accrued and unpaid interest to, but not including, the redemption date. In addition, we may redeem some or all of the Notes prior to February 15, 2024, at a redemption price of 100% of the principal amount of the Notes plus accrued and unpaid interest to, but not including, the redemption date, plus a “make-whole” premium. If we experience specific kinds of change of control, we will be required to offer to purchase the Notes at a price equal to 101% of the principal amount thereof plus accrued and unpaid interest.</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Notes are our general unsecured senior obligations, and are effectively subordinated to all of our existing and future secured indebtedness to the extent of the value of the collateral securing such indebtedness, structurally subordinated to all existing and future indebtedness and other liabilities of our non-guarantor subsidiaries, equal in right of payment to all of our and our guarantor subsidiaries’ existing and future senior indebtedness and senior in right of payment to all of our future subordinated indebtedness, if any. The Notes are jointly and severally guaranteed on a senior unsecured basis by certain of our domestic subsidiaries that have outstanding indebtedness or guarantee other specified indebtedness, including the ABL Credit Facility and the Term Loan Facility.</w:t>
      </w:r>
    </w:p>
    <w:p>
      <w:pPr>
        <w:spacing w:after="0" w:line="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indenture governing the Notes contains covenants that limit, among other things, our ability and the ability of some of our restricted subsidiaries to create liens, transfer or sell assets, incur indebtedness or issue certain preferred stock, pay dividends, redeem stock or make other distributions, make other restricted payments or investments, create restrictions on payment of dividends or other amounts to us by our restricted subsidiaries, merge or consolidate with other entities, engage in certain transactions with affiliates and designate our subsidiaries as unrestricted subsidiaries. These covenants are subject to a number of exceptions and qualifications. The covenants limiting restricted payments, restrictions on payment of dividends or other amounts to us by our restricted subsidiaries, the ability to incur indebtedness, asset dispositions and transactions with affiliates will be suspended if and while the Notes have investment grade ratings from any two of Standard &amp; Poor’s Ratings Services, Moody’s Investors Service, Inc. and Fitch, Inc.</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indenture governing the Notes also provides for events of default, which, if any of them occurs, would permit or require the principal, premium, if any, and interest on all the then outstanding Notes to be due and payable.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Fair Value</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follow a three-tier fair value hierarchy, which classifies the inputs used in measuring fair values, in determining the fair value of our non-financial assets and non-financial liabilities, which consist primarily of goodwill. These tiers include: Level 1, defined as observable inputs such as quoted prices for identical instruments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financial instruments include cash and cash equivalents, receivables, payables, borrowings against our ABL Credit Facility and Term Loan Facility, and outstanding Notes. The carrying amount of cash and cash equivalents, receivables and payables approximates fair value at September 30, 2021 and December 31, 2020, because of the short maturities of these instruments. In addition, the interest rates on our Term Loan Facility and ABL Credit Facility are variable and, therefore, we believe the carrying value of outstanding borrowings approximates their fair value.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Notes is based on Level 1 inputs and was as follows at September 30,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w w:val="91"/>
              </w:rPr>
              <w:t>September 30, 2021</w:t>
            </w:r>
          </w:p>
        </w:tc>
        <w:tc>
          <w:tcPr>
            <w:tcW w:w="4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r>
      <w:tr>
        <w:trPr>
          <w:trHeight w:val="188"/>
        </w:trPr>
        <w:tc>
          <w:tcPr>
            <w:tcW w:w="49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6"/>
                <w:szCs w:val="16"/>
                <w:color w:val="auto"/>
              </w:rPr>
            </w:pPr>
          </w:p>
        </w:tc>
        <w:tc>
          <w:tcPr>
            <w:tcW w:w="1820" w:type="dxa"/>
            <w:vAlign w:val="bottom"/>
            <w:gridSpan w:val="2"/>
          </w:tcPr>
          <w:p>
            <w:pPr>
              <w:ind w:left="220"/>
              <w:spacing w:after="0"/>
              <w:rPr>
                <w:sz w:val="20"/>
                <w:szCs w:val="20"/>
                <w:color w:val="auto"/>
              </w:rPr>
            </w:pPr>
            <w:r>
              <w:rPr>
                <w:rFonts w:ascii="Arial" w:cs="Arial" w:eastAsia="Arial" w:hAnsi="Arial"/>
                <w:sz w:val="14"/>
                <w:szCs w:val="14"/>
                <w:b w:val="1"/>
                <w:bCs w:val="1"/>
                <w:color w:val="auto"/>
              </w:rPr>
              <w:t>Carrying Value</w:t>
            </w:r>
          </w:p>
        </w:tc>
        <w:tc>
          <w:tcPr>
            <w:tcW w:w="260" w:type="dxa"/>
            <w:vAlign w:val="bottom"/>
          </w:tcPr>
          <w:p>
            <w:pPr>
              <w:spacing w:after="0"/>
              <w:rPr>
                <w:sz w:val="16"/>
                <w:szCs w:val="16"/>
                <w:color w:val="auto"/>
              </w:rPr>
            </w:pPr>
          </w:p>
        </w:tc>
        <w:tc>
          <w:tcPr>
            <w:tcW w:w="1800" w:type="dxa"/>
            <w:vAlign w:val="bottom"/>
          </w:tcPr>
          <w:p>
            <w:pPr>
              <w:jc w:val="center"/>
              <w:ind w:right="205"/>
              <w:spacing w:after="0"/>
              <w:rPr>
                <w:sz w:val="20"/>
                <w:szCs w:val="20"/>
                <w:color w:val="auto"/>
              </w:rPr>
            </w:pPr>
            <w:r>
              <w:rPr>
                <w:rFonts w:ascii="Arial" w:cs="Arial" w:eastAsia="Arial" w:hAnsi="Arial"/>
                <w:sz w:val="14"/>
                <w:szCs w:val="14"/>
                <w:b w:val="1"/>
                <w:bCs w:val="1"/>
                <w:color w:val="auto"/>
                <w:w w:val="95"/>
              </w:rPr>
              <w:t>Fair Value</w:t>
            </w:r>
          </w:p>
        </w:tc>
        <w:tc>
          <w:tcPr>
            <w:tcW w:w="480" w:type="dxa"/>
            <w:vAlign w:val="bottom"/>
          </w:tcPr>
          <w:p>
            <w:pPr>
              <w:spacing w:after="0"/>
              <w:rPr>
                <w:sz w:val="16"/>
                <w:szCs w:val="16"/>
                <w:color w:val="auto"/>
              </w:rPr>
            </w:pPr>
          </w:p>
        </w:tc>
        <w:tc>
          <w:tcPr>
            <w:tcW w:w="1640" w:type="dxa"/>
            <w:vAlign w:val="bottom"/>
          </w:tcPr>
          <w:p>
            <w:pPr>
              <w:jc w:val="right"/>
              <w:ind w:right="624"/>
              <w:spacing w:after="0"/>
              <w:rPr>
                <w:sz w:val="20"/>
                <w:szCs w:val="20"/>
                <w:color w:val="auto"/>
              </w:rPr>
            </w:pPr>
            <w:r>
              <w:rPr>
                <w:rFonts w:ascii="Arial" w:cs="Arial" w:eastAsia="Arial" w:hAnsi="Arial"/>
                <w:sz w:val="14"/>
                <w:szCs w:val="14"/>
                <w:b w:val="1"/>
                <w:bCs w:val="1"/>
                <w:color w:val="auto"/>
              </w:rPr>
              <w:t>Difference</w:t>
            </w:r>
          </w:p>
        </w:tc>
      </w:tr>
      <w:tr>
        <w:trPr>
          <w:trHeight w:val="211"/>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485,415</w:t>
            </w:r>
          </w:p>
        </w:tc>
        <w:tc>
          <w:tcPr>
            <w:tcW w:w="48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Charges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Acima Holdings Acquisition. </w:t>
      </w:r>
      <w:r>
        <w:rPr>
          <w:rFonts w:ascii="Arial" w:cs="Arial" w:eastAsia="Arial" w:hAnsi="Arial"/>
          <w:sz w:val="18"/>
          <w:szCs w:val="18"/>
          <w:color w:val="auto"/>
        </w:rPr>
        <w:t>As described in Note 2, on February 17, 2021, we completed the acquisition of Acima Holdings, a leading provider of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lease-to-own solutions. Included in the aggregate consideration issued to the former owners of Acima Holdings was 8,096,595 of common shares, valued at $414.1 million, subject to 36-month vesting conditions under restricted stock agreements, which will be recognized over the vesting term as stock compensation expense. During the nine months ended September 30, 2021, we recognized approximately $93.1 million in stock compensation expense related to these restricted stock agreements.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assets acquired as part of the transaction included $520 million in intangible assets and $170 million in developed technology. During the nine months ended September 30, 2021, we recognized approximately $72.4 million in amortization expense and $9.3 million in incremental depreciation expense related to these assets.</w:t>
      </w:r>
    </w:p>
    <w:p>
      <w:pPr>
        <w:spacing w:after="0" w:line="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Furthermore, during the nine months ended September 30, 2021 we recognized approximately $17.3 million in transaction costs associated with the closing of the transaction, and approximately $7.9 million in post-acquisition integration costs, including $3.5 million in employee severance, $3.3 million in inventory losses, and $1.1 million in other integration costs, including reorganization advisory fees.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Activity with respect to Other charges for the nine months ended September 30, 2021 is summarized in the below table: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Accrued Charges at</w:t>
            </w:r>
          </w:p>
        </w:tc>
        <w:tc>
          <w:tcPr>
            <w:tcW w:w="160" w:type="dxa"/>
            <w:vAlign w:val="bottom"/>
          </w:tcPr>
          <w:p>
            <w:pPr>
              <w:spacing w:after="0"/>
              <w:rPr>
                <w:sz w:val="14"/>
                <w:szCs w:val="14"/>
                <w:color w:val="auto"/>
              </w:rPr>
            </w:pPr>
          </w:p>
        </w:tc>
        <w:tc>
          <w:tcPr>
            <w:tcW w:w="1080" w:type="dxa"/>
            <w:vAlign w:val="bottom"/>
          </w:tcPr>
          <w:p>
            <w:pPr>
              <w:jc w:val="right"/>
              <w:ind w:right="213"/>
              <w:spacing w:after="0"/>
              <w:rPr>
                <w:sz w:val="20"/>
                <w:szCs w:val="20"/>
                <w:color w:val="auto"/>
              </w:rPr>
            </w:pPr>
            <w:r>
              <w:rPr>
                <w:rFonts w:ascii="Arial" w:cs="Arial" w:eastAsia="Arial" w:hAnsi="Arial"/>
                <w:sz w:val="14"/>
                <w:szCs w:val="14"/>
                <w:b w:val="1"/>
                <w:bCs w:val="1"/>
                <w:color w:val="auto"/>
              </w:rPr>
              <w:t>Charges &amp;</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Payments &amp;</w:t>
            </w:r>
          </w:p>
        </w:tc>
        <w:tc>
          <w:tcPr>
            <w:tcW w:w="160" w:type="dxa"/>
            <w:vAlign w:val="bottom"/>
          </w:tcPr>
          <w:p>
            <w:pPr>
              <w:spacing w:after="0"/>
              <w:rPr>
                <w:sz w:val="14"/>
                <w:szCs w:val="14"/>
                <w:color w:val="auto"/>
              </w:rPr>
            </w:pPr>
          </w:p>
        </w:tc>
        <w:tc>
          <w:tcPr>
            <w:tcW w:w="1520" w:type="dxa"/>
            <w:vAlign w:val="bottom"/>
          </w:tcPr>
          <w:p>
            <w:pPr>
              <w:ind w:left="80"/>
              <w:spacing w:after="0"/>
              <w:rPr>
                <w:sz w:val="20"/>
                <w:szCs w:val="20"/>
                <w:color w:val="auto"/>
              </w:rPr>
            </w:pPr>
            <w:r>
              <w:rPr>
                <w:rFonts w:ascii="Arial" w:cs="Arial" w:eastAsia="Arial" w:hAnsi="Arial"/>
                <w:sz w:val="14"/>
                <w:szCs w:val="14"/>
                <w:b w:val="1"/>
                <w:bCs w:val="1"/>
                <w:color w:val="auto"/>
              </w:rPr>
              <w:t>Accrued Charges at</w:t>
            </w:r>
          </w:p>
        </w:tc>
        <w:tc>
          <w:tcPr>
            <w:tcW w:w="0" w:type="dxa"/>
            <w:vAlign w:val="bottom"/>
          </w:tcPr>
          <w:p>
            <w:pPr>
              <w:spacing w:after="0"/>
              <w:rPr>
                <w:sz w:val="1"/>
                <w:szCs w:val="1"/>
                <w:color w:val="auto"/>
              </w:rPr>
            </w:pPr>
          </w:p>
        </w:tc>
      </w:tr>
      <w:tr>
        <w:trPr>
          <w:trHeight w:val="188"/>
        </w:trPr>
        <w:tc>
          <w:tcPr>
            <w:tcW w:w="50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6"/>
                <w:szCs w:val="16"/>
                <w:color w:val="auto"/>
              </w:rPr>
            </w:pPr>
          </w:p>
        </w:tc>
        <w:tc>
          <w:tcPr>
            <w:tcW w:w="108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Adjustments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6"/>
                <w:szCs w:val="16"/>
                <w:color w:val="auto"/>
              </w:rPr>
            </w:pPr>
          </w:p>
        </w:tc>
        <w:tc>
          <w:tcPr>
            <w:tcW w:w="1520" w:type="dxa"/>
            <w:vAlign w:val="bottom"/>
          </w:tcPr>
          <w:p>
            <w:pPr>
              <w:ind w:left="80"/>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211"/>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charges:</w:t>
            </w: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140"/>
              <w:spacing w:after="0"/>
              <w:rPr>
                <w:sz w:val="20"/>
                <w:szCs w:val="20"/>
                <w:color w:val="auto"/>
              </w:rPr>
            </w:pPr>
            <w:r>
              <w:rPr>
                <w:rFonts w:ascii="Arial" w:cs="Arial" w:eastAsia="Arial" w:hAnsi="Arial"/>
                <w:sz w:val="18"/>
                <w:szCs w:val="18"/>
                <w:color w:val="auto"/>
              </w:rPr>
              <w:t>Acima Holdings transaction costs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5,005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17,336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(22,341)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 Holdings integration costs</w:t>
            </w: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Other cash charges</w:t>
            </w:r>
            <w:r>
              <w:rPr>
                <w:rFonts w:ascii="Arial" w:cs="Arial" w:eastAsia="Arial" w:hAnsi="Arial"/>
                <w:sz w:val="23"/>
                <w:szCs w:val="23"/>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charges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Non-cash charges: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Depreciation and amortization of acquired assets</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140"/>
              <w:spacing w:after="0" w:line="230" w:lineRule="exact"/>
              <w:rPr>
                <w:sz w:val="20"/>
                <w:szCs w:val="20"/>
                <w:color w:val="auto"/>
              </w:rPr>
            </w:pPr>
            <w:r>
              <w:rPr>
                <w:rFonts w:ascii="Arial" w:cs="Arial" w:eastAsia="Arial" w:hAnsi="Arial"/>
                <w:sz w:val="18"/>
                <w:szCs w:val="18"/>
                <w:color w:val="auto"/>
              </w:rPr>
              <w:t>Acima Holdings restricted stock agreements</w:t>
            </w:r>
            <w:r>
              <w:rPr>
                <w:rFonts w:ascii="Arial" w:cs="Arial" w:eastAsia="Arial" w:hAnsi="Arial"/>
                <w:sz w:val="23"/>
                <w:szCs w:val="23"/>
                <w:color w:val="auto"/>
                <w:vertAlign w:val="superscript"/>
              </w:rPr>
              <w:t>(3)</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93,121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(4)</w:t>
            </w:r>
          </w:p>
        </w:tc>
        <w:tc>
          <w:tcPr>
            <w:tcW w:w="1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charges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120" w:hanging="112"/>
        <w:spacing w:after="0"/>
        <w:tabs>
          <w:tab w:leader="none" w:pos="120" w:val="left"/>
        </w:tabs>
        <w:numPr>
          <w:ilvl w:val="0"/>
          <w:numId w:val="7"/>
        </w:numPr>
        <w:rPr>
          <w:rFonts w:ascii="Arial" w:cs="Arial" w:eastAsia="Arial" w:hAnsi="Arial"/>
          <w:sz w:val="13"/>
          <w:szCs w:val="13"/>
          <w:color w:val="auto"/>
          <w:vertAlign w:val="superscript"/>
        </w:rPr>
      </w:pPr>
      <w:r>
        <w:rPr>
          <w:rFonts w:ascii="Arial" w:cs="Arial" w:eastAsia="Arial" w:hAnsi="Arial"/>
          <w:sz w:val="10"/>
          <w:szCs w:val="10"/>
          <w:color w:val="auto"/>
        </w:rPr>
        <w:t>Represents employee severance, and shutdown and holding expenses related to store closures.</w:t>
      </w:r>
    </w:p>
    <w:p>
      <w:pPr>
        <w:spacing w:after="0" w:line="9" w:lineRule="exact"/>
        <w:rPr>
          <w:rFonts w:ascii="Arial" w:cs="Arial" w:eastAsia="Arial" w:hAnsi="Arial"/>
          <w:sz w:val="13"/>
          <w:szCs w:val="13"/>
          <w:color w:val="auto"/>
          <w:vertAlign w:val="superscript"/>
        </w:rPr>
      </w:pPr>
    </w:p>
    <w:p>
      <w:pPr>
        <w:ind w:firstLine="8"/>
        <w:spacing w:after="0" w:line="247" w:lineRule="auto"/>
        <w:tabs>
          <w:tab w:leader="none" w:pos="128" w:val="left"/>
        </w:tabs>
        <w:numPr>
          <w:ilvl w:val="0"/>
          <w:numId w:val="7"/>
        </w:numPr>
        <w:rPr>
          <w:rFonts w:ascii="Arial" w:cs="Arial" w:eastAsia="Arial" w:hAnsi="Arial"/>
          <w:sz w:val="14"/>
          <w:szCs w:val="14"/>
          <w:color w:val="auto"/>
          <w:vertAlign w:val="superscript"/>
        </w:rPr>
      </w:pPr>
      <w:r>
        <w:rPr>
          <w:rFonts w:ascii="Arial" w:cs="Arial" w:eastAsia="Arial" w:hAnsi="Arial"/>
          <w:sz w:val="11"/>
          <w:szCs w:val="11"/>
          <w:color w:val="auto"/>
        </w:rPr>
        <w:t>Represents amortization of the total fair value of acquired intangible assets and incremental depreciation related to the fair value increase over net book value of acquired software assets in connection with the acquisition of Acima Holdings as described in Note 2.</w:t>
      </w:r>
    </w:p>
    <w:p>
      <w:pPr>
        <w:spacing w:after="0" w:line="1" w:lineRule="exact"/>
        <w:rPr>
          <w:rFonts w:ascii="Arial" w:cs="Arial" w:eastAsia="Arial" w:hAnsi="Arial"/>
          <w:sz w:val="14"/>
          <w:szCs w:val="14"/>
          <w:color w:val="auto"/>
          <w:vertAlign w:val="superscript"/>
        </w:rPr>
      </w:pPr>
    </w:p>
    <w:p>
      <w:pPr>
        <w:ind w:firstLine="8"/>
        <w:spacing w:after="0" w:line="247" w:lineRule="auto"/>
        <w:tabs>
          <w:tab w:leader="none" w:pos="130" w:val="left"/>
        </w:tabs>
        <w:numPr>
          <w:ilvl w:val="0"/>
          <w:numId w:val="7"/>
        </w:numPr>
        <w:rPr>
          <w:rFonts w:ascii="Arial" w:cs="Arial" w:eastAsia="Arial" w:hAnsi="Arial"/>
          <w:sz w:val="14"/>
          <w:szCs w:val="14"/>
          <w:color w:val="auto"/>
          <w:vertAlign w:val="superscript"/>
        </w:rPr>
      </w:pPr>
      <w:r>
        <w:rPr>
          <w:rFonts w:ascii="Arial" w:cs="Arial" w:eastAsia="Arial" w:hAnsi="Arial"/>
          <w:sz w:val="11"/>
          <w:szCs w:val="11"/>
          <w:color w:val="auto"/>
        </w:rPr>
        <w:t>Represents stock compensation expense recognized for nine months ended September 30, 2021, related to common stock issued to Acima Holdings employees under restricted stock agreements as part of the acquisition proceeds subject to vesting restrictions, as described in Note 2 and Note 12.</w:t>
      </w:r>
    </w:p>
    <w:p>
      <w:pPr>
        <w:spacing w:after="0" w:line="1" w:lineRule="exact"/>
        <w:rPr>
          <w:rFonts w:ascii="Arial" w:cs="Arial" w:eastAsia="Arial" w:hAnsi="Arial"/>
          <w:sz w:val="14"/>
          <w:szCs w:val="14"/>
          <w:color w:val="auto"/>
          <w:vertAlign w:val="superscript"/>
        </w:rPr>
      </w:pPr>
    </w:p>
    <w:p>
      <w:pPr>
        <w:ind w:right="40" w:firstLine="8"/>
        <w:spacing w:after="0" w:line="272" w:lineRule="auto"/>
        <w:tabs>
          <w:tab w:leader="none" w:pos="115" w:val="left"/>
        </w:tabs>
        <w:numPr>
          <w:ilvl w:val="0"/>
          <w:numId w:val="7"/>
        </w:numPr>
        <w:rPr>
          <w:rFonts w:ascii="Arial" w:cs="Arial" w:eastAsia="Arial" w:hAnsi="Arial"/>
          <w:sz w:val="13"/>
          <w:szCs w:val="13"/>
          <w:color w:val="auto"/>
          <w:vertAlign w:val="superscript"/>
        </w:rPr>
      </w:pPr>
      <w:r>
        <w:rPr>
          <w:rFonts w:ascii="Arial" w:cs="Arial" w:eastAsia="Arial" w:hAnsi="Arial"/>
          <w:sz w:val="10"/>
          <w:szCs w:val="10"/>
          <w:color w:val="auto"/>
        </w:rPr>
        <w:t>Includes $10.7 million in legal settlement reserves and $0.2 million in state sales tax assessment reserves. Amounts accrued for potential settlements do not represent our maximum loss exposure. The amount of any loss ultimately incurred in relation to matters for which an accrual has been established may be significantly different than the amounts accrued for such matters due to the inherent uncertainty in litigation, regulatory and similar adversarial proceedings.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operating segments reported below are the segments for which separate financial information is available and for which segment results are evaluated by the chief operating decision makers. Our operating segments are organized based on factors including, but not limited to, type of business transactions, geographic location and store ownership. Within our operating segments, we offer merchandise for lease from certain basic product categories: furniture, including mattresses, tires, consumer electronics, appliances, tools, handbags, computers, smartphones, and accessories.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and nine months ended September 30, 2021 and 2020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80" w:type="dxa"/>
            <w:vAlign w:val="bottom"/>
            <w:gridSpan w:val="7"/>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0" w:type="dxa"/>
            <w:vAlign w:val="bottom"/>
            <w:gridSpan w:val="4"/>
          </w:tcPr>
          <w:p>
            <w:pPr>
              <w:ind w:left="320"/>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211"/>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338"/>
        </w:trPr>
        <w:tc>
          <w:tcPr>
            <w:tcW w:w="39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4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500,986</w:t>
            </w:r>
          </w:p>
        </w:tc>
        <w:tc>
          <w:tcPr>
            <w:tcW w:w="100" w:type="dxa"/>
            <w:vAlign w:val="bottom"/>
          </w:tcPr>
          <w:p>
            <w:pPr>
              <w:spacing w:after="0"/>
              <w:rPr>
                <w:sz w:val="24"/>
                <w:szCs w:val="24"/>
                <w:color w:val="auto"/>
              </w:rPr>
            </w:pPr>
          </w:p>
        </w:tc>
        <w:tc>
          <w:tcPr>
            <w:tcW w:w="420" w:type="dxa"/>
            <w:vAlign w:val="bottom"/>
            <w:gridSpan w:val="2"/>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474,223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1,531,686</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1,388,380</w:t>
            </w: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623,445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1,716,174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609,029</w:t>
            </w:r>
          </w:p>
        </w:tc>
      </w:tr>
      <w:tr>
        <w:trPr>
          <w:trHeight w:val="229"/>
        </w:trPr>
        <w:tc>
          <w:tcPr>
            <w:tcW w:w="3900" w:type="dxa"/>
            <w:vAlign w:val="bottom"/>
          </w:tcPr>
          <w:p>
            <w:pPr>
              <w:ind w:left="14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45,670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36,316</w:t>
            </w: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Franchising</w:t>
            </w: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40,920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118,495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63,975</w:t>
            </w:r>
          </w:p>
        </w:tc>
      </w:tr>
      <w:tr>
        <w:trPr>
          <w:trHeight w:val="223"/>
        </w:trPr>
        <w:tc>
          <w:tcPr>
            <w:tcW w:w="390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4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1,181,268</w:t>
            </w:r>
          </w:p>
        </w:tc>
        <w:tc>
          <w:tcPr>
            <w:tcW w:w="10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3,412,025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2,097,700</w:t>
            </w:r>
          </w:p>
        </w:tc>
      </w:tr>
      <w:tr>
        <w:trPr>
          <w:trHeight w:val="21"/>
        </w:trPr>
        <w:tc>
          <w:tcPr>
            <w:tcW w:w="3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r>
      <w:tr>
        <w:trPr>
          <w:trHeight w:val="298"/>
        </w:trPr>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80" w:type="dxa"/>
            <w:vAlign w:val="bottom"/>
            <w:gridSpan w:val="7"/>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0" w:type="dxa"/>
            <w:vAlign w:val="bottom"/>
            <w:gridSpan w:val="4"/>
          </w:tcPr>
          <w:p>
            <w:pPr>
              <w:ind w:left="320"/>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211"/>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39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4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356,590</w:t>
            </w:r>
          </w:p>
        </w:tc>
        <w:tc>
          <w:tcPr>
            <w:tcW w:w="100" w:type="dxa"/>
            <w:vAlign w:val="bottom"/>
          </w:tcPr>
          <w:p>
            <w:pPr>
              <w:spacing w:after="0"/>
              <w:rPr>
                <w:sz w:val="19"/>
                <w:szCs w:val="19"/>
                <w:color w:val="auto"/>
              </w:rPr>
            </w:pPr>
          </w:p>
        </w:tc>
        <w:tc>
          <w:tcPr>
            <w:tcW w:w="420" w:type="dxa"/>
            <w:vAlign w:val="bottom"/>
            <w:gridSpan w:val="2"/>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332,742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1,072,946</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966,347</w:t>
            </w: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193,527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539,181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238,433</w:t>
            </w:r>
          </w:p>
        </w:tc>
      </w:tr>
      <w:tr>
        <w:trPr>
          <w:trHeight w:val="229"/>
        </w:trPr>
        <w:tc>
          <w:tcPr>
            <w:tcW w:w="3900" w:type="dxa"/>
            <w:vAlign w:val="bottom"/>
          </w:tcPr>
          <w:p>
            <w:pPr>
              <w:ind w:left="14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11,293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32,323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25,615</w:t>
            </w: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Franchising</w:t>
            </w: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14,343</w:t>
            </w:r>
          </w:p>
        </w:tc>
      </w:tr>
      <w:tr>
        <w:trPr>
          <w:trHeight w:val="223"/>
        </w:trPr>
        <w:tc>
          <w:tcPr>
            <w:tcW w:w="3900" w:type="dxa"/>
            <w:vAlign w:val="bottom"/>
          </w:tcPr>
          <w:p>
            <w:pPr>
              <w:ind w:left="220"/>
              <w:spacing w:after="0"/>
              <w:rPr>
                <w:sz w:val="20"/>
                <w:szCs w:val="20"/>
                <w:color w:val="auto"/>
              </w:rPr>
            </w:pPr>
            <w:r>
              <w:rPr>
                <w:rFonts w:ascii="Arial" w:cs="Arial" w:eastAsia="Arial" w:hAnsi="Arial"/>
                <w:sz w:val="18"/>
                <w:szCs w:val="18"/>
                <w:color w:val="auto"/>
              </w:rPr>
              <w:t>Total gross profit</w:t>
            </w:r>
          </w:p>
        </w:tc>
        <w:tc>
          <w:tcPr>
            <w:tcW w:w="4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568,760</w:t>
            </w:r>
          </w:p>
        </w:tc>
        <w:tc>
          <w:tcPr>
            <w:tcW w:w="10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1,666,755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1,244,738</w:t>
            </w:r>
          </w:p>
        </w:tc>
      </w:tr>
      <w:tr>
        <w:trPr>
          <w:trHeight w:val="20"/>
        </w:trPr>
        <w:tc>
          <w:tcPr>
            <w:tcW w:w="3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r>
      <w:tr>
        <w:trPr>
          <w:trHeight w:val="284"/>
        </w:trPr>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80" w:type="dxa"/>
            <w:vAlign w:val="bottom"/>
            <w:gridSpan w:val="7"/>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0" w:type="dxa"/>
            <w:vAlign w:val="bottom"/>
            <w:gridSpan w:val="4"/>
          </w:tcPr>
          <w:p>
            <w:pPr>
              <w:ind w:left="320"/>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211"/>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4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109,272</w:t>
            </w:r>
          </w:p>
        </w:tc>
        <w:tc>
          <w:tcPr>
            <w:tcW w:w="100" w:type="dxa"/>
            <w:vAlign w:val="bottom"/>
          </w:tcPr>
          <w:p>
            <w:pPr>
              <w:spacing w:after="0"/>
              <w:rPr>
                <w:sz w:val="19"/>
                <w:szCs w:val="19"/>
                <w:color w:val="auto"/>
              </w:rPr>
            </w:pPr>
          </w:p>
        </w:tc>
        <w:tc>
          <w:tcPr>
            <w:tcW w:w="420" w:type="dxa"/>
            <w:vAlign w:val="bottom"/>
            <w:gridSpan w:val="2"/>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99,950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357,036</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253,025</w:t>
            </w: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144,797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40,528</w:t>
            </w: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6,659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3,743</w:t>
            </w: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Franchising</w:t>
            </w: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8,694</w:t>
            </w:r>
          </w:p>
        </w:tc>
      </w:tr>
      <w:tr>
        <w:trPr>
          <w:trHeight w:val="223"/>
        </w:trPr>
        <w:tc>
          <w:tcPr>
            <w:tcW w:w="3900" w:type="dxa"/>
            <w:vAlign w:val="bottom"/>
          </w:tcPr>
          <w:p>
            <w:pPr>
              <w:ind w:left="220"/>
              <w:spacing w:after="0"/>
              <w:rPr>
                <w:sz w:val="20"/>
                <w:szCs w:val="20"/>
                <w:color w:val="auto"/>
              </w:rPr>
            </w:pPr>
            <w:r>
              <w:rPr>
                <w:rFonts w:ascii="Arial" w:cs="Arial" w:eastAsia="Arial" w:hAnsi="Arial"/>
                <w:sz w:val="18"/>
                <w:szCs w:val="18"/>
                <w:color w:val="auto"/>
              </w:rPr>
              <w:t>Total segments</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168,257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120,893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523,987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305,990</w:t>
            </w: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(101,111)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(280,276)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(123,293)</w:t>
            </w:r>
          </w:p>
        </w:tc>
      </w:tr>
      <w:tr>
        <w:trPr>
          <w:trHeight w:val="223"/>
        </w:trPr>
        <w:tc>
          <w:tcPr>
            <w:tcW w:w="3900" w:type="dxa"/>
            <w:vAlign w:val="bottom"/>
          </w:tcPr>
          <w:p>
            <w:pPr>
              <w:ind w:left="220"/>
              <w:spacing w:after="0"/>
              <w:rPr>
                <w:sz w:val="20"/>
                <w:szCs w:val="20"/>
                <w:color w:val="auto"/>
              </w:rPr>
            </w:pPr>
            <w:r>
              <w:rPr>
                <w:rFonts w:ascii="Arial" w:cs="Arial" w:eastAsia="Arial" w:hAnsi="Arial"/>
                <w:sz w:val="18"/>
                <w:szCs w:val="18"/>
                <w:color w:val="auto"/>
              </w:rPr>
              <w:t>Total operating profit</w:t>
            </w:r>
          </w:p>
        </w:tc>
        <w:tc>
          <w:tcPr>
            <w:tcW w:w="4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67,146</w:t>
            </w:r>
          </w:p>
        </w:tc>
        <w:tc>
          <w:tcPr>
            <w:tcW w:w="10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243,711</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182,697</w:t>
            </w:r>
          </w:p>
        </w:tc>
      </w:tr>
      <w:tr>
        <w:trPr>
          <w:trHeight w:val="20"/>
        </w:trPr>
        <w:tc>
          <w:tcPr>
            <w:tcW w:w="3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r>
      <w:tr>
        <w:trPr>
          <w:trHeight w:val="298"/>
        </w:trPr>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80" w:type="dxa"/>
            <w:vAlign w:val="bottom"/>
            <w:gridSpan w:val="7"/>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0" w:type="dxa"/>
            <w:vAlign w:val="bottom"/>
            <w:gridSpan w:val="4"/>
          </w:tcPr>
          <w:p>
            <w:pPr>
              <w:ind w:left="320"/>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211"/>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4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4,792</w:t>
            </w:r>
          </w:p>
        </w:tc>
        <w:tc>
          <w:tcPr>
            <w:tcW w:w="100" w:type="dxa"/>
            <w:vAlign w:val="bottom"/>
          </w:tcPr>
          <w:p>
            <w:pPr>
              <w:spacing w:after="0"/>
              <w:rPr>
                <w:sz w:val="19"/>
                <w:szCs w:val="19"/>
                <w:color w:val="auto"/>
              </w:rPr>
            </w:pPr>
          </w:p>
        </w:tc>
        <w:tc>
          <w:tcPr>
            <w:tcW w:w="4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4,926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13,821</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14,759</w:t>
            </w:r>
          </w:p>
        </w:tc>
      </w:tr>
      <w:tr>
        <w:trPr>
          <w:trHeight w:val="230"/>
        </w:trPr>
        <w:tc>
          <w:tcPr>
            <w:tcW w:w="39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Acima</w:t>
            </w:r>
            <w:r>
              <w:rPr>
                <w:rFonts w:ascii="Arial" w:cs="Arial" w:eastAsia="Arial" w:hAnsi="Arial"/>
                <w:sz w:val="23"/>
                <w:szCs w:val="23"/>
                <w:color w:val="auto"/>
                <w:vertAlign w:val="superscript"/>
              </w:rPr>
              <w:t>(1)</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Franchising</w:t>
            </w: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3900" w:type="dxa"/>
            <w:vAlign w:val="bottom"/>
          </w:tcPr>
          <w:p>
            <w:pPr>
              <w:ind w:left="220"/>
              <w:spacing w:after="0"/>
              <w:rPr>
                <w:sz w:val="20"/>
                <w:szCs w:val="20"/>
                <w:color w:val="auto"/>
              </w:rPr>
            </w:pPr>
            <w:r>
              <w:rPr>
                <w:rFonts w:ascii="Arial" w:cs="Arial" w:eastAsia="Arial" w:hAnsi="Arial"/>
                <w:sz w:val="18"/>
                <w:szCs w:val="18"/>
                <w:color w:val="auto"/>
              </w:rPr>
              <w:t>Total segments</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15,816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16,621</w:t>
            </w:r>
          </w:p>
        </w:tc>
      </w:tr>
      <w:tr>
        <w:trPr>
          <w:trHeight w:val="229"/>
        </w:trPr>
        <w:tc>
          <w:tcPr>
            <w:tcW w:w="39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Corporate</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26,450</w:t>
            </w:r>
          </w:p>
        </w:tc>
      </w:tr>
      <w:tr>
        <w:trPr>
          <w:trHeight w:val="223"/>
        </w:trPr>
        <w:tc>
          <w:tcPr>
            <w:tcW w:w="3900" w:type="dxa"/>
            <w:vAlign w:val="bottom"/>
          </w:tcPr>
          <w:p>
            <w:pPr>
              <w:ind w:left="220"/>
              <w:spacing w:after="0"/>
              <w:rPr>
                <w:sz w:val="20"/>
                <w:szCs w:val="20"/>
                <w:color w:val="auto"/>
              </w:rPr>
            </w:pPr>
            <w:r>
              <w:rPr>
                <w:rFonts w:ascii="Arial" w:cs="Arial" w:eastAsia="Arial" w:hAnsi="Arial"/>
                <w:sz w:val="18"/>
                <w:szCs w:val="18"/>
                <w:color w:val="auto"/>
              </w:rPr>
              <w:t>Total depreciation and amortization</w:t>
            </w: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40,794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43,071</w:t>
            </w:r>
          </w:p>
        </w:tc>
      </w:tr>
      <w:tr>
        <w:trPr>
          <w:trHeight w:val="21"/>
        </w:trPr>
        <w:tc>
          <w:tcPr>
            <w:tcW w:w="3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right="140"/>
        <w:spacing w:after="0" w:line="218" w:lineRule="auto"/>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Excludes amortization expense of approximately $29.2 million and $72.4 million for the three and nine months ended September 30, 2021, recorded to Other charges (gains) in the Condensed Consolidated Statement of Operations, related to intangible assets acquired upon closing of the Acima Holdings acquisition</w:t>
      </w:r>
    </w:p>
    <w:p>
      <w:pPr>
        <w:ind w:right="280"/>
        <w:spacing w:after="0" w:line="225" w:lineRule="auto"/>
        <w:rPr>
          <w:sz w:val="20"/>
          <w:szCs w:val="20"/>
          <w:color w:val="auto"/>
        </w:rPr>
      </w:pPr>
      <w:r>
        <w:rPr>
          <w:rFonts w:ascii="Arial" w:cs="Arial" w:eastAsia="Arial" w:hAnsi="Arial"/>
          <w:sz w:val="16"/>
          <w:szCs w:val="16"/>
          <w:color w:val="auto"/>
          <w:vertAlign w:val="superscript"/>
        </w:rPr>
        <w:t>(2)</w:t>
      </w:r>
      <w:r>
        <w:rPr>
          <w:rFonts w:ascii="Arial" w:cs="Arial" w:eastAsia="Arial" w:hAnsi="Arial"/>
          <w:sz w:val="13"/>
          <w:szCs w:val="13"/>
          <w:color w:val="auto"/>
        </w:rPr>
        <w:t>Excludes depreciation expense of approximately $4.0 million and $9.3 million for the three and nine months ended September 30, 2021, recorded to Other charges (gains) in the Condensed Consolidated Statement of Operations, related to software acquired upon closing of the Acima Holdings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2020</w:t>
            </w:r>
          </w:p>
        </w:tc>
      </w:tr>
      <w:tr>
        <w:trPr>
          <w:trHeight w:val="211"/>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392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1100" w:type="dxa"/>
            <w:vAlign w:val="bottom"/>
          </w:tcPr>
          <w:p>
            <w:pPr>
              <w:jc w:val="right"/>
              <w:ind w:right="899"/>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6,637</w:t>
            </w:r>
          </w:p>
        </w:tc>
        <w:tc>
          <w:tcPr>
            <w:tcW w:w="120" w:type="dxa"/>
            <w:vAlign w:val="bottom"/>
          </w:tcPr>
          <w:p>
            <w:pPr>
              <w:spacing w:after="0"/>
              <w:rPr>
                <w:sz w:val="19"/>
                <w:szCs w:val="19"/>
                <w:color w:val="auto"/>
              </w:rPr>
            </w:pPr>
          </w:p>
        </w:tc>
        <w:tc>
          <w:tcPr>
            <w:tcW w:w="1160" w:type="dxa"/>
            <w:vAlign w:val="bottom"/>
          </w:tcPr>
          <w:p>
            <w:pPr>
              <w:jc w:val="right"/>
              <w:ind w:right="97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21,202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10,205</w:t>
            </w:r>
          </w:p>
        </w:tc>
      </w:tr>
      <w:tr>
        <w:trPr>
          <w:trHeight w:val="229"/>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3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Mexico</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r>
      <w:tr>
        <w:trPr>
          <w:trHeight w:val="223"/>
        </w:trPr>
        <w:tc>
          <w:tcPr>
            <w:tcW w:w="3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segments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10,516</w:t>
            </w:r>
          </w:p>
        </w:tc>
      </w:tr>
      <w:tr>
        <w:trPr>
          <w:trHeight w:val="230"/>
        </w:trPr>
        <w:tc>
          <w:tcPr>
            <w:tcW w:w="3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13,084</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12,041</w:t>
            </w:r>
          </w:p>
        </w:tc>
      </w:tr>
      <w:tr>
        <w:trPr>
          <w:trHeight w:val="248"/>
        </w:trPr>
        <w:tc>
          <w:tcPr>
            <w:tcW w:w="3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capital expenditures</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22,557</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78"/>
        </w:trPr>
        <w:tc>
          <w:tcPr>
            <w:tcW w:w="39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 2021</w:t>
            </w:r>
          </w:p>
        </w:tc>
        <w:tc>
          <w:tcPr>
            <w:tcW w:w="200" w:type="dxa"/>
            <w:vAlign w:val="bottom"/>
          </w:tcPr>
          <w:p>
            <w:pPr>
              <w:spacing w:after="0"/>
              <w:rPr>
                <w:sz w:val="24"/>
                <w:szCs w:val="24"/>
                <w:color w:val="auto"/>
              </w:rPr>
            </w:pPr>
          </w:p>
        </w:tc>
        <w:tc>
          <w:tcPr>
            <w:tcW w:w="1560" w:type="dxa"/>
            <w:vAlign w:val="bottom"/>
          </w:tcPr>
          <w:p>
            <w:pPr>
              <w:jc w:val="center"/>
              <w:ind w:right="113"/>
              <w:spacing w:after="0"/>
              <w:rPr>
                <w:sz w:val="20"/>
                <w:szCs w:val="20"/>
                <w:color w:val="auto"/>
              </w:rPr>
            </w:pPr>
            <w:r>
              <w:rPr>
                <w:rFonts w:ascii="Arial" w:cs="Arial" w:eastAsia="Arial" w:hAnsi="Arial"/>
                <w:sz w:val="14"/>
                <w:szCs w:val="14"/>
                <w:b w:val="1"/>
                <w:bCs w:val="1"/>
                <w:color w:val="auto"/>
                <w:w w:val="91"/>
              </w:rPr>
              <w:t>December 31, 2020</w:t>
            </w:r>
          </w:p>
        </w:tc>
      </w:tr>
      <w:tr>
        <w:trPr>
          <w:trHeight w:val="216"/>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 rent rental merchandise, net</w:t>
            </w:r>
          </w:p>
        </w:tc>
        <w:tc>
          <w:tcPr>
            <w:tcW w:w="1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392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442,578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444,945</w:t>
            </w:r>
          </w:p>
        </w:tc>
      </w:tr>
      <w:tr>
        <w:trPr>
          <w:trHeight w:val="230"/>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299,660</w:t>
            </w:r>
          </w:p>
        </w:tc>
      </w:tr>
      <w:tr>
        <w:trPr>
          <w:trHeight w:val="229"/>
        </w:trPr>
        <w:tc>
          <w:tcPr>
            <w:tcW w:w="3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Mexico</w:t>
            </w:r>
          </w:p>
        </w:tc>
        <w:tc>
          <w:tcPr>
            <w:tcW w:w="11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18,281</w:t>
            </w:r>
          </w:p>
        </w:tc>
      </w:tr>
      <w:tr>
        <w:trPr>
          <w:trHeight w:val="248"/>
        </w:trPr>
        <w:tc>
          <w:tcPr>
            <w:tcW w:w="3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on rent rental merchandise, net</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1,121,038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762,886</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65"/>
        </w:trPr>
        <w:tc>
          <w:tcPr>
            <w:tcW w:w="39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 2021</w:t>
            </w:r>
          </w:p>
        </w:tc>
        <w:tc>
          <w:tcPr>
            <w:tcW w:w="200" w:type="dxa"/>
            <w:vAlign w:val="bottom"/>
          </w:tcPr>
          <w:p>
            <w:pPr>
              <w:spacing w:after="0"/>
              <w:rPr>
                <w:sz w:val="23"/>
                <w:szCs w:val="23"/>
                <w:color w:val="auto"/>
              </w:rPr>
            </w:pPr>
          </w:p>
        </w:tc>
        <w:tc>
          <w:tcPr>
            <w:tcW w:w="1560" w:type="dxa"/>
            <w:vAlign w:val="bottom"/>
          </w:tcPr>
          <w:p>
            <w:pPr>
              <w:jc w:val="center"/>
              <w:ind w:right="113"/>
              <w:spacing w:after="0"/>
              <w:rPr>
                <w:sz w:val="20"/>
                <w:szCs w:val="20"/>
                <w:color w:val="auto"/>
              </w:rPr>
            </w:pPr>
            <w:r>
              <w:rPr>
                <w:rFonts w:ascii="Arial" w:cs="Arial" w:eastAsia="Arial" w:hAnsi="Arial"/>
                <w:sz w:val="14"/>
                <w:szCs w:val="14"/>
                <w:b w:val="1"/>
                <w:bCs w:val="1"/>
                <w:color w:val="auto"/>
                <w:w w:val="91"/>
              </w:rPr>
              <w:t>December 31, 2020</w:t>
            </w:r>
          </w:p>
        </w:tc>
      </w:tr>
      <w:tr>
        <w:trPr>
          <w:trHeight w:val="216"/>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Held for rent rental merchandise, net</w:t>
            </w:r>
          </w:p>
        </w:tc>
        <w:tc>
          <w:tcPr>
            <w:tcW w:w="1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139,441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136,219</w:t>
            </w:r>
          </w:p>
        </w:tc>
      </w:tr>
      <w:tr>
        <w:trPr>
          <w:trHeight w:val="229"/>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r>
      <w:tr>
        <w:trPr>
          <w:trHeight w:val="229"/>
        </w:trPr>
        <w:tc>
          <w:tcPr>
            <w:tcW w:w="3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Mexico</w:t>
            </w:r>
          </w:p>
        </w:tc>
        <w:tc>
          <w:tcPr>
            <w:tcW w:w="11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7,819</w:t>
            </w:r>
          </w:p>
        </w:tc>
      </w:tr>
      <w:tr>
        <w:trPr>
          <w:trHeight w:val="248"/>
        </w:trPr>
        <w:tc>
          <w:tcPr>
            <w:tcW w:w="3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held for rent rental merchandise, net</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146,266</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78"/>
        </w:trPr>
        <w:tc>
          <w:tcPr>
            <w:tcW w:w="39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 2021</w:t>
            </w:r>
          </w:p>
        </w:tc>
        <w:tc>
          <w:tcPr>
            <w:tcW w:w="200" w:type="dxa"/>
            <w:vAlign w:val="bottom"/>
          </w:tcPr>
          <w:p>
            <w:pPr>
              <w:spacing w:after="0"/>
              <w:rPr>
                <w:sz w:val="24"/>
                <w:szCs w:val="24"/>
                <w:color w:val="auto"/>
              </w:rPr>
            </w:pPr>
          </w:p>
        </w:tc>
        <w:tc>
          <w:tcPr>
            <w:tcW w:w="1560" w:type="dxa"/>
            <w:vAlign w:val="bottom"/>
          </w:tcPr>
          <w:p>
            <w:pPr>
              <w:jc w:val="center"/>
              <w:ind w:right="113"/>
              <w:spacing w:after="0"/>
              <w:rPr>
                <w:sz w:val="20"/>
                <w:szCs w:val="20"/>
                <w:color w:val="auto"/>
              </w:rPr>
            </w:pPr>
            <w:r>
              <w:rPr>
                <w:rFonts w:ascii="Arial" w:cs="Arial" w:eastAsia="Arial" w:hAnsi="Arial"/>
                <w:sz w:val="14"/>
                <w:szCs w:val="14"/>
                <w:b w:val="1"/>
                <w:bCs w:val="1"/>
                <w:color w:val="auto"/>
                <w:w w:val="91"/>
              </w:rPr>
              <w:t>December 31, 2020</w:t>
            </w:r>
          </w:p>
        </w:tc>
      </w:tr>
      <w:tr>
        <w:trPr>
          <w:trHeight w:val="216"/>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by segment</w:t>
            </w:r>
          </w:p>
        </w:tc>
        <w:tc>
          <w:tcPr>
            <w:tcW w:w="1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392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1,006,779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999,252</w:t>
            </w:r>
          </w:p>
        </w:tc>
      </w:tr>
      <w:tr>
        <w:trPr>
          <w:trHeight w:val="230"/>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1,525,741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389,650</w:t>
            </w: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Mexico</w:t>
            </w: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39,288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42,278</w:t>
            </w:r>
          </w:p>
        </w:tc>
      </w:tr>
      <w:tr>
        <w:trPr>
          <w:trHeight w:val="230"/>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Franchising</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14,729</w:t>
            </w:r>
          </w:p>
        </w:tc>
      </w:tr>
      <w:tr>
        <w:trPr>
          <w:trHeight w:val="223"/>
        </w:trPr>
        <w:tc>
          <w:tcPr>
            <w:tcW w:w="3920" w:type="dxa"/>
            <w:vAlign w:val="bottom"/>
          </w:tcPr>
          <w:p>
            <w:pPr>
              <w:ind w:left="220"/>
              <w:spacing w:after="0"/>
              <w:rPr>
                <w:sz w:val="20"/>
                <w:szCs w:val="20"/>
                <w:color w:val="auto"/>
              </w:rPr>
            </w:pPr>
            <w:r>
              <w:rPr>
                <w:rFonts w:ascii="Arial" w:cs="Arial" w:eastAsia="Arial" w:hAnsi="Arial"/>
                <w:sz w:val="18"/>
                <w:szCs w:val="18"/>
                <w:color w:val="auto"/>
              </w:rPr>
              <w:t>Total segments</w:t>
            </w: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2,587,959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1,445,909</w:t>
            </w:r>
          </w:p>
        </w:tc>
      </w:tr>
      <w:tr>
        <w:trPr>
          <w:trHeight w:val="229"/>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465,711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305,071</w:t>
            </w:r>
          </w:p>
        </w:tc>
      </w:tr>
      <w:tr>
        <w:trPr>
          <w:trHeight w:val="223"/>
        </w:trPr>
        <w:tc>
          <w:tcPr>
            <w:tcW w:w="392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3,053,670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1,750,980</w:t>
            </w:r>
          </w:p>
        </w:tc>
      </w:tr>
      <w:tr>
        <w:trPr>
          <w:trHeight w:val="20"/>
        </w:trPr>
        <w:tc>
          <w:tcPr>
            <w:tcW w:w="3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Common Stock and Stock-Based Compensation</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early August 2021, our Board of Directors authorized a new stock repurchase program for up to $250 million, which superseded our previous stock repurchase program. Under the program, the Company may purchase shares of our common stock from time to time in the open market or privately negotiated transactions. The timing and exact amount of repurchases under the newly authorized repurchase program will be determined by the Company's management, and will be subject to our capital allocation strategy, market conditions and other factors. The Company is not obligated to acquire any shares under the program, and the program may be suspended or discontinued at any time. Under the program, 335,508 shares of our common stock were repurchased during the three and nine months ended September 30, 2021 for an aggregate purchase price of approximately $20.0 million. Under previous stock repurchase programs, 1,463,377 shares of our common stock were repurchased for an aggregate purchase price of $26.6 million during the nine months ended September 30, 2020.</w:t>
      </w:r>
    </w:p>
    <w:p>
      <w:pPr>
        <w:spacing w:after="0" w:line="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recognized $5.6 million and $3.0 million in compensation expense related to stock awards issued under the Rent-A-Center 2016 Long-Term Incentive Plan (the “2016 Plan”) and 2021 Long-Term Incentive Plan (the “2021 Plan”) during the three months ended September 30, 2021 and 2020, and $15.0 million and $8.9 million during the nine months ended September 30, 2021 and 2020. During the nine months ended September 30, 2021, we granted approximately 97,000 stock options, 299,000 market-based performance units and 180,000 time-vesting units under the 2016 and 2021 Plans. The stock options granted were valued using a Black-Scholes pricing model with the following assumptions: an expected volatility of 47.54% to 53.21%, a risk-free interest rate of 0.21% to 1.08%, an expected dividend yield of 2.15% to 3.24%, and an expected term of 3.50 to 5.75 years. The weighted-average exercise price of the options granted during the nine months ended September 30, 2021 was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$44.84 and the weighted-average grant-date fair value was $14.94. Performance-based restricted stock units are valued using a Monte Carlo simulation. Time-vesting restricted stock units are valued based on our closing stock price on the trading day immediately preceding the date of the grant, or as of the date of modification in the event an award is modified. The weighted-average grant date fair value of the market-based performance and time-vesting restricted stock units granted during the nine months ended September 30, 2020 was $92.24 and $59.22, respectively.</w:t>
      </w:r>
    </w:p>
    <w:p>
      <w:pPr>
        <w:spacing w:after="0" w:line="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described in Note 2, Aggregate Stock Consideration issued to the former owners of Acima Holdings included 10,779,923 of common shares valued at $51.14 per share, as of the date of closing. Of this total, 2,683,328 common shares were included in the aggregate purchase price of the transaction for financial reporting purposes, while 8,096,595 common shares, valued at $414.1 million, issued under restricted stock agreements and subject to vesting conditions, will be recognized as stock compensation expense over the vesting term in accordance with ASC Topic 718, “Stock-based Compensation”. We recognized $42.8 million and $93.1 million in stock compensation expense related to these restricted stock agreements during the three and nine months ended September 30, 2021, which was recorded to Other charges (gains) in our Condensed Consolidated Statements of Operations, as described in Note 10.</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Contingencies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we, along with our subsidiaries, are party to various legal proceedings and governmental inquiries arising in the ordinary course of business. We reserve for loss contingencies that are both probable and reasonably estimable. We regularly monitor developments related to these legal proceedings, and review the adequacy of our legal reserves on a quarterly basis. We do not currently expect these losses to have a material impact on our condensed consolidated financial statements if and when such losses are incurred. Nevertheless, we cannot predict the impact of future developments affecting our claims and lawsuits, and any resolution of a claim or lawsuit or reserve within a particular fiscal period may materially and adversely impact our results of operations for that period. In addition, claims and lawsuits against us may seek injunctive or other relief that requires changes to our business practices or operations and it is possible that any required changes may materially and adversely impact our business, financial condition, results of operations or reputation.</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subject to unclaimed property audits by states in the ordinary course of business. The property subject to review in the audit process include unclaimed wages, vendor payments and customer refunds. State escheat laws generally require entities to report and remit abandoned and unclaimed property to the state. Failure to timely report and remit the property can result in assessments that could include interest and penalties, in addition to the payment of the escheat liability itself. We routinely remit escheat payments to states in compliance with applicable escheat laws.</w:t>
      </w:r>
    </w:p>
    <w:p>
      <w:pPr>
        <w:spacing w:after="0" w:line="6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Acima Consumer Financial Protection Bureau investigation. </w:t>
      </w:r>
      <w:r>
        <w:rPr>
          <w:rFonts w:ascii="Arial" w:cs="Arial" w:eastAsia="Arial" w:hAnsi="Arial"/>
          <w:sz w:val="16"/>
          <w:szCs w:val="16"/>
          <w:color w:val="auto"/>
        </w:rPr>
        <w:t>Prior to the execution of the definitive agreement to acquire Acima Holdings, Acima Holdings</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a Civil Investigative Demand dated October 1, 2020 (the “CID”) from the Consumer Financial Protection Bureau (the “CFPB”) requesting certain information, documents and data relating to Acima Holding’s products, services and practices for the period from January 1, 2015 to the date on which responses to the CID are provided in full. The purpose of the CID is to determine whether Acima Holdings extends credit, offers leases, or otherwise offers or provides a consumer financial product or service and whether Acima Holdings complies with certain consumer financial protection laws. We are fully cooperating with the CFPB investigation. We completed our production of records in response to the initial requests of the CFPB at the end of March 2021. In July 2021, we received additional requests from the CFPB. We are currently in the process of responding to these additional requests. The CFPB has not made any allegations in the investigation, and we are currently unable to predict the eventual scope, ultimate timing or outcome of the CFPB investigation.</w:t>
      </w:r>
    </w:p>
    <w:p>
      <w:pPr>
        <w:spacing w:after="0" w:line="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the terms and subject to the conditions set forth in the definitive agreement to acquire Acima Holdings, the former owners of Acima Holdings have agreed to indemnify Rent-A-Center for certain losses arising after the consummation of the transaction with respect to the CID and certain pre-closing taxes. The indemnification obligations of the former owners of Acima Holdings are limited to an indemnity holdback in the aggregate amount of $50 million, which was escrowed at the closing of the transaction, and will be Rent-A-Center’s sole recourse against the former owners of Acima Holdings with respect to all of the indemnifiable claims under the definitive transaction agreement. Other than with respect to any pending or unresolved claims for indemnification submitted by Rent-A-Center prior to such time, and subject to other limited exceptions, the escrowed amount will be released to the former owners of Acima Holdings as follows: (i) in respect of the CID, on the earlier of February 17, 2024 and the date on which a final determination is entered providing for a resolution of the matters regarding the CID and (ii) in respect of certain pre-closing taxes, on August 18, 2022, the first business day following the date that is 18 months after the closing date of the transaction.</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the CID will be finally resolved prior to the release to the former owners of Acima Holdings of the escrowed funds reserved therefor, or that such escrowed amount will be sufficient to address all covered losses or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CFPB’s ongoing investigation or future exercise of its enforcement, regulatory, discretionary or other powers will not result in findings or alleged violations of consumer financial protection laws that could lead to enforcement actions, proceedings or litigation, whether by the CFPB, other state or federal agencies, or other parties, and the imposition of damages, fines, penalties, restitution, other monetary liabilities, sanctions, settlements or changes to Acima Holdings’ business practices or operations that could materially and adversely affect our business, financial condition, results of operations or reputation.</w:t>
      </w:r>
    </w:p>
    <w:p>
      <w:pPr>
        <w:spacing w:after="0" w:line="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California Attorney General. </w:t>
      </w:r>
      <w:r>
        <w:rPr>
          <w:rFonts w:ascii="Arial" w:cs="Arial" w:eastAsia="Arial" w:hAnsi="Arial"/>
          <w:sz w:val="17"/>
          <w:szCs w:val="17"/>
          <w:color w:val="auto"/>
        </w:rPr>
        <w:t>The California Attorney General (the “CAG”) issued an investigative subpoena in 2018 seeking information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of our Acceptance Now business practices (now part of the Acima segment). Since receiving such demand, we have cooperated with the CAG in connection with its investigation and made several productions of requested documents. In March 2020, the CAG put forth proposed settlement terms to address alleged violations of California law. The CAG’s allegations include those with respect to certain consumer fees, charges and communications in connection with our lease-to-own transactions. The CAG’s proposed settlement terms include civil penalties, disgorgement of certain revenues, additional training requirements, and changes to certain business practices. We are continuing to discuss resolution of the inquiry with the CAG. We are currently unable to predict the ultimate timing or outcome of the CAG investigation.</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Massachusetts Attorney General. </w:t>
      </w:r>
      <w:r>
        <w:rPr>
          <w:rFonts w:ascii="Arial" w:cs="Arial" w:eastAsia="Arial" w:hAnsi="Arial"/>
          <w:sz w:val="18"/>
          <w:szCs w:val="18"/>
          <w:color w:val="auto"/>
        </w:rPr>
        <w:t>The Massachusetts Attorney General (the “MAG”) issued a civil investigative demand in 2018 seeking information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certain of our business practices, including regarding account management and certain other business practices in connection with our lease-to-own transactions. Since receiving such demand, we have cooperated with the MAG in connection with its investigation. In June 2021, the MAG provided us with proposed settlement terms including a monetary payment, injunctive provisions regarding certain business practices and compliance requirements. We are continuing to cooperate with the MAG and to discuss resolution of the inquiry with the MAG. We are currently unable to predict the ultimate timing or outcome of the MAG investigation.</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State Attorneys General Investigation. </w:t>
      </w:r>
      <w:r>
        <w:rPr>
          <w:rFonts w:ascii="Arial" w:cs="Arial" w:eastAsia="Arial" w:hAnsi="Arial"/>
          <w:sz w:val="18"/>
          <w:szCs w:val="18"/>
          <w:color w:val="auto"/>
        </w:rPr>
        <w:t>On November 1, 2021, Acima received a letter from the Nebraska Attorney General’s office stating that the Attorney</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of Nebraska, along with a coalition of thirty-eight state Attorneys General, have initiated a multistate investigation into the business acts and practices of Acima and that a civil investigative demand(s) and/or subpoena(s) pursuant to respective state consumer protection laws will be forthcoming. As of the filing of this Form 10-Q, Acima has not received the civil investigative demands or subpoenas relating to this matter. We are currently unable to predict the ultimate timing or outcome of this investigation.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Earnings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Summarized basic and diluted earnings per common share were calculated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296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3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r>
      <w:tr>
        <w:trPr>
          <w:trHeight w:val="211"/>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4580" w:type="dxa"/>
            <w:vAlign w:val="bottom"/>
          </w:tcPr>
          <w:p>
            <w:pPr>
              <w:ind w:left="220"/>
              <w:spacing w:after="0"/>
              <w:rPr>
                <w:sz w:val="20"/>
                <w:szCs w:val="20"/>
                <w:color w:val="auto"/>
              </w:rPr>
            </w:pPr>
            <w:r>
              <w:rPr>
                <w:rFonts w:ascii="Arial" w:cs="Arial" w:eastAsia="Arial" w:hAnsi="Arial"/>
                <w:sz w:val="18"/>
                <w:szCs w:val="18"/>
                <w:color w:val="auto"/>
              </w:rPr>
              <w:t>Net earnings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21,267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64,030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125,128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151,815</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7"/>
        </w:trPr>
        <w:tc>
          <w:tcPr>
            <w:tcW w:w="4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4580" w:type="dxa"/>
            <w:vAlign w:val="bottom"/>
          </w:tcPr>
          <w:p>
            <w:pPr>
              <w:ind w:left="260"/>
              <w:spacing w:after="0" w:line="230" w:lineRule="exact"/>
              <w:rPr>
                <w:sz w:val="20"/>
                <w:szCs w:val="20"/>
                <w:color w:val="auto"/>
              </w:rPr>
            </w:pPr>
            <w:r>
              <w:rPr>
                <w:rFonts w:ascii="Arial" w:cs="Arial" w:eastAsia="Arial" w:hAnsi="Arial"/>
                <w:sz w:val="18"/>
                <w:szCs w:val="18"/>
                <w:color w:val="auto"/>
              </w:rPr>
              <w:t>Weighted-average shares outstanding</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58,267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53,985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57,603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54,186</w:t>
            </w:r>
          </w:p>
        </w:tc>
      </w:tr>
      <w:tr>
        <w:trPr>
          <w:trHeight w:val="230"/>
        </w:trPr>
        <w:tc>
          <w:tcPr>
            <w:tcW w:w="458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Effect of dilutive stock awards</w:t>
            </w:r>
            <w:r>
              <w:rPr>
                <w:rFonts w:ascii="Arial" w:cs="Arial" w:eastAsia="Arial" w:hAnsi="Arial"/>
                <w:sz w:val="23"/>
                <w:szCs w:val="23"/>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r>
      <w:tr>
        <w:trPr>
          <w:trHeight w:val="223"/>
        </w:trPr>
        <w:tc>
          <w:tcPr>
            <w:tcW w:w="4580" w:type="dxa"/>
            <w:vAlign w:val="bottom"/>
          </w:tcPr>
          <w:p>
            <w:pPr>
              <w:ind w:left="260"/>
              <w:spacing w:after="0"/>
              <w:rPr>
                <w:sz w:val="20"/>
                <w:szCs w:val="20"/>
                <w:color w:val="auto"/>
              </w:rPr>
            </w:pPr>
            <w:r>
              <w:rPr>
                <w:rFonts w:ascii="Arial" w:cs="Arial" w:eastAsia="Arial" w:hAnsi="Arial"/>
                <w:sz w:val="18"/>
                <w:szCs w:val="18"/>
                <w:color w:val="auto"/>
              </w:rPr>
              <w:t>Weighted-average dilutive shares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68,194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55,606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67,456</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55,662</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4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175"/>
        </w:trPr>
        <w:tc>
          <w:tcPr>
            <w:tcW w:w="4580" w:type="dxa"/>
            <w:vAlign w:val="bottom"/>
          </w:tcPr>
          <w:p>
            <w:pPr>
              <w:ind w:left="20"/>
              <w:spacing w:after="0" w:line="176" w:lineRule="exact"/>
              <w:rPr>
                <w:sz w:val="20"/>
                <w:szCs w:val="20"/>
                <w:color w:val="auto"/>
              </w:rPr>
            </w:pPr>
            <w:r>
              <w:rPr>
                <w:rFonts w:ascii="Arial" w:cs="Arial" w:eastAsia="Arial" w:hAnsi="Arial"/>
                <w:sz w:val="18"/>
                <w:szCs w:val="18"/>
                <w:color w:val="auto"/>
                <w:w w:val="99"/>
              </w:rPr>
              <w:t>Anti-dilutive securities excluded from diluted earnings per</w:t>
            </w: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common share:</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Anti-dilutive restricted share units</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Anti-dilutive performance share units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324</w:t>
            </w:r>
          </w:p>
        </w:tc>
      </w:tr>
      <w:tr>
        <w:trPr>
          <w:trHeight w:val="230"/>
        </w:trPr>
        <w:tc>
          <w:tcPr>
            <w:tcW w:w="4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Anti-dilutive stock options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r>
    </w:tbl>
    <w:p>
      <w:pPr>
        <w:spacing w:after="0" w:line="80" w:lineRule="exact"/>
        <w:rPr>
          <w:sz w:val="20"/>
          <w:szCs w:val="20"/>
          <w:color w:val="auto"/>
        </w:rPr>
      </w:pPr>
    </w:p>
    <w:p>
      <w:pPr>
        <w:ind w:firstLine="8"/>
        <w:spacing w:after="0" w:line="256" w:lineRule="auto"/>
        <w:tabs>
          <w:tab w:leader="none" w:pos="127"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Weighted-average shares outstanding for the nine months ended September 30, 2021 includes approximately 2.6 million common shares issued in connection with the acquisition of Acima Holdings in February 2021. See Note 2 for additional information.</w:t>
      </w:r>
    </w:p>
    <w:p>
      <w:pPr>
        <w:ind w:firstLine="8"/>
        <w:spacing w:after="0" w:line="230" w:lineRule="auto"/>
        <w:tabs>
          <w:tab w:leader="none" w:pos="130" w:val="left"/>
        </w:tabs>
        <w:numPr>
          <w:ilvl w:val="0"/>
          <w:numId w:val="8"/>
        </w:numPr>
        <w:rPr>
          <w:rFonts w:ascii="Arial" w:cs="Arial" w:eastAsia="Arial" w:hAnsi="Arial"/>
          <w:sz w:val="15"/>
          <w:szCs w:val="15"/>
          <w:color w:val="auto"/>
          <w:vertAlign w:val="superscript"/>
        </w:rPr>
      </w:pPr>
      <w:r>
        <w:rPr>
          <w:rFonts w:ascii="Arial" w:cs="Arial" w:eastAsia="Arial" w:hAnsi="Arial"/>
          <w:sz w:val="12"/>
          <w:szCs w:val="12"/>
          <w:color w:val="auto"/>
        </w:rPr>
        <w:t>Weighted-average dilutive shares outstanding for the nine months ended September 30, 2021 includes approximately 8.1 million common shares issued in connection with the acquisition of Acima Holdings in February 2021, and subject to vesting conditions under restricted stock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Quarterly Report on Form 10-Q includes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can be identified by the fact that they do not relate strictly to historical or current facts. They often include words such as “believes,” “expects,” “anticipates,” “estimates,” “intends,” “plans,” “seeks” or words of similar meaning, or future or conditional verbs, such as “will,” “should,” “could,” “may,” “aims,” “intends,” or “projects.” These forward-looking statements, include, without limitation, those relating to the potential effects of the pandemic of the respiratory disease caused by a novel coronavirus (“COVID-19”) on our business, operations, financial performance and prospects, the future business prospects and financial performance of our Company following the closing of our acquisition of Acima Holdings, LLC (“Acima Holdings”), cost and revenue synergies and other benefits expected to result from the Acima Holdings acquisition, our planned technologies and other enhancements to our lease-to-own solutions for consumers and retailers, our expectations, plans and strategy relating to our capital structure and capital allocation, including any share repurchases under the Company's share repurchase program, other statements regarding our strategy and plans, and other statements that are not historical facts.</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forward-looking statement is neither a prediction nor a guarantee of future events or circumstances, and those future events or circumstances may not occur. You should not place undue reliance on forward-looking statements, which speak only as of the date of this Quarterly Report on Form 10-Q. These forward-looking statements are based on currently available operating, financial and competitive information and are subject to various risks and uncertainties. Our actual future results and trends may differ materially and adversely depending on a variety of factors, including, but not limited to, the risks and uncertainties discussed under “Risk Factors” in our Annual Report on Form 10-K for the year ended December 31, 2020 and “Management’s Discussion and Analysis of Financial Condition and Results of Operations” below. Given these risks and uncertainties, you should not rely on forward-looking statements as a prediction of actual results. Any or all of the forward-looking statements contained in this Quarterly Report on Form 10-Q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Except as required by law, we expressly disclaim any obligation to update or revise any forward-looking statements, whether as a result of new information, future events, changes in assumptions or otherwise. Factors that could cause or contribute to these differences include, but are not limited to:</w:t>
      </w:r>
    </w:p>
    <w:p>
      <w:pPr>
        <w:spacing w:after="0" w:line="10" w:lineRule="exact"/>
        <w:rPr>
          <w:sz w:val="20"/>
          <w:szCs w:val="20"/>
          <w:color w:val="auto"/>
        </w:rPr>
      </w:pPr>
    </w:p>
    <w:p>
      <w:pPr>
        <w:ind w:left="660" w:hanging="166"/>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possibility that the anticipated benefits from the Acima Holdings acquisition may not be fully realized or may take longer to realize than expected;</w:t>
      </w:r>
    </w:p>
    <w:p>
      <w:pPr>
        <w:spacing w:after="0" w:line="8" w:lineRule="exact"/>
        <w:rPr>
          <w:rFonts w:ascii="Arial" w:cs="Arial" w:eastAsia="Arial" w:hAnsi="Arial"/>
          <w:sz w:val="18"/>
          <w:szCs w:val="18"/>
          <w:color w:val="auto"/>
        </w:rPr>
      </w:pPr>
    </w:p>
    <w:p>
      <w:pPr>
        <w:ind w:left="660" w:hanging="166"/>
        <w:spacing w:after="0" w:line="277" w:lineRule="auto"/>
        <w:tabs>
          <w:tab w:leader="none" w:pos="60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possibility that costs, difficulties or disruptions related to the integration of Acima Holdings operations into our other operations will be greater than expected;</w:t>
      </w:r>
    </w:p>
    <w:p>
      <w:pPr>
        <w:spacing w:after="0" w:line="8" w:lineRule="exact"/>
        <w:rPr>
          <w:rFonts w:ascii="Arial" w:cs="Arial" w:eastAsia="Arial" w:hAnsi="Arial"/>
          <w:sz w:val="18"/>
          <w:szCs w:val="18"/>
          <w:color w:val="auto"/>
        </w:rPr>
      </w:pPr>
    </w:p>
    <w:p>
      <w:pPr>
        <w:jc w:val="both"/>
        <w:ind w:left="660" w:hanging="166"/>
        <w:spacing w:after="0" w:line="263" w:lineRule="auto"/>
        <w:tabs>
          <w:tab w:leader="none" w:pos="622"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 effectively adjust to changes in the composition of our offerings and product mix as a result of acquiring Acima Holdings and continue to maintain the quality of existing offerings and (ii) successfully introduce other new product or service offerings on a timely and cost-effective basis;</w:t>
      </w:r>
    </w:p>
    <w:p>
      <w:pPr>
        <w:spacing w:after="0" w:line="21" w:lineRule="exact"/>
        <w:rPr>
          <w:rFonts w:ascii="Arial" w:cs="Arial" w:eastAsia="Arial" w:hAnsi="Arial"/>
          <w:sz w:val="18"/>
          <w:szCs w:val="18"/>
          <w:color w:val="auto"/>
        </w:rPr>
      </w:pPr>
    </w:p>
    <w:p>
      <w:pPr>
        <w:ind w:left="660" w:right="20" w:hanging="166"/>
        <w:spacing w:after="0" w:line="27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future cash requirements as a result of the Acima Holdings acquisition, whether caused by unanticipated increases in capital expenditures or working capital needs, unanticipated liabilities or otherwise;</w:t>
      </w:r>
    </w:p>
    <w:p>
      <w:pPr>
        <w:spacing w:after="0" w:line="8" w:lineRule="exact"/>
        <w:rPr>
          <w:rFonts w:ascii="Arial" w:cs="Arial" w:eastAsia="Arial" w:hAnsi="Arial"/>
          <w:sz w:val="18"/>
          <w:szCs w:val="18"/>
          <w:color w:val="auto"/>
        </w:rPr>
      </w:pPr>
    </w:p>
    <w:p>
      <w:pPr>
        <w:ind w:left="600" w:hanging="106"/>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identify potential acquisition candidates, complete acquisitions and successfully integrate acquired companies;</w:t>
      </w:r>
    </w:p>
    <w:p>
      <w:pPr>
        <w:spacing w:after="0" w:line="63" w:lineRule="exact"/>
        <w:rPr>
          <w:rFonts w:ascii="Arial" w:cs="Arial" w:eastAsia="Arial" w:hAnsi="Arial"/>
          <w:sz w:val="18"/>
          <w:szCs w:val="18"/>
          <w:color w:val="auto"/>
        </w:rPr>
      </w:pPr>
    </w:p>
    <w:p>
      <w:pPr>
        <w:jc w:val="both"/>
        <w:ind w:left="660" w:hanging="166"/>
        <w:spacing w:after="0" w:line="25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COVID-19 pandemic and related government and regulatory restrictions issued to combat the pandemic, including adverse changes in such restrictions, and impacts on (i) demand for our lease-to-own products offered in our operating segments, (ii) our Acima retail partners, (iii) our customers and their willingness and ability to satisfy their lease obligations, (iv) our suppliers' ability to satisfy our merchandise needs and related supply chain disruptions, (v) our employees, including our ability to adequately staff our operating locations, (vi) our financial and operational performance, and (vii) our liquidity;</w:t>
      </w:r>
    </w:p>
    <w:p>
      <w:pPr>
        <w:spacing w:after="0" w:line="25"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general strength of the economy and other economic conditions affecting consumer preferences and spending, including the availability of credit to our target consumers;</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factors affecting the disposable income available to our current and potential customers;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unemployment rate;</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market conditions, including availability of funding sources for us;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encountered in improving the financial and operational performance of our business segments;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pricing changes and strategies being deployed in our businesses;</w:t>
      </w:r>
    </w:p>
    <w:p>
      <w:pPr>
        <w:spacing w:after="0" w:line="63" w:lineRule="exact"/>
        <w:rPr>
          <w:rFonts w:ascii="Arial" w:cs="Arial" w:eastAsia="Arial" w:hAnsi="Arial"/>
          <w:sz w:val="18"/>
          <w:szCs w:val="18"/>
          <w:color w:val="auto"/>
        </w:rPr>
      </w:pPr>
    </w:p>
    <w:p>
      <w:pPr>
        <w:ind w:left="166" w:right="20" w:hanging="166"/>
        <w:spacing w:after="0" w:line="277" w:lineRule="auto"/>
        <w:tabs>
          <w:tab w:leader="none" w:pos="1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continue to realize benefits from our initiatives regarding cost-savings and other EBITDA enhancements, efficiencies and working capital improvements;</w:t>
      </w:r>
    </w:p>
    <w:p>
      <w:pPr>
        <w:spacing w:after="0" w:line="8"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continue to effectively execute our strategic initiatives, including mitigating risks associated with any potential mergers and acquisitions, or refranchising opportunities;</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manage our store labor and other store expenses, including merchandise losses;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caused by the operation of our store information management systems or disruptions in the systems of our host retailers;</w:t>
      </w:r>
    </w:p>
    <w:p>
      <w:pPr>
        <w:spacing w:after="0" w:line="63"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related to our virtual lease-to-own business, including our ability to continue to develop and successfully implement the necessary technologies;</w:t>
      </w:r>
    </w:p>
    <w:p>
      <w:pPr>
        <w:spacing w:after="0" w:line="8"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achieve the benefits expected from our integrated virtual and staffed retail partner offering and to successfully grow this business segment;</w:t>
      </w:r>
    </w:p>
    <w:p>
      <w:pPr>
        <w:spacing w:after="0" w:line="8"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exposure to potential operating margin degradation due to the higher cost of merchandise in our Acima offering and potential for higher merchandise losses;</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our transition to more-readily scalable “cloud-based” solutions;</w:t>
      </w:r>
    </w:p>
    <w:p>
      <w:pPr>
        <w:spacing w:after="0" w:line="63" w:lineRule="exact"/>
        <w:rPr>
          <w:rFonts w:ascii="Arial" w:cs="Arial" w:eastAsia="Arial" w:hAnsi="Arial"/>
          <w:sz w:val="18"/>
          <w:szCs w:val="18"/>
          <w:i w:val="1"/>
          <w:iCs w:val="1"/>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and successfully implement digital or E-commerce capabilities, including mobile applications;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protect our proprietary intellectual property;</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in our supply chain;</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of, or disruptions in, our distribution network;</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rapid inflation or deflation in the prices of our products;</w:t>
      </w:r>
    </w:p>
    <w:p>
      <w:pPr>
        <w:spacing w:after="0" w:line="63"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execute and the effectiveness of store consolidations, including our ability to retain the revenue from customer accounts merged into another store location as a result of a store consolidation;</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available cash flow and our ability to generate sufficient cash flow to continue paying dividends;</w:t>
      </w:r>
    </w:p>
    <w:p>
      <w:pPr>
        <w:spacing w:after="0" w:line="63"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competition from traditional competitors, virtual lease-to-own competitors, online retailers, Buy-Now-Pay-Later and other Fintech companies and other competitors, including subprime lenders;</w:t>
      </w:r>
    </w:p>
    <w:p>
      <w:pPr>
        <w:spacing w:after="0" w:line="8" w:lineRule="exact"/>
        <w:rPr>
          <w:rFonts w:ascii="Arial" w:cs="Arial" w:eastAsia="Arial" w:hAnsi="Arial"/>
          <w:sz w:val="18"/>
          <w:szCs w:val="18"/>
          <w:color w:val="auto"/>
        </w:rPr>
      </w:pPr>
    </w:p>
    <w:p>
      <w:pPr>
        <w:ind w:left="166" w:right="20" w:hanging="166"/>
        <w:spacing w:after="0" w:line="277" w:lineRule="auto"/>
        <w:tabs>
          <w:tab w:leader="none" w:pos="1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identify and successfully market products and services that appeal to our current and future targeted customer segments and to accurately estimate the size of the total addressable market;</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consumer preferences and perceptions of our brands;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the revenue associated with acquired customer accounts and enhance the performance of acquired stores;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enter into new and collect on our rental or lease purchase agreements;</w:t>
      </w:r>
    </w:p>
    <w:p>
      <w:pPr>
        <w:spacing w:after="0" w:line="63" w:lineRule="exact"/>
        <w:rPr>
          <w:rFonts w:ascii="Arial" w:cs="Arial" w:eastAsia="Arial" w:hAnsi="Arial"/>
          <w:sz w:val="18"/>
          <w:szCs w:val="18"/>
          <w:color w:val="auto"/>
        </w:rPr>
      </w:pPr>
    </w:p>
    <w:p>
      <w:pPr>
        <w:jc w:val="both"/>
        <w:ind w:left="166" w:hanging="166"/>
        <w:spacing w:after="0" w:line="263" w:lineRule="auto"/>
        <w:tabs>
          <w:tab w:leader="none" w:pos="1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enforcement of existing laws and regulations and the enactment of new laws and regulations adversely affecting our business, including any legislative or regulatory enforcement efforts that seek to re-characterize store-based or virtual lease-to-own transactions as credit sales and to apply consumer credit laws and regulations to our business;</w:t>
      </w:r>
    </w:p>
    <w:p>
      <w:pPr>
        <w:spacing w:after="0" w:line="21"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compliance with applicable statutes or regulations governing our businesses;</w:t>
      </w:r>
    </w:p>
    <w:p>
      <w:pPr>
        <w:spacing w:after="0" w:line="63" w:lineRule="exact"/>
        <w:rPr>
          <w:rFonts w:ascii="Arial" w:cs="Arial" w:eastAsia="Arial" w:hAnsi="Arial"/>
          <w:sz w:val="18"/>
          <w:szCs w:val="18"/>
          <w:color w:val="auto"/>
        </w:rPr>
      </w:pPr>
    </w:p>
    <w:p>
      <w:pPr>
        <w:ind w:left="166" w:right="20" w:hanging="166"/>
        <w:spacing w:after="0" w:line="277" w:lineRule="auto"/>
        <w:tabs>
          <w:tab w:leader="none" w:pos="1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any additional social unrest such as that experienced in 2020 or otherwise, and resulting damage to our inventory or other assets and potential lost revenues;</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tariff policies;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changes in the economic conditions of the industries, countries or markets that we serve;</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technology and data security costs;</w:t>
      </w:r>
    </w:p>
    <w:p>
      <w:pPr>
        <w:spacing w:after="0" w:line="63" w:lineRule="exact"/>
        <w:rPr>
          <w:rFonts w:ascii="Arial" w:cs="Arial" w:eastAsia="Arial" w:hAnsi="Arial"/>
          <w:sz w:val="18"/>
          <w:szCs w:val="18"/>
          <w:color w:val="auto"/>
        </w:rPr>
      </w:pPr>
    </w:p>
    <w:p>
      <w:pPr>
        <w:ind w:left="166" w:right="20" w:hanging="166"/>
        <w:spacing w:after="0" w:line="277" w:lineRule="auto"/>
        <w:tabs>
          <w:tab w:leader="none" w:pos="1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any breaches in data security or other disturbances to our information technology and other networks and our ability to protect the integrity and security of individually identifiable data of our customers, employees and retail partners;</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estimates relating to self-insurance liabilities, income tax and litigation reserves;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effective tax rate;</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ectPr>
          <w:pgSz w:w="11900" w:h="16838" w:orient="portrait"/>
          <w:cols w:equalWidth="0" w:num="1">
            <w:col w:w="10746"/>
          </w:cols>
          <w:pgMar w:left="814" w:top="9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74"/>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89" w:right="339" w:bottom="1440" w:gutter="0" w:footer="0" w:header="0"/>
          <w:type w:val="continuous"/>
        </w:sectPr>
      </w:pPr>
    </w:p>
    <w:bookmarkStart w:id="27" w:name="page28"/>
    <w:bookmarkEnd w:id="27"/>
    <w:p>
      <w:pPr>
        <w:ind w:left="660" w:hanging="16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 including in connection with the integration of Acima;</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litigation or administrative proceedings to which we are or may be a party to from time to time; and</w:t>
      </w:r>
    </w:p>
    <w:p>
      <w:pPr>
        <w:spacing w:after="0" w:line="63" w:lineRule="exact"/>
        <w:rPr>
          <w:rFonts w:ascii="Arial" w:cs="Arial" w:eastAsia="Arial" w:hAnsi="Arial"/>
          <w:sz w:val="18"/>
          <w:szCs w:val="18"/>
          <w:color w:val="auto"/>
        </w:rPr>
      </w:pPr>
    </w:p>
    <w:p>
      <w:pPr>
        <w:ind w:left="660" w:right="20" w:hanging="166"/>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other risks detailed from time to time in our reports furnished or filed with the United States Securities and Exchange Commission (the “SEC”).</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Additional important factors that could cause our actual results to differ materially from our expectations are discussed under the section “</w:t>
      </w:r>
      <w:r>
        <w:rPr>
          <w:rFonts w:ascii="Arial" w:cs="Arial" w:eastAsia="Arial" w:hAnsi="Arial"/>
          <w:sz w:val="17"/>
          <w:szCs w:val="17"/>
          <w:i w:val="1"/>
          <w:iCs w:val="1"/>
          <w:color w:val="auto"/>
        </w:rPr>
        <w:t>Risk Factors</w:t>
      </w:r>
      <w:r>
        <w:rPr>
          <w:rFonts w:ascii="Arial" w:cs="Arial" w:eastAsia="Arial" w:hAnsi="Arial"/>
          <w:sz w:val="17"/>
          <w:szCs w:val="17"/>
          <w:color w:val="auto"/>
        </w:rPr>
        <w:t>” in our Annual Report on Form 10-K for the year ended December 31, 2020 and elsewhere in this Quarterly Report on Form 10-Q.</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are a leading lease-to-own provider with operations in the United States, Puerto Rico and Mexico. We provide a critical service for a large portion of underserved consumers by providing them with access to, and the opportunity to obtain ownership of, high-quality, durable products via small payments over time under a flexible lease-purchase agreement with no long-term debt obligation. Through our Rent-A-Center Business, we provide a fully integrated customer experience through our e-commerce platform and brick and mortar presence. Our Acima business offers lease-to-own solutions through retailers in stores and online enabling such retailers to grow sales by expanding their customer base utilizing our differentiated offering. We were incorporated in the State of Delaware in 1986, and our common stock is traded on the Nasdaq Global Select Market under the ticker symbol </w:t>
      </w:r>
      <w:r>
        <w:rPr>
          <w:rFonts w:ascii="Arial" w:cs="Arial" w:eastAsia="Arial" w:hAnsi="Arial"/>
          <w:sz w:val="16"/>
          <w:szCs w:val="16"/>
          <w:i w:val="1"/>
          <w:iCs w:val="1"/>
          <w:color w:val="auto"/>
        </w:rPr>
        <w:t>“</w:t>
      </w:r>
      <w:r>
        <w:rPr>
          <w:rFonts w:ascii="Arial" w:cs="Arial" w:eastAsia="Arial" w:hAnsi="Arial"/>
          <w:sz w:val="16"/>
          <w:szCs w:val="16"/>
          <w:color w:val="auto"/>
        </w:rPr>
        <w:t>RCII.</w:t>
      </w:r>
      <w:r>
        <w:rPr>
          <w:rFonts w:ascii="Arial" w:cs="Arial" w:eastAsia="Arial" w:hAnsi="Arial"/>
          <w:sz w:val="16"/>
          <w:szCs w:val="16"/>
          <w:i w:val="1"/>
          <w:iCs w:val="1"/>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Strategy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strategy is focused on growing our business model through emphasis on the following key initiatives:</w:t>
      </w:r>
    </w:p>
    <w:p>
      <w:pPr>
        <w:spacing w:after="0" w:line="63" w:lineRule="exact"/>
        <w:rPr>
          <w:sz w:val="20"/>
          <w:szCs w:val="20"/>
          <w:color w:val="auto"/>
        </w:rPr>
      </w:pPr>
    </w:p>
    <w:p>
      <w:pPr>
        <w:ind w:left="660" w:hanging="16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executing on market opportunities and enhancing our competitive position across both traditional and virtual lease-to-own solutions;</w:t>
      </w:r>
    </w:p>
    <w:p>
      <w:pPr>
        <w:spacing w:after="0" w:line="63"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accelerating the shift to e-commerce, expanding product categories, including into emerging product categories, and improving the fully integrated customer experience;</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using technology to support frictionless retailer onboarding with seamless integration to retailer platforms;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continuing to generate repeat business while expanding our potential customer base;</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leveraging the integration of the Acima Holdings decision engine and expanding digital payments and communication channels; and</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generating favorable adjusted EBITDA margin and strong free cash flow to fund strategic priorities and deliver and return capital to shareholders.</w:t>
      </w:r>
    </w:p>
    <w:p>
      <w:pPr>
        <w:spacing w:after="0" w:line="14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we pursue our strategy, we may take advantage of merger and acquisition opportunities from time to time that advance our key initiatives, and engage in discussions regarding these opportunities, which could include mergers, consolidations or acquisitions or dispositions or other transactions, although there can be no assurance that any such activities will be consummated.</w:t>
      </w:r>
    </w:p>
    <w:p>
      <w:pPr>
        <w:spacing w:after="0" w:line="7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For additional information regarding the acquisition of Acima Holdings, see “Item 2. Management's Discussion and Analysis of Financial Condition and Results of Operation—Recent Developments”.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Acima Acquisition. </w:t>
      </w:r>
      <w:r>
        <w:rPr>
          <w:rFonts w:ascii="Arial" w:cs="Arial" w:eastAsia="Arial" w:hAnsi="Arial"/>
          <w:sz w:val="16"/>
          <w:szCs w:val="16"/>
          <w:color w:val="auto"/>
        </w:rPr>
        <w:t>On February 17, 2021, we completed the acquisition of Acima Holdings and issued to the former owners of Acima an aggregate of</w:t>
      </w:r>
      <w:r>
        <w:rPr>
          <w:rFonts w:ascii="Arial" w:cs="Arial" w:eastAsia="Arial" w:hAnsi="Arial"/>
          <w:sz w:val="16"/>
          <w:szCs w:val="16"/>
          <w:i w:val="1"/>
          <w:iCs w:val="1"/>
          <w:color w:val="auto"/>
        </w:rPr>
        <w:t xml:space="preserve"> </w:t>
      </w:r>
      <w:r>
        <w:rPr>
          <w:rFonts w:ascii="Arial" w:cs="Arial" w:eastAsia="Arial" w:hAnsi="Arial"/>
          <w:sz w:val="16"/>
          <w:szCs w:val="16"/>
          <w:color w:val="auto"/>
        </w:rPr>
        <w:t>10,779,923 shares of our common stock (the “Aggregate Stock Consideration”), with a value of $51.14 per share based on the closing price of our common stock on the date of closing, and paid to them aggregate cash consideration of $1,273.3 million (the “Aggregate Cash Consideration”). Under the terms of the definitive agreement, $50 million of the Aggregate Cash Consideration was placed into escrow at closing to cover certain potential tax and regulatory indemnification obligations of the former owners of Acima Holdings under the agreement. Although we currently believe the escrow holdback amount, which serves as our sole recourse of with respect to any indemnifiable claims, will be sufficient to cover any such potential tax and regulatory matters, there is no assurance that any actual payments by us with respect to such matters will not exceed the escrow holdback amount.</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portion of the Aggregate Stock Consideration issued to former owners of Acima Holdings who are also employees of Acima is subject to restricted stock agreements providing vesting conditions over a 36-month period beginning upon closing of the acquisition. The portion of the Aggregate Stock Consideration issued to non-employee former owners of Acima Holdings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8" w:name="page29"/>
    <w:bookmarkEnd w:id="28"/>
    <w:p>
      <w:pPr>
        <w:jc w:val="both"/>
        <w:ind w:right="20"/>
        <w:spacing w:after="0" w:line="308" w:lineRule="auto"/>
        <w:rPr>
          <w:sz w:val="20"/>
          <w:szCs w:val="20"/>
          <w:color w:val="auto"/>
        </w:rPr>
      </w:pPr>
      <w:r>
        <w:rPr>
          <w:rFonts w:ascii="Arial" w:cs="Arial" w:eastAsia="Arial" w:hAnsi="Arial"/>
          <w:sz w:val="17"/>
          <w:szCs w:val="17"/>
          <w:color w:val="auto"/>
        </w:rPr>
        <w:t>subject to the terms of an 18-month lockup agreement, pursuant to which one-third of the aggregate shares of our common stock received by a non-employee former owner of Acima Holdings becomes transferable after each six month period following the closing of the acquisition.</w:t>
      </w:r>
    </w:p>
    <w:p>
      <w:pPr>
        <w:spacing w:after="0" w:line="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the acquisition, we entered into employment agreements with certain executives of Acima Holdings, including Aaron Allred, Chairman and Founder of Acima Holdings, which became effective upon closing.</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Dividend</w:t>
      </w:r>
      <w:r>
        <w:rPr>
          <w:rFonts w:ascii="Arial" w:cs="Arial" w:eastAsia="Arial" w:hAnsi="Arial"/>
          <w:sz w:val="16"/>
          <w:szCs w:val="16"/>
          <w:color w:val="auto"/>
        </w:rPr>
        <w:t>s. On September 16, 2021, we announced that our board of directors approved a quarterly cash dividend of $0.31 per share for the fourth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2021. The dividend was paid on October 19, 2021 to our common stockholders of record as of the close of business on September 28, 2021.</w:t>
      </w:r>
    </w:p>
    <w:p>
      <w:pPr>
        <w:spacing w:after="0" w:line="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Term Loan Facility Amendment. </w:t>
      </w:r>
      <w:r>
        <w:rPr>
          <w:rFonts w:ascii="Arial" w:cs="Arial" w:eastAsia="Arial" w:hAnsi="Arial"/>
          <w:sz w:val="16"/>
          <w:szCs w:val="16"/>
          <w:color w:val="auto"/>
        </w:rPr>
        <w:t>On September 21, 2021 we entered into a First Amendment (the “First Amendment”) to the Term Loan Facility,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as of September 21, 2021. The amendment effected a repricing of the applicable margin under the Term Loan Facility by reducing the LIBOR floor by 25 basis points from 0.75% to 0.50%, and the applicable margin, with respect to any initial term loans, by 75 basis points from 4.00% to 3.25%.</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Business and Operational Trends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COVID-19 Pandemic. </w:t>
      </w:r>
      <w:r>
        <w:rPr>
          <w:rFonts w:ascii="Arial" w:cs="Arial" w:eastAsia="Arial" w:hAnsi="Arial"/>
          <w:sz w:val="18"/>
          <w:szCs w:val="18"/>
          <w:color w:val="auto"/>
        </w:rPr>
        <w:t>Beginning in the latter half of March 2020, the worldwide spread of COVID-19 caused significant disruptions to the U.S. and world</w:t>
      </w:r>
      <w:r>
        <w:rPr>
          <w:rFonts w:ascii="Arial" w:cs="Arial" w:eastAsia="Arial" w:hAnsi="Arial"/>
          <w:sz w:val="18"/>
          <w:szCs w:val="18"/>
          <w:i w:val="1"/>
          <w:iCs w:val="1"/>
          <w:color w:val="auto"/>
        </w:rPr>
        <w:t xml:space="preserve"> </w:t>
      </w:r>
      <w:r>
        <w:rPr>
          <w:rFonts w:ascii="Arial" w:cs="Arial" w:eastAsia="Arial" w:hAnsi="Arial"/>
          <w:sz w:val="18"/>
          <w:szCs w:val="18"/>
          <w:color w:val="auto"/>
        </w:rPr>
        <w:t>economies, resulting in U.S. state and local jurisdictions implementing various containment or mitigation measures, including temporary shelter-in-place orders and the temporary closure of non-essential businesses.</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result of COVID-19 and related jurisdictional ordinances implemented in the United States to contain the spread of COVID-19 or mitigate its effects, beginning in the latter half of March 2020 a significant number of Acima retail partner locations were temporarily closed, resulting in the initial closure of approximately 65% of our staffed Acima locations, which operated within those stores. In addition, in our Rent-A-Center Business segment we temporarily shut down operations at a small number of stores and approximately 24% of our stores were partially closed, operating with closed showrooms and conducting business only through e-commerce web orders, and contactless curbside service or ship-from-store models. Some franchise locations and stores in our Mexico operating segment were also temporarily closed or had restricted operations due to COVID-19. All locations in our Rent-A-Center Business, Franchising and Mexico operating segments and staffed Acima locations, temporarily or partially closed at the onset of the pandemic, were reopened in the second quarter of 2020.</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Despite the recent availability of COVID-19 vaccines in 2021, the number of COVID-19 cases has increased at various times throughout 2021 resulting in certain governmental authorities imposing or re-imposing certain restrictions on businesses. As of October 29, 2021, all locations in our Rent-A-Center Business, Franchising and Mexico operating segments and staffed Acima locations are providing full in-store services subject to local requirements for sanitization, social distancing, face masks and capacity limitations and, in Mexico, certain restrictions regarding hours of operation.</w:t>
      </w:r>
    </w:p>
    <w:p>
      <w:pPr>
        <w:spacing w:after="0" w:line="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response to the negative impacts to our business resulting from COVID-19, in 2020, we proactively implemented certain measures to reduce operating expenses and cash flow uses, including implementing temporary executive pay reductions, temporarily furloughing certain employees at our store locations and corporate headquarters, reducing store hours in certain locations, renegotiating real estate leases, reducing inventory purchases and capital expenditures, and, for a brief period of time, suspending further share repurchases. In addition, we implemented additional electronic payment methods for our Rent-A-Center Business and Acima customers to facilitate contactless transactions. Separately, on March 27, 2020, the U.S. government enacted the Coronavirus Aid, Relief, and Economic Security Act (the “CARES Act”), providing U.S. citizens and business with various stimulus and income tax relief benefits throughout 2020 and early 2021 to help offset immediate negative financial impacts sustained as a result of COVID-19.</w:t>
      </w:r>
    </w:p>
    <w:p>
      <w:pPr>
        <w:spacing w:after="0" w:line="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lease-to-own industry has remained a resilient business model throughout various economic cycles, because it provides credit constrained customers with a viable option to obtain merchandise they may not otherwise be able to obtain through other retailers offering more traditional financing options. However, there are no assurances we will not be subject to future government actions negatively impacting our business as the pandemic progresses. In addition, in the third quarter of 2021 we have seen a return to more normalized customer behavior following the expiration of government stimulus and relief programs, resulting in more normalized payment and loss activity; as well as certain negative trends in our business that we believe to be associated with macro-economic conditions resulting from COVID-19, including a condensed labor market, wage inflation, and global supply chain issues resulting in reduced product availability and rising product costs. At this time we are unable to predict the full extent to which consumer spending behavior, or other macro-economic trends associated with the pandemic, may impact our business in future periods.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“Risk Factors” in Part I, Item 1A in our Annual Report on Form 10-K for the year ended December 31, 2020, for additional discussion of operational impacts to our business and additional risks associated with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focuses on our results of operations and our liquidity and capital resources. You should read this discussion in conjunction with the condensed consolidated financial statements and notes thereto for the three and nine months ended September 30, 2021 included in Part I, Item I of this Quarterly Report on Form 10-Q.</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briefly summarizes certain of our financial information for the nine months ended September 30, 2021 as compared to the nine months ended September 30, 2020.</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first nine months of 2021, consolidated revenues increased approximately $1,314.3 million, primarily due to the acquisition of Acima Holdings, in addition to an increase in same store sales in our Rent-A-Center Business. Operating profit increased approximately $61.0 million for the nine months ended September 30, 2021, primarily due to the increased operating profit of the Acima and Rent-A-Center Business segments, partially offset by one-time transaction and integration costs, stock compensation expense related to equity consideration subject to vesting conditions, and depreciation and amortization of acquired software and intangible assets related to the acquisition of Acima Holdings.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in our Rent-A-Center Business segment increased approximately $143.3 million for the nine months ended September 30, 2021, primarily due to an increase in same store sales revenue driven by growth in e-commerce sales and strong lease portfolio performance, partially offset by the impact of refranchising approximately 100 stores in California in the fourth quarter of 2020 which are no longer reflected in the Rent-A-Center Business segment revenues. Operating profit increased $104.0 million for the nine months ended September 30, 2021, driven primarily by increased operating leverage as a result of higher revenues and lower operating expenses.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Acima segment revenues increased approximately $1,107.1 million for the nine months ended September 30, 2021, driven primarily by the acquisition of Acima Holdings. Operating profit increased approximately $104.3 million for the nine months ended September 30, 2021, driven by higher revenue due to the acquisition of Acima Holdings and stronger lease performance, partially offset by depreciation and amortization of acquired software and intangible assets related to the acquisition of Acima Holdings.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Mexico segment revenues increased by 25.8% for the nine months ended September 30, 2021, contributing to an increase in gross profit of 26.2%, or $6.7 million. Operating profit increased $2.9 million for the nine months ended September 30, 2021.</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for the Franchising segment increased $54.5 million for the nine months ended September 30, 2021, primarily due to a higher store count, resulting from the refranchising of approximately 100 California stores during the fourth quarter of 2020 and higher inventory purchases by franchisees. Operating profit increased $6.8 million for the nine months ended September 30, 2021.</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flow from operations was $326.2 million for the nine months ended September 30, 2021. As of September 30, 2021, we held $158.8 million of cash and cash equivalents and outstanding indebtedness of $1.32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following table is a reference for the discussion that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5"/>
        </w:trPr>
        <w:tc>
          <w:tcPr>
            <w:tcW w:w="2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080" w:type="dxa"/>
            <w:vAlign w:val="bottom"/>
            <w:gridSpan w:val="3"/>
          </w:tcPr>
          <w:p>
            <w:pPr>
              <w:ind w:left="560"/>
              <w:spacing w:after="0"/>
              <w:rPr>
                <w:sz w:val="20"/>
                <w:szCs w:val="20"/>
                <w:color w:val="auto"/>
              </w:rPr>
            </w:pPr>
            <w:r>
              <w:rPr>
                <w:rFonts w:ascii="Arial" w:cs="Arial" w:eastAsia="Arial" w:hAnsi="Arial"/>
                <w:sz w:val="14"/>
                <w:szCs w:val="14"/>
                <w:b w:val="1"/>
                <w:bCs w:val="1"/>
                <w:color w:val="auto"/>
                <w:w w:val="97"/>
              </w:rPr>
              <w:t>Change</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160" w:type="dxa"/>
            <w:vAlign w:val="bottom"/>
            <w:gridSpan w:val="3"/>
          </w:tcPr>
          <w:p>
            <w:pPr>
              <w:ind w:left="640"/>
              <w:spacing w:after="0"/>
              <w:rPr>
                <w:sz w:val="20"/>
                <w:szCs w:val="20"/>
                <w:color w:val="auto"/>
              </w:rPr>
            </w:pPr>
            <w:r>
              <w:rPr>
                <w:rFonts w:ascii="Arial" w:cs="Arial" w:eastAsia="Arial" w:hAnsi="Arial"/>
                <w:sz w:val="14"/>
                <w:szCs w:val="14"/>
                <w:b w:val="1"/>
                <w:bCs w:val="1"/>
                <w:color w:val="auto"/>
                <w:w w:val="97"/>
              </w:rPr>
              <w:t>Change</w:t>
            </w:r>
          </w:p>
        </w:tc>
        <w:tc>
          <w:tcPr>
            <w:tcW w:w="720" w:type="dxa"/>
            <w:vAlign w:val="bottom"/>
          </w:tcPr>
          <w:p>
            <w:pPr>
              <w:spacing w:after="0"/>
              <w:rPr>
                <w:sz w:val="16"/>
                <w:szCs w:val="16"/>
                <w:color w:val="auto"/>
              </w:rPr>
            </w:pPr>
          </w:p>
        </w:tc>
      </w:tr>
      <w:tr>
        <w:trPr>
          <w:trHeight w:val="188"/>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2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r>
      <w:tr>
        <w:trPr>
          <w:trHeight w:val="197"/>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Store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9"/>
        </w:trPr>
        <w:tc>
          <w:tcPr>
            <w:tcW w:w="2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Rentals and fees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930,849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579,573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351,276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2,592,788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1,682,310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910,478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54.1 %</w:t>
            </w:r>
          </w:p>
        </w:tc>
      </w:tr>
      <w:tr>
        <w:trPr>
          <w:trHeight w:val="213"/>
        </w:trPr>
        <w:tc>
          <w:tcPr>
            <w:tcW w:w="27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192,016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91,233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100,783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110.5 %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646,038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300,693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345,345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114.8 %</w:t>
            </w:r>
          </w:p>
        </w:tc>
      </w:tr>
      <w:tr>
        <w:trPr>
          <w:trHeight w:val="219"/>
        </w:trPr>
        <w:tc>
          <w:tcPr>
            <w:tcW w:w="2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Installment sales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8.2 %</w:t>
            </w:r>
          </w:p>
        </w:tc>
      </w:tr>
      <w:tr>
        <w:trPr>
          <w:trHeight w:val="213"/>
        </w:trPr>
        <w:tc>
          <w:tcPr>
            <w:tcW w:w="2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28.2 %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29.6 %</w:t>
            </w:r>
          </w:p>
        </w:tc>
      </w:tr>
      <w:tr>
        <w:trPr>
          <w:trHeight w:val="212"/>
        </w:trPr>
        <w:tc>
          <w:tcPr>
            <w:tcW w:w="2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store revenue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1,140,975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688,230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452,745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3,294,853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2,034,314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1,260,539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62.0 %</w:t>
            </w: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Franchise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9"/>
        </w:trPr>
        <w:tc>
          <w:tcPr>
            <w:tcW w:w="2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94.4 %</w:t>
            </w:r>
          </w:p>
        </w:tc>
      </w:tr>
      <w:tr>
        <w:trPr>
          <w:trHeight w:val="213"/>
        </w:trPr>
        <w:tc>
          <w:tcPr>
            <w:tcW w:w="2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Royalty income and fees</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40.4 %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20,830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13,833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50.6 %</w:t>
            </w:r>
          </w:p>
        </w:tc>
      </w:tr>
      <w:tr>
        <w:trPr>
          <w:trHeight w:val="212"/>
        </w:trPr>
        <w:tc>
          <w:tcPr>
            <w:tcW w:w="2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revenues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1,181,268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712,015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469,253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3,412,025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2,097,700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1,314,325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62.7 %</w:t>
            </w: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Cost of revenues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Store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3"/>
        </w:trPr>
        <w:tc>
          <w:tcPr>
            <w:tcW w:w="2700" w:type="dxa"/>
            <w:vAlign w:val="bottom"/>
          </w:tcPr>
          <w:p>
            <w:pPr>
              <w:ind w:left="220"/>
              <w:spacing w:after="0"/>
              <w:rPr>
                <w:sz w:val="20"/>
                <w:szCs w:val="20"/>
                <w:color w:val="auto"/>
              </w:rPr>
            </w:pPr>
            <w:r>
              <w:rPr>
                <w:rFonts w:ascii="Arial" w:cs="Arial" w:eastAsia="Arial" w:hAnsi="Arial"/>
                <w:sz w:val="16"/>
                <w:szCs w:val="16"/>
                <w:color w:val="auto"/>
              </w:rPr>
              <w:t>Cost of rentals and fees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344,623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167,027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177,596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106.3 %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912,531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489,606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422,925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86.4 %</w:t>
            </w:r>
          </w:p>
        </w:tc>
      </w:tr>
      <w:tr>
        <w:trPr>
          <w:trHeight w:val="219"/>
        </w:trPr>
        <w:tc>
          <w:tcPr>
            <w:tcW w:w="2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merchandise sold</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132,847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717,983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421,089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141.8 %</w:t>
            </w:r>
          </w:p>
        </w:tc>
      </w:tr>
      <w:tr>
        <w:trPr>
          <w:trHeight w:val="213"/>
        </w:trPr>
        <w:tc>
          <w:tcPr>
            <w:tcW w:w="2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Cost of installment sales</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10.1 %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18,566</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16,830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10.3 %</w:t>
            </w:r>
          </w:p>
        </w:tc>
      </w:tr>
      <w:tr>
        <w:trPr>
          <w:trHeight w:val="212"/>
        </w:trPr>
        <w:tc>
          <w:tcPr>
            <w:tcW w:w="2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cost of store revenues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578,938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267,917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311,021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1,649,080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803,330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845,750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105.3 %</w:t>
            </w:r>
          </w:p>
        </w:tc>
      </w:tr>
      <w:tr>
        <w:trPr>
          <w:trHeight w:val="213"/>
        </w:trPr>
        <w:tc>
          <w:tcPr>
            <w:tcW w:w="27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w w:val="94"/>
              </w:rPr>
              <w:t>Franchise cost of merchandise sold</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33,570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19,070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76.0 %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96,190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49,632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46,558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93.8 %</w:t>
            </w:r>
          </w:p>
        </w:tc>
      </w:tr>
      <w:tr>
        <w:trPr>
          <w:trHeight w:val="212"/>
        </w:trPr>
        <w:tc>
          <w:tcPr>
            <w:tcW w:w="2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cost of revenues</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612,508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286,987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325,521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1,745,270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852,962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892,308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104.6 %</w:t>
            </w:r>
          </w:p>
        </w:tc>
      </w:tr>
      <w:tr>
        <w:trPr>
          <w:trHeight w:val="207"/>
        </w:trPr>
        <w:tc>
          <w:tcPr>
            <w:tcW w:w="2700" w:type="dxa"/>
            <w:vAlign w:val="bottom"/>
          </w:tcPr>
          <w:p>
            <w:pPr>
              <w:ind w:left="220"/>
              <w:spacing w:after="0"/>
              <w:rPr>
                <w:sz w:val="20"/>
                <w:szCs w:val="20"/>
                <w:color w:val="auto"/>
              </w:rPr>
            </w:pPr>
            <w:r>
              <w:rPr>
                <w:rFonts w:ascii="Arial" w:cs="Arial" w:eastAsia="Arial" w:hAnsi="Arial"/>
                <w:sz w:val="16"/>
                <w:szCs w:val="16"/>
                <w:color w:val="auto"/>
              </w:rPr>
              <w:t>Gross profit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568,760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425,028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143,732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33.8 %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1,666,755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1,244,738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422,017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33.9 %</w:t>
            </w:r>
          </w:p>
        </w:tc>
      </w:tr>
      <w:tr>
        <w:trPr>
          <w:trHeight w:val="219"/>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Store expenses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9"/>
        </w:trPr>
        <w:tc>
          <w:tcPr>
            <w:tcW w:w="2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Labor</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163,945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150,493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479,989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434,216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10.5 %</w:t>
            </w:r>
          </w:p>
        </w:tc>
      </w:tr>
      <w:tr>
        <w:trPr>
          <w:trHeight w:val="213"/>
        </w:trPr>
        <w:tc>
          <w:tcPr>
            <w:tcW w:w="2700" w:type="dxa"/>
            <w:vAlign w:val="bottom"/>
          </w:tcPr>
          <w:p>
            <w:pPr>
              <w:ind w:left="220"/>
              <w:spacing w:after="0"/>
              <w:rPr>
                <w:sz w:val="20"/>
                <w:szCs w:val="20"/>
                <w:color w:val="auto"/>
              </w:rPr>
            </w:pPr>
            <w:r>
              <w:rPr>
                <w:rFonts w:ascii="Arial" w:cs="Arial" w:eastAsia="Arial" w:hAnsi="Arial"/>
                <w:sz w:val="16"/>
                <w:szCs w:val="16"/>
                <w:color w:val="auto"/>
              </w:rPr>
              <w:t>Other store expenses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189,553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140,818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48,735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34.6 %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540,698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463,292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77,406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16.7 %</w:t>
            </w:r>
          </w:p>
        </w:tc>
      </w:tr>
      <w:tr>
        <w:trPr>
          <w:trHeight w:val="219"/>
        </w:trPr>
        <w:tc>
          <w:tcPr>
            <w:tcW w:w="27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General and administrative expenses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149,468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31.5 %</w:t>
            </w:r>
          </w:p>
        </w:tc>
      </w:tr>
      <w:tr>
        <w:trPr>
          <w:trHeight w:val="213"/>
        </w:trPr>
        <w:tc>
          <w:tcPr>
            <w:tcW w:w="270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13,835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13,810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40,794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43,071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9"/>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charges (gains)</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90,179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4,858.8 %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212,095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204,327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2,630.4 %</w:t>
            </w:r>
          </w:p>
        </w:tc>
      </w:tr>
      <w:tr>
        <w:trPr>
          <w:trHeight w:val="206"/>
        </w:trPr>
        <w:tc>
          <w:tcPr>
            <w:tcW w:w="27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501,614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344,841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156,773</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45.5 %</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1,423,044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1,062,041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361,003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34.0 %</w:t>
            </w:r>
          </w:p>
        </w:tc>
      </w:tr>
      <w:tr>
        <w:trPr>
          <w:trHeight w:val="213"/>
        </w:trPr>
        <w:tc>
          <w:tcPr>
            <w:tcW w:w="2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profit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243,711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33.4 %</w:t>
            </w:r>
          </w:p>
        </w:tc>
      </w:tr>
      <w:tr>
        <w:trPr>
          <w:trHeight w:val="213"/>
        </w:trPr>
        <w:tc>
          <w:tcPr>
            <w:tcW w:w="2700" w:type="dxa"/>
            <w:vAlign w:val="bottom"/>
          </w:tcPr>
          <w:p>
            <w:pPr>
              <w:ind w:left="180"/>
              <w:spacing w:after="0"/>
              <w:rPr>
                <w:sz w:val="20"/>
                <w:szCs w:val="20"/>
                <w:color w:val="auto"/>
              </w:rPr>
            </w:pPr>
            <w:r>
              <w:rPr>
                <w:rFonts w:ascii="Arial" w:cs="Arial" w:eastAsia="Arial" w:hAnsi="Arial"/>
                <w:sz w:val="16"/>
                <w:szCs w:val="16"/>
                <w:color w:val="auto"/>
              </w:rPr>
              <w:t>Debt refinancing charges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6,839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15,582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15,582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net</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16,514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516.4 %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52,019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11,397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356.4 %</w:t>
            </w:r>
          </w:p>
        </w:tc>
      </w:tr>
      <w:tr>
        <w:trPr>
          <w:trHeight w:val="206"/>
        </w:trPr>
        <w:tc>
          <w:tcPr>
            <w:tcW w:w="2700" w:type="dxa"/>
            <w:vAlign w:val="bottom"/>
          </w:tcPr>
          <w:p>
            <w:pPr>
              <w:ind w:left="400"/>
              <w:spacing w:after="0"/>
              <w:rPr>
                <w:sz w:val="20"/>
                <w:szCs w:val="20"/>
                <w:color w:val="auto"/>
              </w:rPr>
            </w:pPr>
            <w:r>
              <w:rPr>
                <w:rFonts w:ascii="Arial" w:cs="Arial" w:eastAsia="Arial" w:hAnsi="Arial"/>
                <w:sz w:val="16"/>
                <w:szCs w:val="16"/>
                <w:color w:val="auto"/>
              </w:rPr>
              <w:t>Earnings before income taxes</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40,595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76,989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(36,394)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176,110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171,300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2.8 %</w:t>
            </w:r>
          </w:p>
        </w:tc>
      </w:tr>
      <w:tr>
        <w:trPr>
          <w:trHeight w:val="216"/>
        </w:trPr>
        <w:tc>
          <w:tcPr>
            <w:tcW w:w="2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19,328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12,959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50,982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19,485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161.6 %</w:t>
            </w:r>
          </w:p>
        </w:tc>
      </w:tr>
      <w:tr>
        <w:trPr>
          <w:trHeight w:val="213"/>
        </w:trPr>
        <w:tc>
          <w:tcPr>
            <w:tcW w:w="2700" w:type="dxa"/>
            <w:vAlign w:val="bottom"/>
          </w:tcPr>
          <w:p>
            <w:pPr>
              <w:ind w:left="220"/>
              <w:spacing w:after="0"/>
              <w:rPr>
                <w:sz w:val="20"/>
                <w:szCs w:val="20"/>
                <w:color w:val="auto"/>
              </w:rPr>
            </w:pPr>
            <w:r>
              <w:rPr>
                <w:rFonts w:ascii="Arial" w:cs="Arial" w:eastAsia="Arial" w:hAnsi="Arial"/>
                <w:sz w:val="16"/>
                <w:szCs w:val="16"/>
                <w:color w:val="auto"/>
              </w:rPr>
              <w:t>Net earnings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21,267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64,030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(42,763)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125,128</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151,815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20"/>
        </w:trPr>
        <w:tc>
          <w:tcPr>
            <w:tcW w:w="2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Three Months Ended September 30, 2021, compared to Three Months Ended September 30, 2020</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Store Revenue. </w:t>
      </w:r>
      <w:r>
        <w:rPr>
          <w:rFonts w:ascii="Arial" w:cs="Arial" w:eastAsia="Arial" w:hAnsi="Arial"/>
          <w:sz w:val="18"/>
          <w:szCs w:val="18"/>
          <w:color w:val="auto"/>
        </w:rPr>
        <w:t>Total store revenue increased by $452.8 million, or 65.8%, to $1,141.0 million for the three months ended September 30, 2021, from</w:t>
      </w:r>
      <w:r>
        <w:rPr>
          <w:rFonts w:ascii="Arial" w:cs="Arial" w:eastAsia="Arial" w:hAnsi="Arial"/>
          <w:sz w:val="18"/>
          <w:szCs w:val="18"/>
          <w:i w:val="1"/>
          <w:iCs w:val="1"/>
          <w:color w:val="auto"/>
        </w:rPr>
        <w:t xml:space="preserve"> </w:t>
      </w:r>
      <w:r>
        <w:rPr>
          <w:rFonts w:ascii="Arial" w:cs="Arial" w:eastAsia="Arial" w:hAnsi="Arial"/>
          <w:sz w:val="18"/>
          <w:szCs w:val="18"/>
          <w:color w:val="auto"/>
        </w:rPr>
        <w:t>$688.2 million for the three months ended September 30, 2020. This increase was primarily due to increases of approximately $421.8 million and $26.8 million in revenues in the Acima and Rent-A-Center Business segments, respectively, as discussed further in the section “Segment Performance”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1" w:name="page32"/>
    <w:bookmarkEnd w:id="31"/>
    <w:p>
      <w:pPr>
        <w:jc w:val="both"/>
        <w:spacing w:after="0" w:line="275" w:lineRule="auto"/>
        <w:rPr>
          <w:sz w:val="20"/>
          <w:szCs w:val="20"/>
          <w:color w:val="auto"/>
        </w:rPr>
      </w:pPr>
      <w:r>
        <w:rPr>
          <w:rFonts w:ascii="Arial" w:cs="Arial" w:eastAsia="Arial" w:hAnsi="Arial"/>
          <w:sz w:val="17"/>
          <w:szCs w:val="17"/>
          <w:i w:val="1"/>
          <w:iCs w:val="1"/>
          <w:color w:val="auto"/>
        </w:rPr>
        <w:t xml:space="preserve">Cost of Rentals and Fees. </w:t>
      </w:r>
      <w:r>
        <w:rPr>
          <w:rFonts w:ascii="Arial" w:cs="Arial" w:eastAsia="Arial" w:hAnsi="Arial"/>
          <w:sz w:val="17"/>
          <w:szCs w:val="17"/>
          <w:color w:val="auto"/>
        </w:rPr>
        <w:t>Cost of rentals and fees consists primarily of depreciation of rental merchandise. Cost of rentals and fees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2021, increased by $177.6 million, or 106.3%, to $344.6 million as compared to $167.0 million in 2020. This increase in cost of rentals and fees was primarily attributable to increases of $167.7 million and $9.0 million in the Acima and Rent-A-Center Business segments, respectively, as discussed further in the section “Segment Performance” below. Cost of rentals and fees expressed as a percentage of rentals and fees revenue was 37.0% for the three months ended September 30, 2021, as compared to 28.8% in 2020.</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Cost of Merchandise Sold. </w:t>
      </w:r>
      <w:r>
        <w:rPr>
          <w:rFonts w:ascii="Arial" w:cs="Arial" w:eastAsia="Arial" w:hAnsi="Arial"/>
          <w:sz w:val="18"/>
          <w:szCs w:val="18"/>
          <w:color w:val="auto"/>
        </w:rPr>
        <w:t>Cost of merchandise sold increased by $132.8 million, or 139.6%, to $228.0 million for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from $95.2 million in 2020, primarily attributable to an increase of $139.2 million in the Acima segment, partially offset by a decrease of $6.6 million in the Rent-A-Center Business segment as discussed further in the section “Segment Performance” below. The gross margin percent of merchandise sales decreased to (18.8)% for the three months ended September 30, 2021, from (4.3)% in 2020.</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by $143.8 million, or 33.8%, to $568.8 million for the three months ended September 30, 2021, from $425.0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due primarily to increases of $114.8 million and $23.8 million in the Acima and Rent-A-Center Business segments, respectively, as discussed further in the section “Segment Performance” below. Gross profit as a percentage of total revenue decreased to 48.1% for the three months ended September 30, 2021, as compared to 59.7% in 2020.</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Store Labor. </w:t>
      </w:r>
      <w:r>
        <w:rPr>
          <w:rFonts w:ascii="Arial" w:cs="Arial" w:eastAsia="Arial" w:hAnsi="Arial"/>
          <w:sz w:val="18"/>
          <w:szCs w:val="18"/>
          <w:color w:val="auto"/>
        </w:rPr>
        <w:t>Store labor increased by $13.4 million, or 8.9%, to $163.9 million, for the three months ended September 30, 2021, as compared to $150.5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2020, primarily due to increases of $7.0 million and $5.7 million in the Acima and Rent-A-Center Business segments, respectively, as discussed further in the section “Segment Performance” below. Store labor expressed as a percentage of total store revenue was 14.4% for the three months ended September 30, 2021, as compared to 21.9% in 2020.</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Store Expenses. </w:t>
      </w:r>
      <w:r>
        <w:rPr>
          <w:rFonts w:ascii="Arial" w:cs="Arial" w:eastAsia="Arial" w:hAnsi="Arial"/>
          <w:sz w:val="18"/>
          <w:szCs w:val="18"/>
          <w:color w:val="auto"/>
        </w:rPr>
        <w:t>Other store expenses increased by $48.8 million, or 34.6%, to $189.6 million for the three months ended September 30, 2021,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$140.8 million in 2020, primarily due to increases of $39.7 million and $8.0 million in the Acima and Rent-A-Center Business segments, respectively, as discussed further in the section “Segment Performance” below. Other store expenses expressed as a percentage of total store revenue were 16.6% for the three months ended September 30, 2021, compared to 20.5% in 2020.</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increased by $4.4 million, or 10.5%, to $46.0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2021, as compared to $41.6 million in 2020, primarily due to higher labor overhead as a result of the acquisition of Acima Holdings and higher incentive compensation in 2021, combined with the impact of cost savings initiatives implemented in response to COVID-19 in 2020. General and administrative expenses expressed as a percentage of total revenue were 3.9% for the three months ended September 30, 2021, compared to 5.8% in 2020.</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Other Charges (Gains). </w:t>
      </w:r>
      <w:r>
        <w:rPr>
          <w:rFonts w:ascii="Arial" w:cs="Arial" w:eastAsia="Arial" w:hAnsi="Arial"/>
          <w:sz w:val="18"/>
          <w:szCs w:val="18"/>
          <w:color w:val="auto"/>
        </w:rPr>
        <w:t>Other charges (gains) increased by $90.2 million, to $88.3 million for the three months ended September 30, 2021,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$(1.9) million in 2020. Other charges (gains) for the three months ended September 30, 2021 primarily included stock compensation expense related to the vesting of a portion of the equity consideration issued in the acquisition of Acima Holdings, depreciation and amortization of acquired software and intangible assets, legal settlement reserves, and other one-time transaction and integration costs related to the acquisition of Acima Holdings. Other charges (gains) for the three months ended September 30, 2020 primarily related to proceeds from the sale of a class action claim, partially offset by asset impairments, store closure impacts, and cost savings initiatives.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Operating Profit. </w:t>
      </w:r>
      <w:r>
        <w:rPr>
          <w:rFonts w:ascii="Arial" w:cs="Arial" w:eastAsia="Arial" w:hAnsi="Arial"/>
          <w:sz w:val="18"/>
          <w:szCs w:val="18"/>
          <w:color w:val="auto"/>
        </w:rPr>
        <w:t>Operating profit decreased by $13.1 million, to $67.1 million for the three months ended September 30, 2021,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$80.2 million in 2020, primarily due to increases in general and administrative expenses and other charges, partially offset by increases in gross profit, in each case as described above. Operating profit expressed as a percentage of total revenue was 5.7% for the three months ended September 30, 2021, compared to 11.3% in 2020.</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for the three months ended September 30, 2021 was $19.3 million, as compared to $13.0 million in 2020.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tax rate was 47.6% for the three months ended September 30, 2021, compared to 16.8% in 2020.</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Nine Months Ended September 30, 2021, compared to Nine Months Ended September 30, 2020</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Store Revenue. </w:t>
      </w:r>
      <w:r>
        <w:rPr>
          <w:rFonts w:ascii="Arial" w:cs="Arial" w:eastAsia="Arial" w:hAnsi="Arial"/>
          <w:sz w:val="17"/>
          <w:szCs w:val="17"/>
          <w:color w:val="auto"/>
        </w:rPr>
        <w:t>Total store revenue increased by $1,260.6 million, or 62.0%, to $3,294.9 million for the nine months ended September 30, 2021, from</w:t>
      </w:r>
      <w:r>
        <w:rPr>
          <w:rFonts w:ascii="Arial" w:cs="Arial" w:eastAsia="Arial" w:hAnsi="Arial"/>
          <w:sz w:val="17"/>
          <w:szCs w:val="17"/>
          <w:i w:val="1"/>
          <w:iCs w:val="1"/>
          <w:color w:val="auto"/>
        </w:rPr>
        <w:t xml:space="preserve"> </w:t>
      </w:r>
      <w:r>
        <w:rPr>
          <w:rFonts w:ascii="Arial" w:cs="Arial" w:eastAsia="Arial" w:hAnsi="Arial"/>
          <w:sz w:val="17"/>
          <w:szCs w:val="17"/>
          <w:color w:val="auto"/>
        </w:rPr>
        <w:t>$2,034.3 million for the nine months ended September 30, 2020. This increase was primarily due to increases of approximately $1,107.1 million and $143.3 million in the Acima and Rent-A-Center Business segments, respectively, as discussed further in the section “Segment Performance”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2" w:name="page33"/>
    <w:bookmarkEnd w:id="32"/>
    <w:p>
      <w:pPr>
        <w:jc w:val="both"/>
        <w:spacing w:after="0" w:line="275" w:lineRule="auto"/>
        <w:rPr>
          <w:sz w:val="20"/>
          <w:szCs w:val="20"/>
          <w:color w:val="auto"/>
        </w:rPr>
      </w:pPr>
      <w:r>
        <w:rPr>
          <w:rFonts w:ascii="Arial" w:cs="Arial" w:eastAsia="Arial" w:hAnsi="Arial"/>
          <w:sz w:val="17"/>
          <w:szCs w:val="17"/>
          <w:i w:val="1"/>
          <w:iCs w:val="1"/>
          <w:color w:val="auto"/>
        </w:rPr>
        <w:t xml:space="preserve">Cost of Rentals and Fees. </w:t>
      </w:r>
      <w:r>
        <w:rPr>
          <w:rFonts w:ascii="Arial" w:cs="Arial" w:eastAsia="Arial" w:hAnsi="Arial"/>
          <w:sz w:val="17"/>
          <w:szCs w:val="17"/>
          <w:color w:val="auto"/>
        </w:rPr>
        <w:t>Cost of rentals and fees consists primarily of depreciation of rental merchandise. Cost of rentals and fees for the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2021, increased by $422.9 million, or 86.4%, to $912.5 million as compared to $489.6 million in 2020. This increase in cost of rentals and fees was primarily attributable to increases of $388.4 million and $32.4 million in the Acima and Rent-A-Center Business segments, respectively, as discussed further in the section “Segment Performance” below. Cost of rentals and fees expressed as a percentage of rentals and fees revenue increased to 35.2% for the nine months ended September 30, 2021 as compared to 29.1% in 2020.</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Cost of Merchandise Sold. </w:t>
      </w:r>
      <w:r>
        <w:rPr>
          <w:rFonts w:ascii="Arial" w:cs="Arial" w:eastAsia="Arial" w:hAnsi="Arial"/>
          <w:sz w:val="18"/>
          <w:szCs w:val="18"/>
          <w:color w:val="auto"/>
        </w:rPr>
        <w:t>Cost of merchandise sold increased by $421.1 million, or 141.8%, to $718.0 million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from $296.9 million in 2020, primarily attributable to increases of $418.0 million and $2.5 million in the Acima and Rent-A-Center Business segments, respectively, as discussed further in the section “Segment Performance” below. The gross margin percent of merchandise sales decreased to (11.1)% for the nine months ended September 30, 2021, from 1.3% in 2020.</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by $422.1 million, or 33.9%, to $1,666.8 million for the nine months ended September 30, 2021, from $1,244.7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2020, due primarily to increases of $300.7 million and $106.6 million in the Acima and Rent-A-Center Business segments, respectively, as discussed further in the section “Segment Performance” below. Gross profit as a percentage of total revenue decreased to 48.8% for the nine months ended September 30, 2021, as compared to 59.3% in 2020.</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Store Labor. </w:t>
      </w:r>
      <w:r>
        <w:rPr>
          <w:rFonts w:ascii="Arial" w:cs="Arial" w:eastAsia="Arial" w:hAnsi="Arial"/>
          <w:sz w:val="18"/>
          <w:szCs w:val="18"/>
          <w:color w:val="auto"/>
        </w:rPr>
        <w:t>Store labor increased by $45.8 million, or 10.5%, to $480.0 million, for the nine months ended September 30, 2021, as compared to $434.2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2020, primarily attributable to increases of $27.6 million and $16.3 million in the Acima and Rent-A-Center Business segments, respectively, as discussed further in the section “Segment Performance” below. Store labor expressed as a percentage of total store revenue was 14.6% for the nine months ended September 30, 2021, as compared to 21.3% in 2020.</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Other Store Expenses. </w:t>
      </w:r>
      <w:r>
        <w:rPr>
          <w:rFonts w:ascii="Arial" w:cs="Arial" w:eastAsia="Arial" w:hAnsi="Arial"/>
          <w:sz w:val="17"/>
          <w:szCs w:val="17"/>
          <w:color w:val="auto"/>
        </w:rPr>
        <w:t>Other store expenses increased by $77.4 million, to $540.7 million for the nine months ended September 30, 2021,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$463.3 million in 2020, primarily attributable to an increase of $86.1 million in the Acima segment, partially offset by a decrease of $11.3 million in the Rent-A-Center Business segment, as discussed further in the section “Segment Performance” below. Other store expenses expressed as a percentage of total store revenue were 16.4% for the nine months ended September 30, 2021, compared to 22.8% in 2020.</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increased by $35.8 million, or 31.5%, to $149.5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2021, as compared to $113.7 million in 2020, primarily due to higher labor overhead as a result of the acquisition of Acima Holdings and higher incentive compensation in 2021, combined with the impact of cost savings initiatives implemented in response to COVID-19 in 2020. General and administrative expenses expressed as a percentage of total revenue were 4.4% for the nine months ended September 30, 2021, compared to 5.4% in 2020.</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Other Charges (Gains). </w:t>
      </w:r>
      <w:r>
        <w:rPr>
          <w:rFonts w:ascii="Arial" w:cs="Arial" w:eastAsia="Arial" w:hAnsi="Arial"/>
          <w:sz w:val="17"/>
          <w:szCs w:val="17"/>
          <w:color w:val="auto"/>
        </w:rPr>
        <w:t>Other charges (gains) increased by $204.3 million, to $212.1 million for the nine months ended September 30, 2021,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$7.8 million in 2020. Other charges for the nine months ended September 30, 2021 primarily included stock compensation expense related to the vesting of a portion of the equity consideration issued in the acquisition of Acima Holdings, depreciation and amortization of acquired software and intangible assets, legal settlement reserves, and one-time transaction and integration costs related to the acquisition of Acima Holdings. Other charges (gains) for the nine months ended September 30, 2020 primarily related to legal settlement and state sales tax assessment reserves, cost savings initiatives, inventory losses resulting from damage related to social unrest, employee payroll and sanitation costs in connection with COVID-19, and store closure impacts, partially offset by proceeds from the sale of a class action claim, rent abatements and insurance proceeds.</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Operating Profit. </w:t>
      </w:r>
      <w:r>
        <w:rPr>
          <w:rFonts w:ascii="Arial" w:cs="Arial" w:eastAsia="Arial" w:hAnsi="Arial"/>
          <w:sz w:val="18"/>
          <w:szCs w:val="18"/>
          <w:color w:val="auto"/>
        </w:rPr>
        <w:t>Operating profit increased by $61.0 million, to $243.7 million for the nine months ended September 30, 2021,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$182.7 million in 2020, primarily due to the increase in gross profit, partially offset by increases in general and administrative expenses and other charges, as described above. Operating profit expressed as a percentage of total revenue was 7.1% for the nine months ended September 30, 2021, compared to 8.7% in 2020.</w:t>
      </w:r>
    </w:p>
    <w:p>
      <w:pPr>
        <w:spacing w:after="0" w:line="7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for the nine months ended September 30, 2021 was $51.0 million, as compared to $19.5 million in 2020.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tax rate was 28.9% for the nine months ended September 30, 2021, compared to 11.4% in 2020. The increase in the effective tax rate is primarily related to the tax benefit of net operating loss carrybacks at a 35% tax rate as a result of changes from the Coronavirus Aid, Relief, and Economic Security Act (the “CARES Act”) in 2020 in response to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b w:val="1"/>
          <w:bCs w:val="1"/>
          <w:i w:val="1"/>
          <w:iCs w:val="1"/>
          <w:color w:val="auto"/>
        </w:rPr>
        <w:t>Segment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Rent-A-Center Business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5"/>
          </w:tcPr>
          <w:p>
            <w:pPr>
              <w:ind w:left="38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100" w:type="dxa"/>
            <w:vAlign w:val="bottom"/>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100" w:type="dxa"/>
            <w:vAlign w:val="bottom"/>
            <w:gridSpan w:val="3"/>
          </w:tcPr>
          <w:p>
            <w:pPr>
              <w:ind w:left="56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1"/>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500,986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474,223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5.6 %  $</w:t>
            </w: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1,531,686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1,388,380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10.3 %</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8"/>
                <w:szCs w:val="18"/>
                <w:color w:val="auto"/>
              </w:rPr>
            </w:pPr>
          </w:p>
        </w:tc>
        <w:tc>
          <w:tcPr>
            <w:tcW w:w="780" w:type="dxa"/>
            <w:vAlign w:val="bottom"/>
          </w:tcPr>
          <w:p>
            <w:pPr>
              <w:ind w:left="180"/>
              <w:spacing w:after="0"/>
              <w:rPr>
                <w:sz w:val="20"/>
                <w:szCs w:val="20"/>
                <w:color w:val="auto"/>
              </w:rPr>
            </w:pPr>
            <w:r>
              <w:rPr>
                <w:rFonts w:ascii="Arial" w:cs="Arial" w:eastAsia="Arial" w:hAnsi="Arial"/>
                <w:sz w:val="16"/>
                <w:szCs w:val="16"/>
                <w:color w:val="auto"/>
              </w:rPr>
              <w:t>356,590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332,742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23,848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7.2 %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4"/>
              <w:spacing w:after="0"/>
              <w:rPr>
                <w:sz w:val="20"/>
                <w:szCs w:val="20"/>
                <w:color w:val="auto"/>
              </w:rPr>
            </w:pPr>
            <w:r>
              <w:rPr>
                <w:rFonts w:ascii="Arial" w:cs="Arial" w:eastAsia="Arial" w:hAnsi="Arial"/>
                <w:sz w:val="16"/>
                <w:szCs w:val="16"/>
                <w:color w:val="auto"/>
              </w:rPr>
              <w:t>1,072,946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966,347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106,599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11.0 %</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109,272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357,036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253,025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41.1 %</w:t>
            </w:r>
          </w:p>
        </w:tc>
        <w:tc>
          <w:tcPr>
            <w:tcW w:w="0" w:type="dxa"/>
            <w:vAlign w:val="bottom"/>
          </w:tcPr>
          <w:p>
            <w:pPr>
              <w:spacing w:after="0"/>
              <w:rPr>
                <w:sz w:val="1"/>
                <w:szCs w:val="1"/>
                <w:color w:val="auto"/>
              </w:rPr>
            </w:pPr>
          </w:p>
        </w:tc>
      </w:tr>
      <w:tr>
        <w:trPr>
          <w:trHeight w:val="213"/>
        </w:trPr>
        <w:tc>
          <w:tcPr>
            <w:tcW w:w="2580" w:type="dxa"/>
            <w:vAlign w:val="bottom"/>
          </w:tcPr>
          <w:p>
            <w:pPr>
              <w:ind w:left="180"/>
              <w:spacing w:after="0"/>
              <w:rPr>
                <w:sz w:val="20"/>
                <w:szCs w:val="20"/>
                <w:color w:val="auto"/>
              </w:rPr>
            </w:pPr>
            <w:r>
              <w:rPr>
                <w:rFonts w:ascii="Arial" w:cs="Arial" w:eastAsia="Arial" w:hAnsi="Arial"/>
                <w:sz w:val="16"/>
                <w:szCs w:val="16"/>
                <w:color w:val="auto"/>
              </w:rPr>
              <w:t>Change in same store revenue</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12.3 %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17.3 %</w:t>
            </w:r>
          </w:p>
        </w:tc>
        <w:tc>
          <w:tcPr>
            <w:tcW w:w="0" w:type="dxa"/>
            <w:vAlign w:val="bottom"/>
          </w:tcPr>
          <w:p>
            <w:pPr>
              <w:spacing w:after="0"/>
              <w:rPr>
                <w:sz w:val="1"/>
                <w:szCs w:val="1"/>
                <w:color w:val="auto"/>
              </w:rPr>
            </w:pPr>
          </w:p>
        </w:tc>
      </w:tr>
      <w:tr>
        <w:trPr>
          <w:trHeight w:val="169"/>
        </w:trPr>
        <w:tc>
          <w:tcPr>
            <w:tcW w:w="25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Stores in same store revenue</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1,632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261"/>
              <w:spacing w:after="0"/>
              <w:rPr>
                <w:sz w:val="20"/>
                <w:szCs w:val="20"/>
                <w:color w:val="auto"/>
              </w:rPr>
            </w:pPr>
            <w:r>
              <w:rPr>
                <w:rFonts w:ascii="Arial" w:cs="Arial" w:eastAsia="Arial" w:hAnsi="Arial"/>
                <w:sz w:val="16"/>
                <w:szCs w:val="16"/>
                <w:color w:val="auto"/>
                <w:w w:val="94"/>
              </w:rPr>
              <w:t>1,632</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180"/>
              <w:spacing w:after="0" w:line="213" w:lineRule="exact"/>
              <w:rPr>
                <w:sz w:val="20"/>
                <w:szCs w:val="20"/>
                <w:color w:val="auto"/>
              </w:rPr>
            </w:pPr>
            <w:r>
              <w:rPr>
                <w:rFonts w:ascii="Arial" w:cs="Arial" w:eastAsia="Arial" w:hAnsi="Arial"/>
                <w:sz w:val="16"/>
                <w:szCs w:val="16"/>
                <w:color w:val="auto"/>
              </w:rPr>
              <w:t>calculation</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40" w:firstLine="8"/>
        <w:spacing w:after="0" w:line="277" w:lineRule="auto"/>
        <w:tabs>
          <w:tab w:leader="none" w:pos="127" w:val="left"/>
        </w:tabs>
        <w:numPr>
          <w:ilvl w:val="0"/>
          <w:numId w:val="13"/>
        </w:numPr>
        <w:rPr>
          <w:rFonts w:ascii="Arial" w:cs="Arial" w:eastAsia="Arial" w:hAnsi="Arial"/>
          <w:sz w:val="14"/>
          <w:szCs w:val="14"/>
          <w:color w:val="auto"/>
          <w:vertAlign w:val="superscript"/>
        </w:rPr>
      </w:pPr>
      <w:r>
        <w:rPr>
          <w:rFonts w:ascii="Arial" w:cs="Arial" w:eastAsia="Arial" w:hAnsi="Arial"/>
          <w:sz w:val="11"/>
          <w:szCs w:val="11"/>
          <w:color w:val="auto"/>
        </w:rPr>
        <w:t>Same store sales generally represents revenue earned in stores that were operated by us for 13 months or more and are reported on a constant currency basis as a percentage of total revenue earned in stores of the segment during the indicated period. We exclude from the same store sales base any store that receives a certain level of customer accounts from closed stores or acquisitions. The receiving store will be eligible for inclusion in the same store sales base in the 30th full month following account transfer. Due to the COVID-19 pandemic and related temporary store closures, all 32 stores in Puerto Rico were excluded starting in March 2020 and will remain excluded through September 2021.</w:t>
      </w:r>
    </w:p>
    <w:p>
      <w:pPr>
        <w:spacing w:after="0" w:line="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The increase in revenue for the three and nine months ended September 30, 2021, as compared to 2020, was primarily due to an increase in same</w:t>
      </w:r>
      <w:r>
        <w:rPr>
          <w:rFonts w:ascii="Arial" w:cs="Arial" w:eastAsia="Arial" w:hAnsi="Arial"/>
          <w:sz w:val="18"/>
          <w:szCs w:val="18"/>
          <w:i w:val="1"/>
          <w:iCs w:val="1"/>
          <w:color w:val="auto"/>
        </w:rPr>
        <w:t xml:space="preserve"> </w:t>
      </w:r>
      <w:r>
        <w:rPr>
          <w:rFonts w:ascii="Arial" w:cs="Arial" w:eastAsia="Arial" w:hAnsi="Arial"/>
          <w:sz w:val="18"/>
          <w:szCs w:val="18"/>
          <w:color w:val="auto"/>
        </w:rPr>
        <w:t>store sales revenue driven by growth in e-commerce sales and higher portfolio balance, partially offset by the impact of refranchising approximately 100 stores in California in the fourth quarter of 2020.</w:t>
      </w:r>
    </w:p>
    <w:p>
      <w:pPr>
        <w:spacing w:after="0" w:line="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for the three and nine months ended September 30, 2021, as compared to 2020, driven primarily by increased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as discussed above. Gross profit as a percentage of segment revenues was 71.2% and 70.0% for the three and nine months ended September 30, 2021, as compared to 70.2% and 69.6% for the corresponding period in 2020.</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Operating Profit. </w:t>
      </w:r>
      <w:r>
        <w:rPr>
          <w:rFonts w:ascii="Arial" w:cs="Arial" w:eastAsia="Arial" w:hAnsi="Arial"/>
          <w:sz w:val="18"/>
          <w:szCs w:val="18"/>
          <w:color w:val="auto"/>
        </w:rPr>
        <w:t>Operating profit as a percentage of segment revenues was 21.8% and 23.3% for the three and nine months ended September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21.1% and 18.2% for the respective periods in 2020. The increase in operating margin for the three and nine months ended September 30, 2021, as compared to 2020, was driven primarily by higher revenues, partially offset by higher loss rates and higher labor expense. Charge-offs in our Rent-A-Center Business lease-to-own stores due to customer stolen merchandise, expressed as a percentage of Rent-A-Center Business lease-to-own revenues, were approximately 3.4% and 3.1% for the three and nine months ended September 30, 2021, compared to 2.0% and 3.2% for the respective periods in 2020. Charge-offs in our Rent-A-Center Business lease-to-own stores due to other merchandise losses, expressed as a percentage of Rent-A-Center Business lease-to-own revenues, were approximately 1.8% and 1.5% for the three and nine months ended September 30, 2021, compared to approximately 1.4% for both the respective periods in 2020. Other merchandise losses include unrepairable and missing merchandise, and loss/damage waiver claims.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Acima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Nine Months Ended</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5"/>
        </w:trPr>
        <w:tc>
          <w:tcPr>
            <w:tcW w:w="2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200" w:type="dxa"/>
            <w:vAlign w:val="bottom"/>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280" w:type="dxa"/>
            <w:vAlign w:val="bottom"/>
            <w:gridSpan w:val="3"/>
          </w:tcPr>
          <w:p>
            <w:pPr>
              <w:ind w:left="68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6"/>
                <w:szCs w:val="16"/>
                <w:color w:val="auto"/>
              </w:rPr>
            </w:pPr>
          </w:p>
        </w:tc>
      </w:tr>
      <w:tr>
        <w:trPr>
          <w:trHeight w:val="188"/>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r>
      <w:tr>
        <w:trPr>
          <w:trHeight w:val="211"/>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623,445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421,786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209.2 %  $</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1,716,174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609,029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1,107,145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181.8 %</w:t>
            </w: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193,527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78,727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114,800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6"/>
                <w:szCs w:val="16"/>
                <w:color w:val="auto"/>
                <w:w w:val="95"/>
              </w:rPr>
              <w:t>145.8 %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539,181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238,433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300,748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126.1 %</w:t>
            </w: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222.8 %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40,528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257.3 %</w:t>
            </w:r>
          </w:p>
        </w:tc>
      </w:tr>
    </w:tbl>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The increase in revenue for the three and nine months ended September 30, 2021 compared to 2020, was driven primarily by the acquisition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Acima Holdings.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as a percentage of segment revenues decreased to 31.0% and 31.4% for the three and nine months ended September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39.0% and 39.1% for the respective periods in 2020. Gross profit margin decreased for the three and nine months ended September 30, 2021, compared to 2020, primarily due to a higher mix of rental agreements generated from our virtual business model, driven by the acquisition of Acima Holdings.</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Operating Profit. </w:t>
      </w:r>
      <w:r>
        <w:rPr>
          <w:rFonts w:ascii="Arial" w:cs="Arial" w:eastAsia="Arial" w:hAnsi="Arial"/>
          <w:sz w:val="18"/>
          <w:szCs w:val="18"/>
          <w:color w:val="auto"/>
        </w:rPr>
        <w:t>Operating profit as a percentage of segment revenues increased to 8.3% and 8.4% for the three and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compared to 8.0% and 6.7% for the respective periods in 2020. Operating profit margin increased for the three and nine months ended September 30, 2021, as compared to 2020, primarily driven by higher revenues and lower merchandise losses; partially offset by increases in operating expenses due to the acquisition of Acima Holdings, including amortization of acquired intangible assets. Charge-offs in our Acima locations due to customer stolen merchandise,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4" w:name="page35"/>
    <w:bookmarkEnd w:id="34"/>
    <w:p>
      <w:pPr>
        <w:ind w:right="200"/>
        <w:spacing w:after="0" w:line="275" w:lineRule="auto"/>
        <w:rPr>
          <w:sz w:val="20"/>
          <w:szCs w:val="20"/>
          <w:color w:val="auto"/>
        </w:rPr>
      </w:pPr>
      <w:r>
        <w:rPr>
          <w:rFonts w:ascii="Arial" w:cs="Arial" w:eastAsia="Arial" w:hAnsi="Arial"/>
          <w:sz w:val="17"/>
          <w:szCs w:val="17"/>
          <w:color w:val="auto"/>
        </w:rPr>
        <w:t>expressed as a percentage of revenues, were approximately 9.3% and 8.9% for the three and nine months ended September 30, 2021, compared to 11.3% and 13.9% for the respective periods in 2020. Excluding incremental charge-offs recorded to Other Charges, attributable to the conversion of Preferred Lease locations to the Acima platform, charge-offs due to customer stolen merchandise were 8.7% of segment revenue for the quarter. Charge-offs in our Acima locations due to other merchandise losses, expressed as a percentage of revenues, were approximately 0.0% and 0.1% for the nine months ended September 30, 2021, compared to 0.5% and 0.4% for the respective periods in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Mexico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Nine Months Ended</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140" w:type="dxa"/>
            <w:vAlign w:val="bottom"/>
            <w:gridSpan w:val="3"/>
          </w:tcPr>
          <w:p>
            <w:pPr>
              <w:ind w:left="56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140" w:type="dxa"/>
            <w:vAlign w:val="bottom"/>
            <w:gridSpan w:val="3"/>
          </w:tcPr>
          <w:p>
            <w:pPr>
              <w:ind w:left="56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1"/>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15,917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30.9 %  $</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45,670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25.8 %</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8"/>
                <w:szCs w:val="18"/>
                <w:color w:val="auto"/>
              </w:rPr>
            </w:pPr>
          </w:p>
        </w:tc>
        <w:tc>
          <w:tcPr>
            <w:tcW w:w="740" w:type="dxa"/>
            <w:vAlign w:val="bottom"/>
          </w:tcPr>
          <w:p>
            <w:pPr>
              <w:jc w:val="right"/>
              <w:ind w:right="4"/>
              <w:spacing w:after="0"/>
              <w:rPr>
                <w:sz w:val="20"/>
                <w:szCs w:val="20"/>
                <w:color w:val="auto"/>
              </w:rPr>
            </w:pPr>
            <w:r>
              <w:rPr>
                <w:rFonts w:ascii="Arial" w:cs="Arial" w:eastAsia="Arial" w:hAnsi="Arial"/>
                <w:sz w:val="16"/>
                <w:szCs w:val="16"/>
                <w:color w:val="auto"/>
              </w:rPr>
              <w:t>11,293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8,655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ind w:left="240"/>
              <w:spacing w:after="0"/>
              <w:rPr>
                <w:sz w:val="20"/>
                <w:szCs w:val="20"/>
                <w:color w:val="auto"/>
              </w:rPr>
            </w:pPr>
            <w:r>
              <w:rPr>
                <w:rFonts w:ascii="Arial" w:cs="Arial" w:eastAsia="Arial" w:hAnsi="Arial"/>
                <w:sz w:val="16"/>
                <w:szCs w:val="16"/>
                <w:color w:val="auto"/>
                <w:w w:val="92"/>
              </w:rPr>
              <w:t>30.5 %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4"/>
              <w:spacing w:after="0"/>
              <w:rPr>
                <w:sz w:val="20"/>
                <w:szCs w:val="20"/>
                <w:color w:val="auto"/>
              </w:rPr>
            </w:pPr>
            <w:r>
              <w:rPr>
                <w:rFonts w:ascii="Arial" w:cs="Arial" w:eastAsia="Arial" w:hAnsi="Arial"/>
                <w:sz w:val="16"/>
                <w:szCs w:val="16"/>
                <w:color w:val="auto"/>
              </w:rPr>
              <w:t>32,323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25,615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6,708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26.2 %</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2,285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2"/>
              </w:rPr>
              <w:t>32.5 %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6,659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77.9 %</w:t>
            </w:r>
          </w:p>
        </w:tc>
        <w:tc>
          <w:tcPr>
            <w:tcW w:w="0" w:type="dxa"/>
            <w:vAlign w:val="bottom"/>
          </w:tcPr>
          <w:p>
            <w:pPr>
              <w:spacing w:after="0"/>
              <w:rPr>
                <w:sz w:val="1"/>
                <w:szCs w:val="1"/>
                <w:color w:val="auto"/>
              </w:rPr>
            </w:pPr>
          </w:p>
        </w:tc>
      </w:tr>
      <w:tr>
        <w:trPr>
          <w:trHeight w:val="213"/>
        </w:trPr>
        <w:tc>
          <w:tcPr>
            <w:tcW w:w="2580" w:type="dxa"/>
            <w:vAlign w:val="bottom"/>
          </w:tcPr>
          <w:p>
            <w:pPr>
              <w:ind w:left="180"/>
              <w:spacing w:after="0"/>
              <w:rPr>
                <w:sz w:val="20"/>
                <w:szCs w:val="20"/>
                <w:color w:val="auto"/>
              </w:rPr>
            </w:pPr>
            <w:r>
              <w:rPr>
                <w:rFonts w:ascii="Arial" w:cs="Arial" w:eastAsia="Arial" w:hAnsi="Arial"/>
                <w:sz w:val="16"/>
                <w:szCs w:val="16"/>
                <w:color w:val="auto"/>
              </w:rPr>
              <w:t>Change in same store revenue</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ind w:left="240"/>
              <w:spacing w:after="0"/>
              <w:rPr>
                <w:sz w:val="20"/>
                <w:szCs w:val="20"/>
                <w:color w:val="auto"/>
              </w:rPr>
            </w:pPr>
            <w:r>
              <w:rPr>
                <w:rFonts w:ascii="Arial" w:cs="Arial" w:eastAsia="Arial" w:hAnsi="Arial"/>
                <w:sz w:val="16"/>
                <w:szCs w:val="16"/>
                <w:color w:val="auto"/>
                <w:w w:val="92"/>
              </w:rPr>
              <w:t>15.3 %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15.4 %</w:t>
            </w:r>
          </w:p>
        </w:tc>
        <w:tc>
          <w:tcPr>
            <w:tcW w:w="0" w:type="dxa"/>
            <w:vAlign w:val="bottom"/>
          </w:tcPr>
          <w:p>
            <w:pPr>
              <w:spacing w:after="0"/>
              <w:rPr>
                <w:sz w:val="1"/>
                <w:szCs w:val="1"/>
                <w:color w:val="auto"/>
              </w:rPr>
            </w:pPr>
          </w:p>
        </w:tc>
      </w:tr>
      <w:tr>
        <w:trPr>
          <w:trHeight w:val="169"/>
        </w:trPr>
        <w:tc>
          <w:tcPr>
            <w:tcW w:w="25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Stores in same store revenue</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ind w:left="360"/>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180"/>
              <w:spacing w:after="0" w:line="213" w:lineRule="exact"/>
              <w:rPr>
                <w:sz w:val="20"/>
                <w:szCs w:val="20"/>
                <w:color w:val="auto"/>
              </w:rPr>
            </w:pPr>
            <w:r>
              <w:rPr>
                <w:rFonts w:ascii="Arial" w:cs="Arial" w:eastAsia="Arial" w:hAnsi="Arial"/>
                <w:sz w:val="16"/>
                <w:szCs w:val="16"/>
                <w:color w:val="auto"/>
              </w:rPr>
              <w:t>calculation</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40" w:firstLine="8"/>
        <w:spacing w:after="0" w:line="276" w:lineRule="auto"/>
        <w:tabs>
          <w:tab w:leader="none" w:pos="127" w:val="left"/>
        </w:tabs>
        <w:numPr>
          <w:ilvl w:val="0"/>
          <w:numId w:val="14"/>
        </w:numPr>
        <w:rPr>
          <w:rFonts w:ascii="Arial" w:cs="Arial" w:eastAsia="Arial" w:hAnsi="Arial"/>
          <w:sz w:val="14"/>
          <w:szCs w:val="14"/>
          <w:color w:val="auto"/>
          <w:vertAlign w:val="superscript"/>
        </w:rPr>
      </w:pPr>
      <w:r>
        <w:rPr>
          <w:rFonts w:ascii="Arial" w:cs="Arial" w:eastAsia="Arial" w:hAnsi="Arial"/>
          <w:sz w:val="11"/>
          <w:szCs w:val="11"/>
          <w:color w:val="auto"/>
        </w:rPr>
        <w:t>Same store sales generally represents revenue earned in stores that were operated by us for 13 months or more and are reported on a constant currency basis as a percentage of total revenue earned in stores of the segment during the indicated period. We exclude from the same store sales base any store that receives a certain level of customer accounts from closed stores or acquisitions. The receiving store will be eligible for inclusion in the same store sales base in the 30th full month following account transfer.</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Exchange rate fluctuations resulted in positive impacts on revenues of approximately $1.5 million and $3.1 million for the three and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2021, as compared to the same periods in 2020. On a constant currency basis, revenues for the three and nine months ended September 30, 2021 increased approximately $2.3 million and $6.3 million, compared to the same periods in 2020.</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Exchange rate fluctuations resulted in positive impacts on gross profit of approximately $1.1 million and $2.2 million for the three and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2021, as compared to the same periods in 2020. On a constant currency basis, gross profit for the three and nine months ended September 30, 2021 increased by approximately $1.6 million and $4.5 million as compared to the same periods in 2020. Gross profit as a percentage of segment revenues was 70.9% and 70.8% for the three and nine months ended September 30, 2021, compared to 71.2% and 70.5% for the respective periods in 2020.</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Operating Profit. </w:t>
      </w:r>
      <w:r>
        <w:rPr>
          <w:rFonts w:ascii="Arial" w:cs="Arial" w:eastAsia="Arial" w:hAnsi="Arial"/>
          <w:sz w:val="18"/>
          <w:szCs w:val="18"/>
          <w:color w:val="auto"/>
        </w:rPr>
        <w:t>Exchange rate fluctuations resulted in positive impacts to operating profit of approximately $0.2 million and $0.4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and nine months ended September 30, 2021, as compared to the same periods in 2020. On a constant currency basis, operating profit for the three and nine months ended September 30, 2021 increased by approximately $0.6 million and $2.7 million, respectively, as compared to the same periods in 2020. Operating profit as a percentage of segment revenues increased to 14.4% and 14.6% for the three and nine months ended September 30, 2021, compared to 14.2% and 10.3% for the respective periods in 2020.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Franchising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Nine Months Ended</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4"/>
        </w:trPr>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180" w:type="dxa"/>
            <w:vAlign w:val="bottom"/>
            <w:gridSpan w:val="3"/>
          </w:tcPr>
          <w:p>
            <w:pPr>
              <w:ind w:left="58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6"/>
                <w:szCs w:val="16"/>
                <w:color w:val="auto"/>
              </w:rPr>
            </w:pPr>
          </w:p>
        </w:tc>
        <w:tc>
          <w:tcPr>
            <w:tcW w:w="1180" w:type="dxa"/>
            <w:vAlign w:val="bottom"/>
            <w:gridSpan w:val="3"/>
          </w:tcPr>
          <w:p>
            <w:pPr>
              <w:ind w:left="58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6"/>
                <w:szCs w:val="16"/>
                <w:color w:val="auto"/>
              </w:rPr>
            </w:pPr>
          </w:p>
        </w:tc>
      </w:tr>
      <w:tr>
        <w:trPr>
          <w:trHeight w:val="188"/>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r>
      <w:tr>
        <w:trPr>
          <w:trHeight w:val="211"/>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40,920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23,974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16,946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70.7 %  $</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118,495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85.2 %</w:t>
            </w:r>
          </w:p>
        </w:tc>
      </w:tr>
      <w:tr>
        <w:trPr>
          <w:trHeight w:val="213"/>
        </w:trPr>
        <w:tc>
          <w:tcPr>
            <w:tcW w:w="24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7,350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4,904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2,446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ind w:left="260"/>
              <w:spacing w:after="0"/>
              <w:rPr>
                <w:sz w:val="20"/>
                <w:szCs w:val="20"/>
                <w:color w:val="auto"/>
              </w:rPr>
            </w:pPr>
            <w:r>
              <w:rPr>
                <w:rFonts w:ascii="Arial" w:cs="Arial" w:eastAsia="Arial" w:hAnsi="Arial"/>
                <w:sz w:val="16"/>
                <w:szCs w:val="16"/>
                <w:color w:val="auto"/>
                <w:w w:val="92"/>
              </w:rPr>
              <w:t>49.9 %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22,305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14,343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7,962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55.5 %</w:t>
            </w:r>
          </w:p>
        </w:tc>
      </w:tr>
      <w:tr>
        <w:trPr>
          <w:trHeight w:val="219"/>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4,816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2"/>
              </w:rPr>
              <w:t>53.1 %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15,495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78.2 %</w:t>
            </w:r>
          </w:p>
        </w:tc>
      </w:tr>
    </w:tbl>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for the three and nine months ended September 30, 2021 compared to the respective periods in 2020, primarily due to a</w:t>
      </w:r>
      <w:r>
        <w:rPr>
          <w:rFonts w:ascii="Arial" w:cs="Arial" w:eastAsia="Arial" w:hAnsi="Arial"/>
          <w:sz w:val="16"/>
          <w:szCs w:val="16"/>
          <w:i w:val="1"/>
          <w:iCs w:val="1"/>
          <w:color w:val="auto"/>
        </w:rPr>
        <w:t xml:space="preserve"> </w:t>
      </w:r>
      <w:r>
        <w:rPr>
          <w:rFonts w:ascii="Arial" w:cs="Arial" w:eastAsia="Arial" w:hAnsi="Arial"/>
          <w:sz w:val="16"/>
          <w:szCs w:val="16"/>
          <w:color w:val="auto"/>
        </w:rPr>
        <w:t>higher store count, resulting from the refranchising of approximately 100 California stores during 2020 and higher inventory purchases by franchisees.</w:t>
      </w:r>
    </w:p>
    <w:p>
      <w:pPr>
        <w:spacing w:after="0" w:line="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as a percentage of segment revenues was 18.0% and 18.8% for the three and nine months ended September 30, 2021,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20.5% and 22.4% for the respective periods in 2020. The decrease for the three and nine months ended September 30, 2021 was primarily due to a lower percentage of royalty income and fees included in the revenues, compared to the respective period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5" w:name="page36"/>
    <w:bookmarkEnd w:id="35"/>
    <w:p>
      <w:pPr>
        <w:jc w:val="both"/>
        <w:spacing w:after="0" w:line="259" w:lineRule="auto"/>
        <w:rPr>
          <w:sz w:val="20"/>
          <w:szCs w:val="20"/>
          <w:color w:val="auto"/>
        </w:rPr>
      </w:pPr>
      <w:r>
        <w:rPr>
          <w:rFonts w:ascii="Arial" w:cs="Arial" w:eastAsia="Arial" w:hAnsi="Arial"/>
          <w:sz w:val="18"/>
          <w:szCs w:val="18"/>
          <w:i w:val="1"/>
          <w:iCs w:val="1"/>
          <w:color w:val="auto"/>
        </w:rPr>
        <w:t xml:space="preserve">Operating Profit. </w:t>
      </w:r>
      <w:r>
        <w:rPr>
          <w:rFonts w:ascii="Arial" w:cs="Arial" w:eastAsia="Arial" w:hAnsi="Arial"/>
          <w:sz w:val="18"/>
          <w:szCs w:val="18"/>
          <w:color w:val="auto"/>
        </w:rPr>
        <w:t>Operating profit as a percentage of segment revenues was 11.8% and 13.1%, for the three and nine months ended September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13.1% and 13.6% for the respective periods in 2020. The decrease for the three and nine months ended September 30, 2021, compared to the respective period in 2020 was primarily due to the decrease in gross profit as a percentage of segment revenues described above, in addition to an increase in operating expenses compared to the respective period in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For the nine months ended September 30, 2021, we generated $326.2 million in operating cash flow. We used cash in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$(1,273.5) million for acquisitions, $(53.2) million for dividends, $(47.6) million for debt issuance costs, and $(45.9) million for capital expenditures. We ended the third quarter of 2021 with $158.8 million of cash and cash equivalents and outstanding indebtedness of $1.32 billion.</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Analysis of Cash Flow. </w:t>
      </w:r>
      <w:r>
        <w:rPr>
          <w:rFonts w:ascii="Arial" w:cs="Arial" w:eastAsia="Arial" w:hAnsi="Arial"/>
          <w:sz w:val="18"/>
          <w:szCs w:val="18"/>
          <w:color w:val="auto"/>
        </w:rPr>
        <w:t>Cash provided by operating activities increased by $30.0 million to $326.2 million for the nine months ended September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from $296.2 million in 2020, primarily due to the acquisition of Acima Holdings, partially offset by cost savings initiatives implemented by the Company in response to COVID-19 and benefits stemming from the CARES Act in 2020.</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used in investing activities was $(1,319.4) million for the nine months ended September 30, 2021, compared to $(22.9) million in 2020, a change of $1,296.5 million, primarily due to the acquisition of Acima Holdings in February 2021.</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provided by (used in) financing activities was $992.8 million for the nine months ended September 30, 2021, compared to $(114.9) million in 2020, representing a change of $1,107.7 million, primarily due to an increase in debt proceeds of $1,292.0 million during the nine months ended September 30, 2021 used to fund the acquisition of Acima Holdings in February 2021.</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Liquidity Requirements</w:t>
      </w:r>
      <w:r>
        <w:rPr>
          <w:rFonts w:ascii="Arial" w:cs="Arial" w:eastAsia="Arial" w:hAnsi="Arial"/>
          <w:sz w:val="18"/>
          <w:szCs w:val="18"/>
          <w:color w:val="auto"/>
        </w:rPr>
        <w:t>. Our primary liquidity requirements are for rental merchandise purchases. Other capital requirements include expenditures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assets, debt service, and dividends. Our primary sources of liquidity have been cash provided by operations.</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utilize our ABL Credit Facility for the issuance of letters of credit, as well as to manage normal fluctuations in operational cash flow caused by the timing of cash receipts. In that regard, we may from time to time draw funds under the ABL Credit Facility for general corporate purposes. Amounts are drawn as needed due to the timing of cash flows and are generally paid down as cash is generated by our operating activities. We believe cash flow generated from operations and availability under our ABL Credit Facility will be sufficient to fund our operations during the next 12 months. At October 29, 2021, we had approximately $95.9 million in cash on hand, and $463.6 million available under our ABL Credit Facility.</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We deferred approximately $23 million in employer payroll taxes to future periods as part of the benefits received from the CARES Act passed by the 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Federal government in response to COVID-19. We expect to repay approximately $12 million in deferred employer taxes during the last quarter of 2021.</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Deferred Taxes. </w:t>
      </w:r>
      <w:r>
        <w:rPr>
          <w:rFonts w:ascii="Arial" w:cs="Arial" w:eastAsia="Arial" w:hAnsi="Arial"/>
          <w:sz w:val="18"/>
          <w:szCs w:val="18"/>
          <w:color w:val="auto"/>
        </w:rPr>
        <w:t>Certain federal tax legislation enacted during the period 2009 to 2017 permitted bonus first-year depreciation deductions ranging from 50%</w:t>
      </w:r>
      <w:r>
        <w:rPr>
          <w:rFonts w:ascii="Arial" w:cs="Arial" w:eastAsia="Arial" w:hAnsi="Arial"/>
          <w:sz w:val="18"/>
          <w:szCs w:val="18"/>
          <w:i w:val="1"/>
          <w:iCs w:val="1"/>
          <w:color w:val="auto"/>
        </w:rPr>
        <w:t xml:space="preserve"> </w:t>
      </w:r>
      <w:r>
        <w:rPr>
          <w:rFonts w:ascii="Arial" w:cs="Arial" w:eastAsia="Arial" w:hAnsi="Arial"/>
          <w:sz w:val="18"/>
          <w:szCs w:val="18"/>
          <w:color w:val="auto"/>
        </w:rPr>
        <w:t>to 100% of the adjusted basis of qualified property placed in service during such years. The depreciation benefits associated with these tax acts are now reversing. The Protecting Americans from Tax Hikes Act of 2015 (“PATH”) extended the 50% bonus depreciation to 2015 and through September 26, 2017, when it was updated by the Tax Cuts and Jobs Act of 2017 (“Tax Act”). The Tax Act allows 100% bonus depreciation for certain property placed in service between September 27, 2017 and December 31, 2022, at which point it will begin to phase out. The bonus depreciation provided by the Tax Act resulted in an estimated benefit of $211 million for us in 2020. We estimate the remaining tax deferral associated with bonus depreciation from these Acts is approximately $260 million at December 31, 2020, of which approximately 80%, or $207 million, will reverse in 2021, and the majority of the remainder will reverse between 2022 and 2023.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Merchandise Losses</w:t>
      </w:r>
      <w:r>
        <w:rPr>
          <w:rFonts w:ascii="Arial" w:cs="Arial" w:eastAsia="Arial" w:hAnsi="Arial"/>
          <w:sz w:val="18"/>
          <w:szCs w:val="18"/>
          <w:color w:val="auto"/>
        </w:rPr>
        <w:t>. Merchandise losses consist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5"/>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88"/>
        </w:trPr>
        <w:tc>
          <w:tcPr>
            <w:tcW w:w="488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r>
      <w:tr>
        <w:trPr>
          <w:trHeight w:val="224"/>
        </w:trPr>
        <w:tc>
          <w:tcPr>
            <w:tcW w:w="488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Customer stolen merchandise</w:t>
            </w:r>
            <w:r>
              <w:rPr>
                <w:rFonts w:ascii="Arial" w:cs="Arial" w:eastAsia="Arial" w:hAnsi="Arial"/>
                <w:sz w:val="23"/>
                <w:szCs w:val="23"/>
                <w:color w:val="auto"/>
                <w:vertAlign w:val="superscript"/>
              </w:rPr>
              <w:t>(1)(2)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34,677</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136,106</w:t>
            </w:r>
          </w:p>
        </w:tc>
      </w:tr>
      <w:tr>
        <w:trPr>
          <w:trHeight w:val="229"/>
        </w:trPr>
        <w:tc>
          <w:tcPr>
            <w:tcW w:w="48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Other merchandise losses</w:t>
            </w:r>
            <w:r>
              <w:rPr>
                <w:rFonts w:ascii="Arial" w:cs="Arial" w:eastAsia="Arial" w:hAnsi="Arial"/>
                <w:sz w:val="23"/>
                <w:szCs w:val="23"/>
                <w:color w:val="auto"/>
                <w:vertAlign w:val="superscript"/>
              </w:rPr>
              <w:t>(3)</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7,706</w:t>
            </w: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21,950</w:t>
            </w:r>
          </w:p>
        </w:tc>
      </w:tr>
      <w:tr>
        <w:trPr>
          <w:trHeight w:val="248"/>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merchandise losses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42,383</w:t>
            </w: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158,056</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Increase in customer stolen merchandise for the three and nine months ended September 30, 2021 is primarily related to the acquisition of Acima Holdings in the first quarter of 2021.</w:t>
      </w:r>
    </w:p>
    <w:p>
      <w:pPr>
        <w:ind w:right="20" w:firstLine="8"/>
        <w:spacing w:after="0" w:line="247" w:lineRule="auto"/>
        <w:tabs>
          <w:tab w:leader="none" w:pos="128" w:val="left"/>
        </w:tabs>
        <w:numPr>
          <w:ilvl w:val="0"/>
          <w:numId w:val="15"/>
        </w:numPr>
        <w:rPr>
          <w:rFonts w:ascii="Arial" w:cs="Arial" w:eastAsia="Arial" w:hAnsi="Arial"/>
          <w:sz w:val="14"/>
          <w:szCs w:val="14"/>
          <w:color w:val="auto"/>
          <w:vertAlign w:val="superscript"/>
        </w:rPr>
      </w:pPr>
      <w:r>
        <w:rPr>
          <w:rFonts w:ascii="Arial" w:cs="Arial" w:eastAsia="Arial" w:hAnsi="Arial"/>
          <w:sz w:val="11"/>
          <w:szCs w:val="11"/>
          <w:color w:val="auto"/>
        </w:rPr>
        <w:t>Includes incremental merchandise losses related to the conversion of Preferred Lease locations to Acima Holdings software for the nine-months ended September 30, 2021, and impacts of COVID-19 for the nine-months ended September 30, 2020.</w:t>
      </w:r>
    </w:p>
    <w:p>
      <w:pPr>
        <w:spacing w:after="0" w:line="1" w:lineRule="exact"/>
        <w:rPr>
          <w:rFonts w:ascii="Arial" w:cs="Arial" w:eastAsia="Arial" w:hAnsi="Arial"/>
          <w:sz w:val="14"/>
          <w:szCs w:val="14"/>
          <w:color w:val="auto"/>
          <w:vertAlign w:val="superscript"/>
        </w:rPr>
      </w:pPr>
    </w:p>
    <w:p>
      <w:pPr>
        <w:ind w:left="140" w:hanging="132"/>
        <w:spacing w:after="0" w:line="195" w:lineRule="auto"/>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Other merchandise losses include unrepairable and missing merchandise, and loss/damage waiver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6" w:name="page37"/>
    <w:bookmarkEnd w:id="36"/>
    <w:p>
      <w:pPr>
        <w:jc w:val="both"/>
        <w:spacing w:after="0" w:line="263" w:lineRule="auto"/>
        <w:rPr>
          <w:sz w:val="20"/>
          <w:szCs w:val="20"/>
          <w:color w:val="auto"/>
        </w:rPr>
      </w:pPr>
      <w:r>
        <w:rPr>
          <w:rFonts w:ascii="Arial" w:cs="Arial" w:eastAsia="Arial" w:hAnsi="Arial"/>
          <w:sz w:val="18"/>
          <w:szCs w:val="18"/>
          <w:i w:val="1"/>
          <w:iCs w:val="1"/>
          <w:color w:val="auto"/>
        </w:rPr>
        <w:t>Capital Expenditures</w:t>
      </w:r>
      <w:r>
        <w:rPr>
          <w:rFonts w:ascii="Arial" w:cs="Arial" w:eastAsia="Arial" w:hAnsi="Arial"/>
          <w:sz w:val="18"/>
          <w:szCs w:val="18"/>
          <w:color w:val="auto"/>
        </w:rPr>
        <w:t>. We make capital expenditures in order to maintain our existing operations, acquire new capital assets in new and acquired stores and</w:t>
      </w:r>
      <w:r>
        <w:rPr>
          <w:rFonts w:ascii="Arial" w:cs="Arial" w:eastAsia="Arial" w:hAnsi="Arial"/>
          <w:sz w:val="18"/>
          <w:szCs w:val="18"/>
          <w:i w:val="1"/>
          <w:iCs w:val="1"/>
          <w:color w:val="auto"/>
        </w:rPr>
        <w:t xml:space="preserve"> </w:t>
      </w:r>
      <w:r>
        <w:rPr>
          <w:rFonts w:ascii="Arial" w:cs="Arial" w:eastAsia="Arial" w:hAnsi="Arial"/>
          <w:sz w:val="18"/>
          <w:szCs w:val="18"/>
          <w:color w:val="auto"/>
        </w:rPr>
        <w:t>invest in information technology. We spent $45.9 million and $22.6 million on capital expenditures during the nine months ended September 30, 2021 and 2020, respectively.</w:t>
      </w:r>
    </w:p>
    <w:p>
      <w:pPr>
        <w:spacing w:after="0" w:line="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Acquisitions and New Location Openings. </w:t>
      </w:r>
      <w:r>
        <w:rPr>
          <w:rFonts w:ascii="Arial" w:cs="Arial" w:eastAsia="Arial" w:hAnsi="Arial"/>
          <w:sz w:val="16"/>
          <w:szCs w:val="16"/>
          <w:color w:val="auto"/>
        </w:rPr>
        <w:t>During the first nine months of 2021, we acquired one rent-to-own store location and customer accounts for an</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purchase price of approximately $0.3 million. The store location remained open upon acquisition as part of our Rent-A-Center Business segment.</w:t>
      </w:r>
    </w:p>
    <w:p>
      <w:pPr>
        <w:spacing w:after="0" w:line="16"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The table below summarizes the store location activity for the nine-month period ended September 30, 2021 for our Rent-A-Center Business, Mexico and Franchising operating segments.</w:t>
      </w:r>
    </w:p>
    <w:tbl>
      <w:tblPr>
        <w:tblLayout w:type="fixed"/>
        <w:tblInd w:w="0" w:type="dxa"/>
        <w:tblCellMar>
          <w:top w:w="0" w:type="dxa"/>
          <w:left w:w="0" w:type="dxa"/>
          <w:bottom w:w="0" w:type="dxa"/>
          <w:right w:w="0" w:type="dxa"/>
        </w:tblCellMar>
      </w:tblPr>
      <w:tr>
        <w:trPr>
          <w:trHeight w:val="144"/>
        </w:trPr>
        <w:tc>
          <w:tcPr>
            <w:tcW w:w="5580" w:type="dxa"/>
            <w:vAlign w:val="bottom"/>
          </w:tcPr>
          <w:p>
            <w:pPr>
              <w:spacing w:after="0"/>
              <w:rPr>
                <w:sz w:val="12"/>
                <w:szCs w:val="12"/>
                <w:color w:val="auto"/>
              </w:rPr>
            </w:pPr>
          </w:p>
        </w:tc>
        <w:tc>
          <w:tcPr>
            <w:tcW w:w="144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6"/>
              </w:rPr>
              <w:t>Rent-A-Center</w:t>
            </w:r>
          </w:p>
        </w:tc>
        <w:tc>
          <w:tcPr>
            <w:tcW w:w="144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Mexico</w:t>
            </w:r>
          </w:p>
        </w:tc>
        <w:tc>
          <w:tcPr>
            <w:tcW w:w="14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Franchising</w:t>
            </w:r>
          </w:p>
        </w:tc>
        <w:tc>
          <w:tcPr>
            <w:tcW w:w="13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8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Business</w:t>
            </w:r>
          </w:p>
        </w:tc>
        <w:tc>
          <w:tcPr>
            <w:tcW w:w="144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Locations at beginning of period</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New location openings</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Closed locations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Merged with existing locations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580" w:type="dxa"/>
            <w:vAlign w:val="bottom"/>
          </w:tcPr>
          <w:p>
            <w:pPr>
              <w:ind w:left="360"/>
              <w:spacing w:after="0"/>
              <w:rPr>
                <w:sz w:val="20"/>
                <w:szCs w:val="20"/>
                <w:color w:val="auto"/>
              </w:rPr>
            </w:pPr>
            <w:r>
              <w:rPr>
                <w:rFonts w:ascii="Arial" w:cs="Arial" w:eastAsia="Arial" w:hAnsi="Arial"/>
                <w:sz w:val="18"/>
                <w:szCs w:val="18"/>
                <w:color w:val="auto"/>
              </w:rPr>
              <w:t>Sold or closed with no surviving location</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Locations at end of period</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Does not include locations in our Acima segment.</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Senior Debt. </w:t>
      </w:r>
      <w:r>
        <w:rPr>
          <w:rFonts w:ascii="Arial" w:cs="Arial" w:eastAsia="Arial" w:hAnsi="Arial"/>
          <w:sz w:val="18"/>
          <w:szCs w:val="18"/>
          <w:color w:val="auto"/>
        </w:rPr>
        <w:t>On February 17, 2021, we entered into a credit agreement with JPMorgan Chase Bank, N.A., as administrative agent, and lenders party</w:t>
      </w:r>
      <w:r>
        <w:rPr>
          <w:rFonts w:ascii="Arial" w:cs="Arial" w:eastAsia="Arial" w:hAnsi="Arial"/>
          <w:sz w:val="18"/>
          <w:szCs w:val="18"/>
          <w:i w:val="1"/>
          <w:iCs w:val="1"/>
          <w:color w:val="auto"/>
        </w:rPr>
        <w:t xml:space="preserve"> </w:t>
      </w:r>
      <w:r>
        <w:rPr>
          <w:rFonts w:ascii="Arial" w:cs="Arial" w:eastAsia="Arial" w:hAnsi="Arial"/>
          <w:sz w:val="18"/>
          <w:szCs w:val="18"/>
          <w:color w:val="auto"/>
        </w:rPr>
        <w:t>thereto, that provides for a five-year asset-based revolving credit facility with commitments of $550 million and a letter of credit sublimit of $150 million, which commitments may be increased, at our option and under certain conditions, by up to an additional $125 million in the aggregate (the “ABL Credit Facility”). Under the ABL Credit Facility, we may borrow only up to the lesser of the level of the then-current borrowing base and the aggregate amount of commitments under the ABL Credit Facility. The borrowing base is tied to the amount of eligible installment sales accounts, inventory and eligible rental contracts, reduced by reserves. The ABL Credit Facility bears interest at a fluctuating rate determined by reference to the eurodollar rate plus an applicable margin of 1.50% to 2.00%, which margin, as of February 19, 2021, was 2.125%. A commitment fee equal to 0.250% to 0.375% of the unused portion of the ABL Credit Facility fluctuates dependent upon average utilization for the prior month as defined by a pricing grid included in the documentation governing the ABL Credit Facility. Loans under the ABL Credit Facility may be borrowed, repaid and re-borrowed until February 17, 2026, at which time all amounts borrowed must be repaid.</w:t>
      </w:r>
    </w:p>
    <w:p>
      <w:pPr>
        <w:spacing w:after="0" w:line="8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17, 2021, we also entered into a term loan credit agreement with JPMorgan Chase Bank, N.A., as administrative agent, and lenders party thereto, that provides for a seven-year $875 million senior secured term loan facility (the “Term Loan Facility”). Subject in each case to certain restrictions and conditions, we may add up to $500 million of incremental term loan facilities to the Term Loan Facility or utilize incremental capacity under the Term Loan Facility at any time by issuing or incurring incremental equivalent term debt. Interest on borrowings under the Term Loan Facility is payable at a fluctuating rate of interest determined by reference to the eurodollar rate plus an applicable margin of 3.25%, subject to a 0.50% LIBOR floor. Borrowings under the Term Loan Facility amortize in equal quarterly installments in an amount equal to 1.000% per annum of the original aggregate principal amount thereof, with the remaining balance due at final maturity.</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 Loan Facility was fully drawn at the closing of the Acima Holdings acquisition to fund a portion of the Aggregate Cash Consideration, repay certain of our outstanding indebtedness and our subsidiaries, repay all outstanding indebtedness of Acima and its subsidiaries and pay certain fees and expenses incurred in connection with the Acima Holdings acquisition. A portion of such proceeds were used to repay $197.5 million outstanding under our prior term loan facility, dated as of August 5, 2019, among us, JPMorgan Chase Bank, N.A., as administrative agent, and the lenders party thereto (the “Prior Term Loan Facility”), which Prior Term Loan Facility was terminated in connection with such repayment. At February 19, 2021, we had outstanding borrowings of $875 million under the Term Loan Facility.</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October 29, 2021, we had outstanding borrowings of $870.6 million under our Term Loan Facility and available commitments of $463.6 million under our ABL Credit Facility, net of letters of credit.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Note 7 of our condensed consolidated financial statements included in this report for additional information regarding our senior debt.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Senior Notes</w:t>
      </w:r>
      <w:r>
        <w:rPr>
          <w:rFonts w:ascii="Arial" w:cs="Arial" w:eastAsia="Arial" w:hAnsi="Arial"/>
          <w:sz w:val="18"/>
          <w:szCs w:val="18"/>
          <w:color w:val="auto"/>
        </w:rPr>
        <w:t>. On February 17, 2021, we issued $450.0 million in senior unsecured notes due February 15, 2029, at par value, bearing interest at 6.375%</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“Notes”), the proceeds of which were used to fund a portion of the Aggregate Cash Consideration upon closing of the Acima Holdings acquisition. Interest on the Notes is payable in arrears on February 15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7" w:name="page38"/>
    <w:bookmarkEnd w:id="37"/>
    <w:p>
      <w:pPr>
        <w:jc w:val="both"/>
        <w:spacing w:after="0" w:line="272" w:lineRule="auto"/>
        <w:rPr>
          <w:sz w:val="20"/>
          <w:szCs w:val="20"/>
          <w:color w:val="auto"/>
        </w:rPr>
      </w:pPr>
      <w:r>
        <w:rPr>
          <w:rFonts w:ascii="Arial" w:cs="Arial" w:eastAsia="Arial" w:hAnsi="Arial"/>
          <w:sz w:val="17"/>
          <w:szCs w:val="17"/>
          <w:color w:val="auto"/>
        </w:rPr>
        <w:t>August 15 of each year, beginning on August 15, 2021. We may redeem some or all of the Notes at any time on or after February 15, 2024 for cash at the redemption prices set forth in the indenture governing the Notes, plus accrued and unpaid interest to, but not including, the redemption date. Prior to February 15, 2024, we may redeem up to 40% of the aggregate principal amount of the Notes with the proceeds of certain equity offerings at a redemption price of 106.375% plus accrued and unpaid interest to, but not including, the redemption date. In addition, we may redeem some or all of the Notes prior to February 15, 2024, at a redemption price of 100% of the principal amount of the Notes plus accrued and unpaid interest to, but not including, the redemption date, plus a “make-whole” premium. If we experience specific kinds of change of control, it will be required to offer to purchase the Notes at a price equal to 101% of the principal amount thereof plus accrued and unpaid interest.</w:t>
      </w:r>
    </w:p>
    <w:p>
      <w:pPr>
        <w:spacing w:after="0" w:line="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Operating Leases</w:t>
      </w:r>
      <w:r>
        <w:rPr>
          <w:rFonts w:ascii="Arial" w:cs="Arial" w:eastAsia="Arial" w:hAnsi="Arial"/>
          <w:sz w:val="17"/>
          <w:szCs w:val="17"/>
          <w:color w:val="auto"/>
        </w:rPr>
        <w:t>. We lease space for all of our Rent-A-Center Business and Mexico stores under operating leases expiring at various times through 2027.</w:t>
      </w:r>
      <w:r>
        <w:rPr>
          <w:rFonts w:ascii="Arial" w:cs="Arial" w:eastAsia="Arial" w:hAnsi="Arial"/>
          <w:sz w:val="17"/>
          <w:szCs w:val="17"/>
          <w:i w:val="1"/>
          <w:iCs w:val="1"/>
          <w:color w:val="auto"/>
        </w:rPr>
        <w:t xml:space="preserve"> </w:t>
      </w:r>
      <w:r>
        <w:rPr>
          <w:rFonts w:ascii="Arial" w:cs="Arial" w:eastAsia="Arial" w:hAnsi="Arial"/>
          <w:sz w:val="17"/>
          <w:szCs w:val="17"/>
          <w:color w:val="auto"/>
        </w:rPr>
        <w:t>In addition we lease space for certain support facilities under operating leases expiring at various times through 2032. Most of our store leases are five year leases and contain renewal options for additional periods ranging from three to five years at rental rates adjusted according to agreed-upon formulas. As of September 30, 2021, our total remaining obligation for existing store lease contracts was approximately $347.2 million.</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lease vehicles for all of our Rent-A-Center Business stores under operating leases with lease terms expiring 12 months after the start date of the lease. We classify these leases as short-term and have elected the short-term lease exemption for our vehicle leases, and have therefore excluded them from our operating lease right-of-use assets within our Condensed Consolidated Balance Sheets. As of September 30, 2021, our total remaining minimum obligation for existing Rent-A-Center Business vehicle lease contracts was approximately $1.6 million.</w:t>
      </w:r>
    </w:p>
    <w:p>
      <w:pPr>
        <w:spacing w:after="0" w:line="7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also lease vehicles for all of our Mexico stores which have terms expiring at various times through 2025 with rental rates adjusted periodically for inflation. As of September 30, 2021, our total remaining obligation for existing Mexico vehicle lease contracts was approximately $1.1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See Note 5 of our condensed consolidated financial statements included in this report for additional discussion of our store operating leases.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Uncertain Tax Position. </w:t>
      </w:r>
      <w:r>
        <w:rPr>
          <w:rFonts w:ascii="Arial" w:cs="Arial" w:eastAsia="Arial" w:hAnsi="Arial"/>
          <w:sz w:val="18"/>
          <w:szCs w:val="18"/>
          <w:color w:val="auto"/>
        </w:rPr>
        <w:t>As of September 30, 2021, we have recorded $22.0 million in uncertain tax positions. Although these positions represent a</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future cash liability to us, the amounts and timing of such payments are uncertain.</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Our revenue mix is moderately seasonal, with the first quarter of each fiscal year generally providing higher merchandise sales than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during a fiscal year. Generally, our customers will more frequently exercise the early purchase option on their existing rental purchase agreements or purchase pre-leased merchandise off the showroom floor during the first quarter of each fiscal year, primarily due to the receipt of federal income tax refunds. Furthermore, we tend to experience slower growth in the number of rental purchase agreements in the third quarter of each fiscal year compared to other quarters throughout the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standards setting bodies that we adopt as of the specified effective date. As of September 30, 2021, we believe the impact of any recently issued standards that are not yet effective are either not applicable to us at this time, or will not have a material impact on our consolidated financial statements upon adoption.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 risk is the potential change in an instrument’s value caused by fluctuations in interest rates. Our primary market risk exposure is fluctuations in interest rates. Monitoring and managing this risk is a continual process carried out by our senior management. We manage our market risk based on an ongoing assessment of trends in interest rates and economic developments, giving consideration to possible effects on both total return and reported earnings. As a result of such assessment, we may enter into swap contracts or other interest rate protection agreements from time to time to mitigate this risk.</w:t>
      </w:r>
    </w:p>
    <w:p>
      <w:pPr>
        <w:spacing w:after="0" w:line="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September 30, 2021, we had $870.6 million outstanding under our term loan credit agreement at an interest rate indexed to the eurodollar rate, which exposes us to the risk of increased interest costs if interest rates rise. Based on our overall interest rate exposure at September 30, 2021, a hypothetical 1.0% increase or decrease in market interest rates would have the effect of causing an additional $8.8 million annualized pre-tax charge or credit to interest expense in our condensed consolidated statement of operations. We have not entered into any interest rate swap agreements as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market risk from foreign exchange rate fluctuations of the Mexican peso to the U.S. dollar as the financial position and operating results of our stores in Mexico are translated into U.S. dollars for consolidation. Resulting translation adjustments are recorded as a separate component of stockholders’ equity.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Disclosure control and procedures</w:t>
      </w:r>
      <w:r>
        <w:rPr>
          <w:rFonts w:ascii="Arial" w:cs="Arial" w:eastAsia="Arial" w:hAnsi="Arial"/>
          <w:sz w:val="17"/>
          <w:szCs w:val="17"/>
          <w:color w:val="auto"/>
        </w:rPr>
        <w:t>. In accordance with Rule 13a-15(b) under the Securities Exchange Act of 1934, an evaluation was performed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as of the end of the period covered by this Quarterly Report on Form 10-Q. Based on this evaluation, our management, including our Chief Executive Officer and our Chief Financial Officer, concluded that, as of September 30, 2021, our disclosure controls and procedures (as defined in Rules 13a–15(e) and 15d–15(e) under the Securities Exchange Act of 1934) were effective.</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Changes in internal controls over financial reporting</w:t>
      </w:r>
      <w:r>
        <w:rPr>
          <w:rFonts w:ascii="Arial" w:cs="Arial" w:eastAsia="Arial" w:hAnsi="Arial"/>
          <w:sz w:val="18"/>
          <w:szCs w:val="18"/>
          <w:color w:val="auto"/>
        </w:rPr>
        <w:t>. In February 2021, we acquired Acima Holdings. We are currently in the process of integrating Acima</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into our assessment of our internal control over financial reporting. Management's assessment and conclusions on the effectiveness of our disclosure controls and procedures as of September 30, 2021 excludes an assessment of the internal control over financial reporting of Acima Holdings. Acima Holdings represents approximately 36% and 31% of the Company's total revenues for the three and nine months ended September 30, 2021, respectively.</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quarter ended September 30, 2021, there have been no changes in our internal control over financial reporting (as defined in Rule 13a-15(f) under the Securities Exchange Act of 1934) that have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From time to time, we, along with our subsidiaries, are party to various legal proceedings and governmental inquiries arising in the ordinary course of business. We reserve for loss contingencies that are both probable and reasonably estimable. We regularly monitor developments related to these legal proceedings, and review the adequacy of our legal reserves on a quarterly basis. We do not currently expect these losses to have a material impact on our consolidated financial statements if and when such losses are incurred. Nevertheless, we cannot predict the impact of future developments affecting our claims and lawsuits, and any resolution of a claim or lawsuit or reserve within a particular fiscal period may materially and adversely impact our results of operations for that period. In addition, claims and lawsuits against us may seek injunctive or other relief that requires changes to our business practices or operations and it is possible that any required changes may materially and adversely impact our business, financial condition, results of operations or reputation. Please see note 13 of our condensed consolidated financial statements included in this report for additional discussion of our legal proceedings.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the risk factors disclosed in Item 1A of Part 1, “Risk Factors” of our Annual Report on Form 10-K for the year ended December 31,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with respect to purchases of our common stock the Company made during the three months ended September 30,</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Maximum dollar value of shares</w:t>
            </w: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Total number of shares purchased</w:t>
            </w:r>
          </w:p>
        </w:tc>
        <w:tc>
          <w:tcPr>
            <w:tcW w:w="22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that may yet be purchased under</w:t>
            </w: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22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20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publicly</w:t>
            </w: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344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2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as part of publicly announced</w:t>
            </w:r>
          </w:p>
        </w:tc>
        <w:tc>
          <w:tcPr>
            <w:tcW w:w="240" w:type="dxa"/>
            <w:vAlign w:val="bottom"/>
          </w:tcPr>
          <w:p>
            <w:pPr>
              <w:spacing w:after="0"/>
              <w:rPr>
                <w:sz w:val="11"/>
                <w:szCs w:val="11"/>
                <w:color w:val="auto"/>
              </w:rPr>
            </w:pPr>
          </w:p>
        </w:tc>
        <w:tc>
          <w:tcPr>
            <w:tcW w:w="20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announced plans or</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3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w w:val="91"/>
              </w:rPr>
              <w:t>Paid per Share</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0"/>
              </w:rPr>
              <w:t>plans or programs</w:t>
            </w:r>
            <w:r>
              <w:rPr>
                <w:rFonts w:ascii="Arial" w:cs="Arial" w:eastAsia="Arial" w:hAnsi="Arial"/>
                <w:sz w:val="18"/>
                <w:szCs w:val="18"/>
                <w:b w:val="1"/>
                <w:bCs w:val="1"/>
                <w:color w:val="auto"/>
                <w:w w:val="90"/>
                <w:vertAlign w:val="superscript"/>
              </w:rPr>
              <w:t>(1)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144"/>
              <w:spacing w:after="0" w:line="189" w:lineRule="exact"/>
              <w:rPr>
                <w:sz w:val="20"/>
                <w:szCs w:val="20"/>
                <w:color w:val="auto"/>
              </w:rPr>
            </w:pPr>
            <w:r>
              <w:rPr>
                <w:rFonts w:ascii="Arial" w:cs="Arial" w:eastAsia="Arial" w:hAnsi="Arial"/>
                <w:sz w:val="14"/>
                <w:szCs w:val="14"/>
                <w:b w:val="1"/>
                <w:bCs w:val="1"/>
                <w:color w:val="auto"/>
                <w:w w:val="91"/>
              </w:rPr>
              <w:t>programs (</w:t>
            </w:r>
            <w:r>
              <w:rPr>
                <w:rFonts w:ascii="Arial" w:cs="Arial" w:eastAsia="Arial" w:hAnsi="Arial"/>
                <w:sz w:val="14"/>
                <w:szCs w:val="14"/>
                <w:b w:val="1"/>
                <w:bCs w:val="1"/>
                <w:i w:val="1"/>
                <w:iCs w:val="1"/>
                <w:color w:val="auto"/>
                <w:w w:val="91"/>
              </w:rPr>
              <w:t>in millions</w:t>
            </w:r>
            <w:r>
              <w:rPr>
                <w:rFonts w:ascii="Arial" w:cs="Arial" w:eastAsia="Arial" w:hAnsi="Arial"/>
                <w:sz w:val="14"/>
                <w:szCs w:val="14"/>
                <w:b w:val="1"/>
                <w:bCs w:val="1"/>
                <w:color w:val="auto"/>
                <w:w w:val="91"/>
              </w:rPr>
              <w:t>)</w:t>
            </w:r>
            <w:r>
              <w:rPr>
                <w:rFonts w:ascii="Arial" w:cs="Arial" w:eastAsia="Arial" w:hAnsi="Arial"/>
                <w:sz w:val="18"/>
                <w:szCs w:val="18"/>
                <w:b w:val="1"/>
                <w:bCs w:val="1"/>
                <w:color w:val="auto"/>
                <w:w w:val="91"/>
                <w:vertAlign w:val="superscript"/>
              </w:rPr>
              <w:t>(1)</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540" w:type="dxa"/>
            <w:vAlign w:val="bottom"/>
            <w:gridSpan w:val="2"/>
            <w:shd w:val="clear" w:color="auto" w:fill="CCEEFF"/>
          </w:tcPr>
          <w:p>
            <w:pPr>
              <w:jc w:val="center"/>
              <w:ind w:right="1300"/>
              <w:spacing w:after="0"/>
              <w:rPr>
                <w:sz w:val="20"/>
                <w:szCs w:val="20"/>
                <w:color w:val="auto"/>
              </w:rPr>
            </w:pPr>
            <w:r>
              <w:rPr>
                <w:rFonts w:ascii="Arial" w:cs="Arial" w:eastAsia="Arial" w:hAnsi="Arial"/>
                <w:sz w:val="16"/>
                <w:szCs w:val="16"/>
                <w:color w:val="auto"/>
                <w:w w:val="92"/>
              </w:rPr>
              <w:t>August 1, 2021 - August 31, 2021</w:t>
            </w:r>
          </w:p>
        </w:tc>
        <w:tc>
          <w:tcPr>
            <w:tcW w:w="112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160,408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59.12</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160,408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240.5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3960" w:type="dxa"/>
            <w:vAlign w:val="bottom"/>
            <w:gridSpan w:val="3"/>
          </w:tcPr>
          <w:p>
            <w:pPr>
              <w:jc w:val="center"/>
              <w:ind w:right="860"/>
              <w:spacing w:after="0" w:line="304" w:lineRule="exact"/>
              <w:rPr>
                <w:sz w:val="20"/>
                <w:szCs w:val="20"/>
                <w:color w:val="auto"/>
              </w:rPr>
            </w:pPr>
            <w:r>
              <w:rPr>
                <w:rFonts w:ascii="Arial" w:cs="Arial" w:eastAsia="Arial" w:hAnsi="Arial"/>
                <w:sz w:val="35"/>
                <w:szCs w:val="35"/>
                <w:color w:val="auto"/>
                <w:w w:val="87"/>
                <w:vertAlign w:val="subscript"/>
              </w:rPr>
              <w:t>2021:</w:t>
            </w:r>
            <w:r>
              <w:rPr>
                <w:rFonts w:ascii="Arial" w:cs="Arial" w:eastAsia="Arial" w:hAnsi="Arial"/>
                <w:sz w:val="16"/>
                <w:szCs w:val="16"/>
                <w:color w:val="auto"/>
                <w:w w:val="87"/>
              </w:rPr>
              <w:t>September 1, 2021 - September 30, 2021</w:t>
            </w:r>
          </w:p>
        </w:tc>
        <w:tc>
          <w:tcPr>
            <w:tcW w:w="1120" w:type="dxa"/>
            <w:vAlign w:val="bottom"/>
          </w:tcPr>
          <w:p>
            <w:pPr>
              <w:jc w:val="right"/>
              <w:ind w:right="64"/>
              <w:spacing w:after="0"/>
              <w:rPr>
                <w:sz w:val="20"/>
                <w:szCs w:val="20"/>
                <w:color w:val="auto"/>
              </w:rPr>
            </w:pPr>
            <w:r>
              <w:rPr>
                <w:rFonts w:ascii="Arial" w:cs="Arial" w:eastAsia="Arial" w:hAnsi="Arial"/>
                <w:sz w:val="16"/>
                <w:szCs w:val="16"/>
                <w:color w:val="auto"/>
              </w:rPr>
              <w:t>175,100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60.25</w:t>
            </w:r>
          </w:p>
        </w:tc>
        <w:tc>
          <w:tcPr>
            <w:tcW w:w="100" w:type="dxa"/>
            <w:vAlign w:val="bottom"/>
          </w:tcPr>
          <w:p>
            <w:pPr>
              <w:spacing w:after="0"/>
              <w:rPr>
                <w:sz w:val="24"/>
                <w:szCs w:val="24"/>
                <w:color w:val="auto"/>
              </w:rPr>
            </w:pPr>
          </w:p>
        </w:tc>
        <w:tc>
          <w:tcPr>
            <w:tcW w:w="2160" w:type="dxa"/>
            <w:vAlign w:val="bottom"/>
          </w:tcPr>
          <w:p>
            <w:pPr>
              <w:jc w:val="right"/>
              <w:ind w:right="64"/>
              <w:spacing w:after="0"/>
              <w:rPr>
                <w:sz w:val="20"/>
                <w:szCs w:val="20"/>
                <w:color w:val="auto"/>
              </w:rPr>
            </w:pPr>
            <w:r>
              <w:rPr>
                <w:rFonts w:ascii="Arial" w:cs="Arial" w:eastAsia="Arial" w:hAnsi="Arial"/>
                <w:sz w:val="16"/>
                <w:szCs w:val="16"/>
                <w:color w:val="auto"/>
              </w:rPr>
              <w:t>175,100</w:t>
            </w:r>
          </w:p>
        </w:tc>
        <w:tc>
          <w:tcPr>
            <w:tcW w:w="100" w:type="dxa"/>
            <w:vAlign w:val="bottom"/>
          </w:tcPr>
          <w:p>
            <w:pPr>
              <w:spacing w:after="0"/>
              <w:rPr>
                <w:sz w:val="24"/>
                <w:szCs w:val="24"/>
                <w:color w:val="auto"/>
              </w:rPr>
            </w:pPr>
          </w:p>
        </w:tc>
        <w:tc>
          <w:tcPr>
            <w:tcW w:w="24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64"/>
              <w:spacing w:after="0"/>
              <w:rPr>
                <w:sz w:val="20"/>
                <w:szCs w:val="20"/>
                <w:color w:val="auto"/>
              </w:rPr>
            </w:pPr>
            <w:r>
              <w:rPr>
                <w:rFonts w:ascii="Arial" w:cs="Arial" w:eastAsia="Arial" w:hAnsi="Arial"/>
                <w:sz w:val="16"/>
                <w:szCs w:val="16"/>
                <w:color w:val="auto"/>
              </w:rPr>
              <w:t>230.0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right="340" w:firstLine="8"/>
        <w:spacing w:after="0" w:line="280" w:lineRule="auto"/>
        <w:tabs>
          <w:tab w:leader="none" w:pos="127" w:val="left"/>
        </w:tabs>
        <w:numPr>
          <w:ilvl w:val="0"/>
          <w:numId w:val="17"/>
        </w:numPr>
        <w:rPr>
          <w:rFonts w:ascii="Arial" w:cs="Arial" w:eastAsia="Arial" w:hAnsi="Arial"/>
          <w:sz w:val="14"/>
          <w:szCs w:val="14"/>
          <w:color w:val="auto"/>
          <w:vertAlign w:val="superscript"/>
        </w:rPr>
      </w:pPr>
      <w:r>
        <w:rPr>
          <w:rFonts w:ascii="Arial" w:cs="Arial" w:eastAsia="Arial" w:hAnsi="Arial"/>
          <w:sz w:val="11"/>
          <w:szCs w:val="11"/>
          <w:color w:val="auto"/>
        </w:rPr>
        <w:t>Shares repurchased pursuant to the share repurchase program publicly announced on August 2021 that allows for the repurchase of an aggregate of up to $250.0 million of shares of our common stock through open market and privately negotiated transactions from time to time.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p>
    <w:p>
      <w:pPr>
        <w:spacing w:after="0" w:line="50"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20" w:type="dxa"/>
            <w:vAlign w:val="bottom"/>
            <w:gridSpan w:val="14"/>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43"/>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21"/>
                <w:szCs w:val="21"/>
                <w:color w:val="auto"/>
              </w:rPr>
            </w:pPr>
          </w:p>
        </w:tc>
        <w:tc>
          <w:tcPr>
            <w:tcW w:w="9940" w:type="dxa"/>
            <w:vAlign w:val="bottom"/>
            <w:gridSpan w:val="20"/>
          </w:tcPr>
          <w:p>
            <w:pPr>
              <w:spacing w:after="0"/>
              <w:rPr>
                <w:rFonts w:ascii="Arial" w:cs="Arial" w:eastAsia="Arial" w:hAnsi="Arial"/>
                <w:sz w:val="18"/>
                <w:szCs w:val="18"/>
                <w:color w:val="0000FF"/>
                <w:w w:val="96"/>
              </w:rPr>
            </w:pPr>
            <w:hyperlink r:id="rId52">
              <w:r>
                <w:rPr>
                  <w:rFonts w:ascii="Arial" w:cs="Arial" w:eastAsia="Arial" w:hAnsi="Arial"/>
                  <w:sz w:val="18"/>
                  <w:szCs w:val="18"/>
                  <w:color w:val="0000FF"/>
                  <w:w w:val="96"/>
                </w:rPr>
                <w:t>Certificate of Incorporation of Rent-A-Center, Inc., as amended (incorporated herein by reference to Exhibit 3.1 to the registrant's</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52">
              <w:r>
                <w:rPr>
                  <w:rFonts w:ascii="Arial" w:cs="Arial" w:eastAsia="Arial" w:hAnsi="Arial"/>
                  <w:sz w:val="18"/>
                  <w:szCs w:val="18"/>
                  <w:color w:val="0000FF"/>
                  <w:w w:val="90"/>
                </w:rPr>
                <w:t>Current Report on Form 8-K dated as of December 31, 2002)</w:t>
              </w:r>
            </w:hyperlink>
          </w:p>
        </w:tc>
        <w:tc>
          <w:tcPr>
            <w:tcW w:w="55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87"/>
              </w:rPr>
              <w:t>3.2</w:t>
            </w:r>
          </w:p>
        </w:tc>
        <w:tc>
          <w:tcPr>
            <w:tcW w:w="200" w:type="dxa"/>
            <w:vAlign w:val="bottom"/>
          </w:tcPr>
          <w:p>
            <w:pPr>
              <w:spacing w:after="0"/>
              <w:rPr>
                <w:sz w:val="22"/>
                <w:szCs w:val="22"/>
                <w:color w:val="auto"/>
              </w:rPr>
            </w:pPr>
          </w:p>
        </w:tc>
        <w:tc>
          <w:tcPr>
            <w:tcW w:w="9940" w:type="dxa"/>
            <w:vAlign w:val="bottom"/>
            <w:gridSpan w:val="20"/>
          </w:tcPr>
          <w:p>
            <w:pPr>
              <w:spacing w:after="0"/>
              <w:rPr>
                <w:rFonts w:ascii="Arial" w:cs="Arial" w:eastAsia="Arial" w:hAnsi="Arial"/>
                <w:sz w:val="18"/>
                <w:szCs w:val="18"/>
                <w:color w:val="0000FF"/>
                <w:w w:val="98"/>
              </w:rPr>
            </w:pPr>
            <w:hyperlink r:id="rId53">
              <w:r>
                <w:rPr>
                  <w:rFonts w:ascii="Arial" w:cs="Arial" w:eastAsia="Arial" w:hAnsi="Arial"/>
                  <w:sz w:val="18"/>
                  <w:szCs w:val="18"/>
                  <w:color w:val="0000FF"/>
                  <w:w w:val="98"/>
                </w:rPr>
                <w:t>Certificate of Amendment to the Certificate of Incorporation of Rent-A-Center, Inc., dated May 19, 2004 (incorporated herein by</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9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53">
              <w:r>
                <w:rPr>
                  <w:rFonts w:ascii="Arial" w:cs="Arial" w:eastAsia="Arial" w:hAnsi="Arial"/>
                  <w:sz w:val="18"/>
                  <w:szCs w:val="18"/>
                  <w:color w:val="0000FF"/>
                </w:rPr>
                <w:t>reference to Exhibit 3.2 to the registrant's Quarterly Report on Form 10-Q for the quarter ended June 30, 2004)</w:t>
              </w:r>
            </w:hyperlink>
          </w:p>
        </w:tc>
        <w:tc>
          <w:tcPr>
            <w:tcW w:w="40" w:type="dxa"/>
            <w:vAlign w:val="bottom"/>
            <w:gridSpan w:val="2"/>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4"/>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87"/>
              </w:rPr>
              <w:t>3.3</w:t>
            </w:r>
          </w:p>
        </w:tc>
        <w:tc>
          <w:tcPr>
            <w:tcW w:w="200" w:type="dxa"/>
            <w:vAlign w:val="bottom"/>
          </w:tcPr>
          <w:p>
            <w:pPr>
              <w:spacing w:after="0"/>
              <w:rPr>
                <w:sz w:val="22"/>
                <w:szCs w:val="22"/>
                <w:color w:val="auto"/>
              </w:rPr>
            </w:pPr>
          </w:p>
        </w:tc>
        <w:tc>
          <w:tcPr>
            <w:tcW w:w="9940" w:type="dxa"/>
            <w:vAlign w:val="bottom"/>
            <w:gridSpan w:val="20"/>
          </w:tcPr>
          <w:p>
            <w:pPr>
              <w:spacing w:after="0"/>
              <w:rPr>
                <w:rFonts w:ascii="Arial" w:cs="Arial" w:eastAsia="Arial" w:hAnsi="Arial"/>
                <w:sz w:val="18"/>
                <w:szCs w:val="18"/>
                <w:color w:val="0000FF"/>
                <w:w w:val="98"/>
              </w:rPr>
            </w:pPr>
            <w:hyperlink r:id="rId54">
              <w:r>
                <w:rPr>
                  <w:rFonts w:ascii="Arial" w:cs="Arial" w:eastAsia="Arial" w:hAnsi="Arial"/>
                  <w:sz w:val="18"/>
                  <w:szCs w:val="18"/>
                  <w:color w:val="0000FF"/>
                  <w:w w:val="98"/>
                </w:rPr>
                <w:t>Certificate of Amendment to the Certificate of Incorporation of Rent-A-Center, Inc., dated June 8, 2021 (incorporated herein by</w:t>
              </w:r>
            </w:hyperlink>
          </w:p>
        </w:tc>
      </w:tr>
      <w:tr>
        <w:trPr>
          <w:trHeight w:val="155"/>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9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reference to Exhibit 3.1 to the registrant's Current Report on Form 8-K dated as of June 8, 2021)</w:t>
              </w:r>
            </w:hyperlink>
          </w:p>
        </w:tc>
        <w:tc>
          <w:tcPr>
            <w:tcW w:w="286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3"/>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87"/>
              </w:rPr>
              <w:t>3.4</w:t>
            </w:r>
          </w:p>
        </w:tc>
        <w:tc>
          <w:tcPr>
            <w:tcW w:w="200" w:type="dxa"/>
            <w:vAlign w:val="bottom"/>
          </w:tcPr>
          <w:p>
            <w:pPr>
              <w:spacing w:after="0"/>
              <w:rPr>
                <w:sz w:val="22"/>
                <w:szCs w:val="22"/>
                <w:color w:val="auto"/>
              </w:rPr>
            </w:pPr>
          </w:p>
        </w:tc>
        <w:tc>
          <w:tcPr>
            <w:tcW w:w="9940" w:type="dxa"/>
            <w:vAlign w:val="bottom"/>
            <w:gridSpan w:val="20"/>
          </w:tcPr>
          <w:p>
            <w:pPr>
              <w:spacing w:after="0"/>
              <w:rPr>
                <w:rFonts w:ascii="Arial" w:cs="Arial" w:eastAsia="Arial" w:hAnsi="Arial"/>
                <w:sz w:val="18"/>
                <w:szCs w:val="18"/>
                <w:color w:val="0000FF"/>
                <w:w w:val="94"/>
              </w:rPr>
            </w:pPr>
            <w:hyperlink r:id="rId55">
              <w:r>
                <w:rPr>
                  <w:rFonts w:ascii="Arial" w:cs="Arial" w:eastAsia="Arial" w:hAnsi="Arial"/>
                  <w:sz w:val="18"/>
                  <w:szCs w:val="18"/>
                  <w:color w:val="0000FF"/>
                  <w:w w:val="94"/>
                </w:rPr>
                <w:t>Certificate of Designations of Series D Preferred Stock of Rent-A-Center, Inc. (incorporated herein by reference to Exhibit 3.1 to the</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55">
              <w:r>
                <w:rPr>
                  <w:rFonts w:ascii="Arial" w:cs="Arial" w:eastAsia="Arial" w:hAnsi="Arial"/>
                  <w:sz w:val="18"/>
                  <w:szCs w:val="18"/>
                  <w:color w:val="0000FF"/>
                  <w:w w:val="90"/>
                </w:rPr>
                <w:t>registrant's Current Report on Form 8-K dated as of March 29, 2017)</w:t>
              </w:r>
            </w:hyperlink>
          </w:p>
        </w:tc>
        <w:tc>
          <w:tcPr>
            <w:tcW w:w="48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3"/>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87"/>
              </w:rPr>
              <w:t>3.5</w:t>
            </w:r>
          </w:p>
        </w:tc>
        <w:tc>
          <w:tcPr>
            <w:tcW w:w="200" w:type="dxa"/>
            <w:vAlign w:val="bottom"/>
          </w:tcPr>
          <w:p>
            <w:pPr>
              <w:spacing w:after="0"/>
              <w:rPr>
                <w:sz w:val="22"/>
                <w:szCs w:val="22"/>
                <w:color w:val="auto"/>
              </w:rPr>
            </w:pPr>
          </w:p>
        </w:tc>
        <w:tc>
          <w:tcPr>
            <w:tcW w:w="9940" w:type="dxa"/>
            <w:vAlign w:val="bottom"/>
            <w:gridSpan w:val="20"/>
          </w:tcPr>
          <w:p>
            <w:pPr>
              <w:spacing w:after="0"/>
              <w:rPr>
                <w:rFonts w:ascii="Arial" w:cs="Arial" w:eastAsia="Arial" w:hAnsi="Arial"/>
                <w:sz w:val="18"/>
                <w:szCs w:val="18"/>
                <w:color w:val="0000FF"/>
                <w:w w:val="97"/>
              </w:rPr>
            </w:pPr>
            <w:hyperlink r:id="rId56">
              <w:r>
                <w:rPr>
                  <w:rFonts w:ascii="Arial" w:cs="Arial" w:eastAsia="Arial" w:hAnsi="Arial"/>
                  <w:sz w:val="18"/>
                  <w:szCs w:val="18"/>
                  <w:color w:val="0000FF"/>
                  <w:w w:val="97"/>
                </w:rPr>
                <w:t>Amended and Restated Bylaws of Rent-A-Center, Inc. (incorporated herein by reference to Exhibit 3.2 to the registrant's Current</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Report on Form 8-K dated as of December 1, 2020)</w:t>
              </w:r>
            </w:hyperlink>
          </w:p>
        </w:tc>
        <w:tc>
          <w:tcPr>
            <w:tcW w:w="60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4"/>
        </w:trPr>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00" w:type="dxa"/>
            <w:vAlign w:val="bottom"/>
          </w:tcPr>
          <w:p>
            <w:pPr>
              <w:spacing w:after="0"/>
              <w:rPr>
                <w:sz w:val="22"/>
                <w:szCs w:val="22"/>
                <w:color w:val="auto"/>
              </w:rPr>
            </w:pPr>
          </w:p>
        </w:tc>
        <w:tc>
          <w:tcPr>
            <w:tcW w:w="9940" w:type="dxa"/>
            <w:vAlign w:val="bottom"/>
            <w:gridSpan w:val="20"/>
          </w:tcPr>
          <w:p>
            <w:pPr>
              <w:spacing w:after="0"/>
              <w:rPr>
                <w:rFonts w:ascii="Arial" w:cs="Arial" w:eastAsia="Arial" w:hAnsi="Arial"/>
                <w:sz w:val="18"/>
                <w:szCs w:val="18"/>
                <w:color w:val="0000FF"/>
                <w:w w:val="92"/>
              </w:rPr>
            </w:pPr>
            <w:hyperlink r:id="rId57">
              <w:r>
                <w:rPr>
                  <w:rFonts w:ascii="Arial" w:cs="Arial" w:eastAsia="Arial" w:hAnsi="Arial"/>
                  <w:sz w:val="18"/>
                  <w:szCs w:val="18"/>
                  <w:color w:val="0000FF"/>
                  <w:w w:val="92"/>
                </w:rPr>
                <w:t>First Amendment to Term Loan Credit Agreement, dated as of September 21, 2021, by and among Rent-A-Center, Inc., the other Loan</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5"/>
              </w:rPr>
            </w:pPr>
            <w:hyperlink r:id="rId57">
              <w:r>
                <w:rPr>
                  <w:rFonts w:ascii="Arial" w:cs="Arial" w:eastAsia="Arial" w:hAnsi="Arial"/>
                  <w:sz w:val="18"/>
                  <w:szCs w:val="18"/>
                  <w:color w:val="0000FF"/>
                  <w:w w:val="95"/>
                </w:rPr>
                <w:t>Parties party thereto, the Lenders party thereto and JPMorgan Chase Bank, N.A., as administrative agent (incorporated herein by</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80" w:type="dxa"/>
            <w:vAlign w:val="bottom"/>
            <w:gridSpan w:val="17"/>
          </w:tcPr>
          <w:p>
            <w:pPr>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reference to Exhibit 10.1 to the registrant's Current Report on Form 8-K dated as of September 21, 2021.)</w:t>
              </w:r>
            </w:hyperlink>
          </w:p>
        </w:tc>
        <w:tc>
          <w:tcPr>
            <w:tcW w:w="60" w:type="dxa"/>
            <w:vAlign w:val="bottom"/>
            <w:gridSpan w:val="3"/>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80" w:type="dxa"/>
            <w:vAlign w:val="bottom"/>
            <w:gridSpan w:val="5"/>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64"/>
        </w:trPr>
        <w:tc>
          <w:tcPr>
            <w:tcW w:w="96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200" w:type="dxa"/>
            <w:vAlign w:val="bottom"/>
          </w:tcPr>
          <w:p>
            <w:pPr>
              <w:spacing w:after="0"/>
              <w:rPr>
                <w:sz w:val="22"/>
                <w:szCs w:val="22"/>
                <w:color w:val="auto"/>
              </w:rPr>
            </w:pPr>
          </w:p>
        </w:tc>
        <w:tc>
          <w:tcPr>
            <w:tcW w:w="9940" w:type="dxa"/>
            <w:vAlign w:val="bottom"/>
            <w:gridSpan w:val="20"/>
          </w:tcPr>
          <w:p>
            <w:pPr>
              <w:spacing w:after="0"/>
              <w:rPr>
                <w:rFonts w:ascii="Arial" w:cs="Arial" w:eastAsia="Arial" w:hAnsi="Arial"/>
                <w:sz w:val="18"/>
                <w:szCs w:val="18"/>
                <w:color w:val="0000FF"/>
                <w:w w:val="93"/>
              </w:rPr>
            </w:pPr>
            <w:hyperlink w:anchor="page43">
              <w:r>
                <w:rPr>
                  <w:rFonts w:ascii="Arial" w:cs="Arial" w:eastAsia="Arial" w:hAnsi="Arial"/>
                  <w:sz w:val="18"/>
                  <w:szCs w:val="18"/>
                  <w:color w:val="0000FF"/>
                  <w:w w:val="93"/>
                </w:rPr>
                <w:t>Certification pursuant to Rule 13a-14(a) of the Securities Exchange Act of 1934 implementing Section 302 of the Sarbanes-Oxley Act</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43">
              <w:r>
                <w:rPr>
                  <w:rFonts w:ascii="Arial" w:cs="Arial" w:eastAsia="Arial" w:hAnsi="Arial"/>
                  <w:sz w:val="18"/>
                  <w:szCs w:val="18"/>
                  <w:color w:val="0000FF"/>
                </w:rPr>
                <w:t>of 2002 by Mitchell E. Fadel</w:t>
              </w:r>
            </w:hyperlink>
          </w:p>
        </w:tc>
        <w:tc>
          <w:tcPr>
            <w:tcW w:w="100" w:type="dxa"/>
            <w:vAlign w:val="bottom"/>
            <w:gridSpan w:val="5"/>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63"/>
        </w:trPr>
        <w:tc>
          <w:tcPr>
            <w:tcW w:w="96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200" w:type="dxa"/>
            <w:vAlign w:val="bottom"/>
          </w:tcPr>
          <w:p>
            <w:pPr>
              <w:spacing w:after="0"/>
              <w:rPr>
                <w:sz w:val="22"/>
                <w:szCs w:val="22"/>
                <w:color w:val="auto"/>
              </w:rPr>
            </w:pPr>
          </w:p>
        </w:tc>
        <w:tc>
          <w:tcPr>
            <w:tcW w:w="9940" w:type="dxa"/>
            <w:vAlign w:val="bottom"/>
            <w:gridSpan w:val="20"/>
          </w:tcPr>
          <w:p>
            <w:pPr>
              <w:spacing w:after="0"/>
              <w:rPr>
                <w:rFonts w:ascii="Arial" w:cs="Arial" w:eastAsia="Arial" w:hAnsi="Arial"/>
                <w:sz w:val="18"/>
                <w:szCs w:val="18"/>
                <w:color w:val="0000FF"/>
                <w:w w:val="93"/>
              </w:rPr>
            </w:pPr>
            <w:hyperlink w:anchor="page44">
              <w:r>
                <w:rPr>
                  <w:rFonts w:ascii="Arial" w:cs="Arial" w:eastAsia="Arial" w:hAnsi="Arial"/>
                  <w:sz w:val="18"/>
                  <w:szCs w:val="18"/>
                  <w:color w:val="0000FF"/>
                  <w:w w:val="93"/>
                </w:rPr>
                <w:t>Certification pursuant to Rule 13a-14(a) of the Securities Exchange Act of 1934 implementing Section 302 of the Sarbanes-Oxley Act</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w:anchor="page44">
              <w:r>
                <w:rPr>
                  <w:rFonts w:ascii="Arial" w:cs="Arial" w:eastAsia="Arial" w:hAnsi="Arial"/>
                  <w:sz w:val="18"/>
                  <w:szCs w:val="18"/>
                  <w:color w:val="0000FF"/>
                  <w:w w:val="91"/>
                </w:rPr>
                <w:t>of 2002 by Maureen B. Short</w:t>
              </w:r>
            </w:hyperlink>
          </w:p>
        </w:tc>
        <w:tc>
          <w:tcPr>
            <w:tcW w:w="7720" w:type="dxa"/>
            <w:vAlign w:val="bottom"/>
            <w:tcBorders>
              <w:top w:val="single" w:sz="8" w:color="0000FF"/>
            </w:tcBorders>
            <w:gridSpan w:val="11"/>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64"/>
        </w:trPr>
        <w:tc>
          <w:tcPr>
            <w:tcW w:w="96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200" w:type="dxa"/>
            <w:vAlign w:val="bottom"/>
          </w:tcPr>
          <w:p>
            <w:pPr>
              <w:spacing w:after="0"/>
              <w:rPr>
                <w:sz w:val="22"/>
                <w:szCs w:val="22"/>
                <w:color w:val="auto"/>
              </w:rPr>
            </w:pPr>
          </w:p>
        </w:tc>
        <w:tc>
          <w:tcPr>
            <w:tcW w:w="9940" w:type="dxa"/>
            <w:vAlign w:val="bottom"/>
            <w:gridSpan w:val="20"/>
          </w:tcPr>
          <w:p>
            <w:pPr>
              <w:spacing w:after="0"/>
              <w:rPr>
                <w:rFonts w:ascii="Arial" w:cs="Arial" w:eastAsia="Arial" w:hAnsi="Arial"/>
                <w:sz w:val="18"/>
                <w:szCs w:val="18"/>
                <w:color w:val="0000FF"/>
                <w:w w:val="93"/>
              </w:rPr>
            </w:pPr>
            <w:hyperlink w:anchor="page45">
              <w:r>
                <w:rPr>
                  <w:rFonts w:ascii="Arial" w:cs="Arial" w:eastAsia="Arial" w:hAnsi="Arial"/>
                  <w:sz w:val="18"/>
                  <w:szCs w:val="18"/>
                  <w:color w:val="0000FF"/>
                  <w:w w:val="93"/>
                </w:rPr>
                <w:t>Certification pursuant to 18 U.S.C. Section 1350 as adopted pursuant to Section 906 of the Sarbanes-Oxley Act of 2002 by Mitchell E.</w:t>
              </w:r>
            </w:hyperlink>
          </w:p>
        </w:tc>
      </w:tr>
      <w:tr>
        <w:trPr>
          <w:trHeight w:val="155"/>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w:anchor="page45">
              <w:r>
                <w:rPr>
                  <w:rFonts w:ascii="Arial" w:cs="Arial" w:eastAsia="Arial" w:hAnsi="Arial"/>
                  <w:sz w:val="18"/>
                  <w:szCs w:val="18"/>
                  <w:color w:val="0000FF"/>
                  <w:w w:val="88"/>
                </w:rPr>
                <w:t>Fadel</w:t>
              </w:r>
            </w:hyperlink>
          </w:p>
        </w:tc>
        <w:tc>
          <w:tcPr>
            <w:tcW w:w="9360" w:type="dxa"/>
            <w:vAlign w:val="bottom"/>
            <w:tcBorders>
              <w:top w:val="single" w:sz="8" w:color="0000FF"/>
            </w:tcBorders>
            <w:gridSpan w:val="10"/>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63"/>
        </w:trPr>
        <w:tc>
          <w:tcPr>
            <w:tcW w:w="96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200" w:type="dxa"/>
            <w:vAlign w:val="bottom"/>
          </w:tcPr>
          <w:p>
            <w:pPr>
              <w:spacing w:after="0"/>
              <w:rPr>
                <w:sz w:val="22"/>
                <w:szCs w:val="22"/>
                <w:color w:val="auto"/>
              </w:rPr>
            </w:pPr>
          </w:p>
        </w:tc>
        <w:tc>
          <w:tcPr>
            <w:tcW w:w="9940" w:type="dxa"/>
            <w:vAlign w:val="bottom"/>
            <w:gridSpan w:val="20"/>
          </w:tcPr>
          <w:p>
            <w:pPr>
              <w:spacing w:after="0"/>
              <w:rPr>
                <w:rFonts w:ascii="Arial" w:cs="Arial" w:eastAsia="Arial" w:hAnsi="Arial"/>
                <w:sz w:val="18"/>
                <w:szCs w:val="18"/>
                <w:color w:val="0000FF"/>
                <w:w w:val="92"/>
              </w:rPr>
            </w:pPr>
            <w:hyperlink w:anchor="page46">
              <w:r>
                <w:rPr>
                  <w:rFonts w:ascii="Arial" w:cs="Arial" w:eastAsia="Arial" w:hAnsi="Arial"/>
                  <w:sz w:val="18"/>
                  <w:szCs w:val="18"/>
                  <w:color w:val="0000FF"/>
                  <w:w w:val="92"/>
                </w:rPr>
                <w:t>Certification pursuant to 18 U.S.C. Section 1350 as adopted pursuant to Section 906 of the Sarbanes-Oxley Act of 2002 by Maureen B.</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w:anchor="page46">
              <w:r>
                <w:rPr>
                  <w:rFonts w:ascii="Arial" w:cs="Arial" w:eastAsia="Arial" w:hAnsi="Arial"/>
                  <w:sz w:val="18"/>
                  <w:szCs w:val="18"/>
                  <w:color w:val="0000FF"/>
                  <w:w w:val="88"/>
                </w:rPr>
                <w:t>Short</w:t>
              </w:r>
            </w:hyperlink>
          </w:p>
        </w:tc>
        <w:tc>
          <w:tcPr>
            <w:tcW w:w="9360" w:type="dxa"/>
            <w:vAlign w:val="bottom"/>
            <w:tcBorders>
              <w:top w:val="single" w:sz="8" w:color="0000FF"/>
            </w:tcBorders>
            <w:gridSpan w:val="10"/>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250"/>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7"/>
              </w:rPr>
              <w:t>101.INS*</w:t>
            </w:r>
          </w:p>
        </w:tc>
        <w:tc>
          <w:tcPr>
            <w:tcW w:w="200" w:type="dxa"/>
            <w:vAlign w:val="bottom"/>
          </w:tcPr>
          <w:p>
            <w:pPr>
              <w:spacing w:after="0"/>
              <w:rPr>
                <w:sz w:val="21"/>
                <w:szCs w:val="21"/>
                <w:color w:val="auto"/>
              </w:rPr>
            </w:pPr>
          </w:p>
        </w:tc>
        <w:tc>
          <w:tcPr>
            <w:tcW w:w="9940" w:type="dxa"/>
            <w:vAlign w:val="bottom"/>
            <w:gridSpan w:val="20"/>
          </w:tcPr>
          <w:p>
            <w:pPr>
              <w:spacing w:after="0"/>
              <w:rPr>
                <w:sz w:val="20"/>
                <w:szCs w:val="20"/>
                <w:color w:val="auto"/>
              </w:rPr>
            </w:pPr>
            <w:r>
              <w:rPr>
                <w:rFonts w:ascii="Arial" w:cs="Arial" w:eastAsia="Arial" w:hAnsi="Arial"/>
                <w:sz w:val="18"/>
                <w:szCs w:val="18"/>
                <w:color w:val="auto"/>
                <w:w w:val="93"/>
              </w:rPr>
              <w:t>XBRL Instance Document - The instance document does not appear in the interactive data files because its XBRL tags are embedded</w:t>
            </w:r>
          </w:p>
        </w:tc>
      </w:tr>
      <w:tr>
        <w:trPr>
          <w:trHeight w:val="230"/>
        </w:trPr>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40" w:type="dxa"/>
            <w:vAlign w:val="bottom"/>
            <w:gridSpan w:val="20"/>
          </w:tcPr>
          <w:p>
            <w:pPr>
              <w:spacing w:after="0"/>
              <w:rPr>
                <w:sz w:val="20"/>
                <w:szCs w:val="20"/>
                <w:color w:val="auto"/>
              </w:rPr>
            </w:pPr>
            <w:r>
              <w:rPr>
                <w:rFonts w:ascii="Arial" w:cs="Arial" w:eastAsia="Arial" w:hAnsi="Arial"/>
                <w:sz w:val="18"/>
                <w:szCs w:val="18"/>
                <w:color w:val="auto"/>
              </w:rPr>
              <w:t>within the inline XBRL document</w:t>
            </w:r>
          </w:p>
        </w:tc>
      </w:tr>
      <w:tr>
        <w:trPr>
          <w:trHeight w:val="283"/>
        </w:trPr>
        <w:tc>
          <w:tcPr>
            <w:tcW w:w="960" w:type="dxa"/>
            <w:vAlign w:val="bottom"/>
          </w:tcPr>
          <w:p>
            <w:pPr>
              <w:jc w:val="center"/>
              <w:spacing w:after="0"/>
              <w:rPr>
                <w:sz w:val="20"/>
                <w:szCs w:val="20"/>
                <w:color w:val="auto"/>
              </w:rPr>
            </w:pPr>
            <w:r>
              <w:rPr>
                <w:rFonts w:ascii="Arial" w:cs="Arial" w:eastAsia="Arial" w:hAnsi="Arial"/>
                <w:sz w:val="18"/>
                <w:szCs w:val="18"/>
                <w:color w:val="auto"/>
                <w:w w:val="94"/>
              </w:rPr>
              <w:t>101.SCH*</w:t>
            </w:r>
          </w:p>
        </w:tc>
        <w:tc>
          <w:tcPr>
            <w:tcW w:w="200" w:type="dxa"/>
            <w:vAlign w:val="bottom"/>
          </w:tcPr>
          <w:p>
            <w:pPr>
              <w:spacing w:after="0"/>
              <w:rPr>
                <w:sz w:val="24"/>
                <w:szCs w:val="24"/>
                <w:color w:val="auto"/>
              </w:rPr>
            </w:pPr>
          </w:p>
        </w:tc>
        <w:tc>
          <w:tcPr>
            <w:tcW w:w="9940" w:type="dxa"/>
            <w:vAlign w:val="bottom"/>
            <w:gridSpan w:val="20"/>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960" w:type="dxa"/>
            <w:vAlign w:val="bottom"/>
          </w:tcPr>
          <w:p>
            <w:pPr>
              <w:jc w:val="center"/>
              <w:spacing w:after="0"/>
              <w:rPr>
                <w:sz w:val="20"/>
                <w:szCs w:val="20"/>
                <w:color w:val="auto"/>
              </w:rPr>
            </w:pPr>
            <w:r>
              <w:rPr>
                <w:rFonts w:ascii="Arial" w:cs="Arial" w:eastAsia="Arial" w:hAnsi="Arial"/>
                <w:sz w:val="18"/>
                <w:szCs w:val="18"/>
                <w:color w:val="auto"/>
                <w:w w:val="98"/>
              </w:rPr>
              <w:t>101.CAL*</w:t>
            </w:r>
          </w:p>
        </w:tc>
        <w:tc>
          <w:tcPr>
            <w:tcW w:w="200" w:type="dxa"/>
            <w:vAlign w:val="bottom"/>
          </w:tcPr>
          <w:p>
            <w:pPr>
              <w:spacing w:after="0"/>
              <w:rPr>
                <w:sz w:val="24"/>
                <w:szCs w:val="24"/>
                <w:color w:val="auto"/>
              </w:rPr>
            </w:pPr>
          </w:p>
        </w:tc>
        <w:tc>
          <w:tcPr>
            <w:tcW w:w="9940" w:type="dxa"/>
            <w:vAlign w:val="bottom"/>
            <w:gridSpan w:val="2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4"/>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4"/>
              </w:rPr>
              <w:t>101.DEF*</w:t>
            </w:r>
          </w:p>
        </w:tc>
        <w:tc>
          <w:tcPr>
            <w:tcW w:w="200" w:type="dxa"/>
            <w:vAlign w:val="bottom"/>
          </w:tcPr>
          <w:p>
            <w:pPr>
              <w:spacing w:after="0"/>
              <w:rPr>
                <w:sz w:val="24"/>
                <w:szCs w:val="24"/>
                <w:color w:val="auto"/>
              </w:rPr>
            </w:pPr>
          </w:p>
        </w:tc>
        <w:tc>
          <w:tcPr>
            <w:tcW w:w="9940" w:type="dxa"/>
            <w:vAlign w:val="bottom"/>
            <w:gridSpan w:val="2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960" w:type="dxa"/>
            <w:vAlign w:val="bottom"/>
          </w:tcPr>
          <w:p>
            <w:pPr>
              <w:jc w:val="center"/>
              <w:spacing w:after="0"/>
              <w:rPr>
                <w:sz w:val="20"/>
                <w:szCs w:val="20"/>
                <w:color w:val="auto"/>
              </w:rPr>
            </w:pPr>
            <w:r>
              <w:rPr>
                <w:rFonts w:ascii="Arial" w:cs="Arial" w:eastAsia="Arial" w:hAnsi="Arial"/>
                <w:sz w:val="18"/>
                <w:szCs w:val="18"/>
                <w:color w:val="auto"/>
                <w:w w:val="99"/>
              </w:rPr>
              <w:t>101.LAB*</w:t>
            </w:r>
          </w:p>
        </w:tc>
        <w:tc>
          <w:tcPr>
            <w:tcW w:w="200" w:type="dxa"/>
            <w:vAlign w:val="bottom"/>
          </w:tcPr>
          <w:p>
            <w:pPr>
              <w:spacing w:after="0"/>
              <w:rPr>
                <w:sz w:val="24"/>
                <w:szCs w:val="24"/>
                <w:color w:val="auto"/>
              </w:rPr>
            </w:pPr>
          </w:p>
        </w:tc>
        <w:tc>
          <w:tcPr>
            <w:tcW w:w="9940" w:type="dxa"/>
            <w:vAlign w:val="bottom"/>
            <w:gridSpan w:val="2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83"/>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3"/>
              </w:rPr>
              <w:t>101.PRE*</w:t>
            </w:r>
          </w:p>
        </w:tc>
        <w:tc>
          <w:tcPr>
            <w:tcW w:w="200" w:type="dxa"/>
            <w:vAlign w:val="bottom"/>
          </w:tcPr>
          <w:p>
            <w:pPr>
              <w:spacing w:after="0"/>
              <w:rPr>
                <w:sz w:val="24"/>
                <w:szCs w:val="24"/>
                <w:color w:val="auto"/>
              </w:rPr>
            </w:pPr>
          </w:p>
        </w:tc>
        <w:tc>
          <w:tcPr>
            <w:tcW w:w="9940" w:type="dxa"/>
            <w:vAlign w:val="bottom"/>
            <w:gridSpan w:val="20"/>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84"/>
        </w:trPr>
        <w:tc>
          <w:tcPr>
            <w:tcW w:w="960" w:type="dxa"/>
            <w:vAlign w:val="bottom"/>
          </w:tcPr>
          <w:p>
            <w:pPr>
              <w:jc w:val="center"/>
              <w:spacing w:after="0"/>
              <w:rPr>
                <w:sz w:val="20"/>
                <w:szCs w:val="20"/>
                <w:color w:val="auto"/>
              </w:rPr>
            </w:pPr>
            <w:r>
              <w:rPr>
                <w:rFonts w:ascii="Arial" w:cs="Arial" w:eastAsia="Arial" w:hAnsi="Arial"/>
                <w:sz w:val="18"/>
                <w:szCs w:val="18"/>
                <w:color w:val="auto"/>
                <w:w w:val="97"/>
              </w:rPr>
              <w:t>104*</w:t>
            </w:r>
          </w:p>
        </w:tc>
        <w:tc>
          <w:tcPr>
            <w:tcW w:w="200" w:type="dxa"/>
            <w:vAlign w:val="bottom"/>
          </w:tcPr>
          <w:p>
            <w:pPr>
              <w:spacing w:after="0"/>
              <w:rPr>
                <w:sz w:val="24"/>
                <w:szCs w:val="24"/>
                <w:color w:val="auto"/>
              </w:rPr>
            </w:pPr>
          </w:p>
        </w:tc>
        <w:tc>
          <w:tcPr>
            <w:tcW w:w="9940" w:type="dxa"/>
            <w:vAlign w:val="bottom"/>
            <w:gridSpan w:val="20"/>
          </w:tcPr>
          <w:p>
            <w:pPr>
              <w:spacing w:after="0"/>
              <w:rPr>
                <w:sz w:val="20"/>
                <w:szCs w:val="20"/>
                <w:color w:val="auto"/>
              </w:rPr>
            </w:pPr>
            <w:r>
              <w:rPr>
                <w:rFonts w:ascii="Arial" w:cs="Arial" w:eastAsia="Arial" w:hAnsi="Arial"/>
                <w:sz w:val="18"/>
                <w:szCs w:val="18"/>
                <w:color w:val="auto"/>
              </w:rPr>
              <w:t>Cover page Interactive Data File (embedded within the inline XBRL document contained in Exhibit 101)</w:t>
            </w:r>
          </w:p>
        </w:tc>
      </w:tr>
      <w:tr>
        <w:trPr>
          <w:trHeight w:val="231"/>
        </w:trPr>
        <w:tc>
          <w:tcPr>
            <w:tcW w:w="960" w:type="dxa"/>
            <w:vAlign w:val="bottom"/>
          </w:tcPr>
          <w:p>
            <w:pPr>
              <w:spacing w:after="0"/>
              <w:rPr>
                <w:sz w:val="20"/>
                <w:szCs w:val="20"/>
                <w:color w:val="auto"/>
              </w:rPr>
            </w:pPr>
          </w:p>
        </w:tc>
        <w:tc>
          <w:tcPr>
            <w:tcW w:w="10140" w:type="dxa"/>
            <w:vAlign w:val="bottom"/>
            <w:gridSpan w:val="21"/>
          </w:tcPr>
          <w:p>
            <w:pPr>
              <w:ind w:left="100"/>
              <w:spacing w:after="0"/>
              <w:rPr>
                <w:sz w:val="20"/>
                <w:szCs w:val="20"/>
                <w:color w:val="auto"/>
              </w:rPr>
            </w:pPr>
            <w:r>
              <w:rPr>
                <w:rFonts w:ascii="Arial" w:cs="Arial" w:eastAsia="Arial" w:hAnsi="Arial"/>
                <w:sz w:val="14"/>
                <w:szCs w:val="14"/>
                <w:color w:val="auto"/>
              </w:rPr>
              <w:t>* 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RENT-A-CENTER, INC.</w:t>
      </w:r>
    </w:p>
    <w:p>
      <w:pPr>
        <w:spacing w:after="0" w:line="293"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MAUREEN B. SHORT</w:t>
            </w:r>
          </w:p>
        </w:tc>
      </w:tr>
      <w:tr>
        <w:trPr>
          <w:trHeight w:val="222"/>
        </w:trPr>
        <w:tc>
          <w:tcPr>
            <w:tcW w:w="280" w:type="dxa"/>
            <w:vAlign w:val="bottom"/>
          </w:tcPr>
          <w:p>
            <w:pPr>
              <w:spacing w:after="0"/>
              <w:rPr>
                <w:sz w:val="19"/>
                <w:szCs w:val="19"/>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0"/>
              </w:rPr>
              <w:t>Maureen B. Short</w:t>
            </w:r>
          </w:p>
        </w:tc>
      </w:tr>
      <w:tr>
        <w:trPr>
          <w:trHeight w:val="230"/>
        </w:trPr>
        <w:tc>
          <w:tcPr>
            <w:tcW w:w="28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i w:val="1"/>
                <w:iCs w:val="1"/>
                <w:color w:val="auto"/>
                <w:w w:val="93"/>
              </w:rPr>
              <w:t>EVP, Chief Financial Officer</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320" w:top="1120" w:right="37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u w:val="single" w:color="auto"/>
          <w:color w:val="auto"/>
        </w:rPr>
        <w:t>Exhibit 31.1</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 Mitchell E. Fadel, certify that:</w:t>
      </w:r>
    </w:p>
    <w:p>
      <w:pPr>
        <w:spacing w:after="0" w:line="225"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Rent-A-Center, Inc.;</w:t>
      </w:r>
    </w:p>
    <w:p>
      <w:pPr>
        <w:spacing w:after="0" w:line="252"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20" w:firstLine="656"/>
        <w:spacing w:after="0" w:line="308" w:lineRule="auto"/>
        <w:tabs>
          <w:tab w:leader="none" w:pos="1296"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firstLine="656"/>
        <w:spacing w:after="0" w:line="291" w:lineRule="auto"/>
        <w:tabs>
          <w:tab w:leader="none" w:pos="1296"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38" w:lineRule="exact"/>
        <w:rPr>
          <w:sz w:val="20"/>
          <w:szCs w:val="20"/>
          <w:color w:val="auto"/>
        </w:rPr>
      </w:pPr>
    </w:p>
    <w:p>
      <w:pPr>
        <w:jc w:val="both"/>
        <w:ind w:left="1300" w:hanging="644"/>
        <w:spacing w:after="0" w:line="263" w:lineRule="auto"/>
        <w:tabs>
          <w:tab w:leader="none" w:pos="1297"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644"/>
        <w:spacing w:after="0" w:line="342" w:lineRule="auto"/>
        <w:tabs>
          <w:tab w:leader="none" w:pos="1297"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firstLine="656"/>
        <w:spacing w:after="0" w:line="308" w:lineRule="auto"/>
        <w:tabs>
          <w:tab w:leader="none" w:pos="129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left="1300" w:right="20" w:hanging="644"/>
        <w:spacing w:after="0" w:line="308" w:lineRule="auto"/>
        <w:tabs>
          <w:tab w:leader="none" w:pos="1297"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29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Mitchell E. Fadel</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Mitchell E. Fadel</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32"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u w:val="single" w:color="auto"/>
          <w:color w:val="auto"/>
        </w:rPr>
        <w:t>Exhibit 31.2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 Maureen B. Short, certify that:</w:t>
      </w:r>
    </w:p>
    <w:p>
      <w:pPr>
        <w:spacing w:after="0" w:line="225"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Rent-A-Center, Inc.;</w:t>
      </w:r>
    </w:p>
    <w:p>
      <w:pPr>
        <w:spacing w:after="0" w:line="252"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20" w:firstLine="656"/>
        <w:spacing w:after="0" w:line="308" w:lineRule="auto"/>
        <w:tabs>
          <w:tab w:leader="none" w:pos="1296"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firstLine="656"/>
        <w:spacing w:after="0" w:line="291" w:lineRule="auto"/>
        <w:tabs>
          <w:tab w:leader="none" w:pos="1296"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38" w:lineRule="exact"/>
        <w:rPr>
          <w:sz w:val="20"/>
          <w:szCs w:val="20"/>
          <w:color w:val="auto"/>
        </w:rPr>
      </w:pPr>
    </w:p>
    <w:p>
      <w:pPr>
        <w:jc w:val="both"/>
        <w:ind w:left="1300" w:hanging="644"/>
        <w:spacing w:after="0" w:line="263" w:lineRule="auto"/>
        <w:tabs>
          <w:tab w:leader="none" w:pos="12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644"/>
        <w:spacing w:after="0" w:line="342" w:lineRule="auto"/>
        <w:tabs>
          <w:tab w:leader="none" w:pos="1297" w:val="left"/>
        </w:tabs>
        <w:numPr>
          <w:ilvl w:val="0"/>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firstLine="656"/>
        <w:spacing w:after="0" w:line="308" w:lineRule="auto"/>
        <w:tabs>
          <w:tab w:leader="none" w:pos="12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left="1300" w:right="20" w:hanging="644"/>
        <w:spacing w:after="0" w:line="308" w:lineRule="auto"/>
        <w:tabs>
          <w:tab w:leader="none" w:pos="1297"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29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Maureen B. Short</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Maureen B. Short</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Executive Vice President - Chief Financial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32"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u w:val="single" w:color="auto"/>
          <w:color w:val="auto"/>
        </w:rPr>
        <w:t>Exhibit 32.1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229" w:lineRule="exact"/>
        <w:rPr>
          <w:sz w:val="20"/>
          <w:szCs w:val="20"/>
          <w:color w:val="auto"/>
        </w:rPr>
      </w:pPr>
    </w:p>
    <w:p>
      <w:pPr>
        <w:jc w:val="both"/>
        <w:ind w:firstLine="355"/>
        <w:spacing w:after="0" w:line="265" w:lineRule="auto"/>
        <w:rPr>
          <w:sz w:val="20"/>
          <w:szCs w:val="20"/>
          <w:color w:val="auto"/>
        </w:rPr>
      </w:pPr>
      <w:r>
        <w:rPr>
          <w:rFonts w:ascii="Arial" w:cs="Arial" w:eastAsia="Arial" w:hAnsi="Arial"/>
          <w:sz w:val="21"/>
          <w:szCs w:val="21"/>
          <w:color w:val="auto"/>
        </w:rPr>
        <w:t>In connection with the Quarterly Report on Form 10-Q of Rent-A-Center,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for the period ended September 30, 2021, as filed with the Securities and Exchange Commission on the date hereof (the "</w:t>
      </w:r>
      <w:r>
        <w:rPr>
          <w:rFonts w:ascii="Arial" w:cs="Arial" w:eastAsia="Arial" w:hAnsi="Arial"/>
          <w:sz w:val="21"/>
          <w:szCs w:val="21"/>
          <w:b w:val="1"/>
          <w:bCs w:val="1"/>
          <w:i w:val="1"/>
          <w:iCs w:val="1"/>
          <w:color w:val="auto"/>
        </w:rPr>
        <w:t>Report</w:t>
      </w:r>
      <w:r>
        <w:rPr>
          <w:rFonts w:ascii="Arial" w:cs="Arial" w:eastAsia="Arial" w:hAnsi="Arial"/>
          <w:sz w:val="21"/>
          <w:szCs w:val="21"/>
          <w:color w:val="auto"/>
        </w:rPr>
        <w:t>"), I, Mitchell E. Fadel, Chief Executive Officer and Director of the Company, hereby certify, pursuant to 18 U.S.C. Section 1350, as adopted pursuant to Section 906 of the Sarbanes-Oxley Act of 2002, that, to the best of my knowledge:</w:t>
      </w:r>
    </w:p>
    <w:p>
      <w:pPr>
        <w:spacing w:after="0" w:line="202"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81" w:lineRule="exact"/>
        <w:rPr>
          <w:rFonts w:ascii="Arial" w:cs="Arial" w:eastAsia="Arial" w:hAnsi="Arial"/>
          <w:sz w:val="19"/>
          <w:szCs w:val="19"/>
          <w:color w:val="auto"/>
        </w:rPr>
      </w:pPr>
    </w:p>
    <w:p>
      <w:pPr>
        <w:ind w:left="660" w:hanging="652"/>
        <w:spacing w:after="0" w:line="263" w:lineRule="auto"/>
        <w:tabs>
          <w:tab w:leader="none" w:pos="633"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860"/>
        <w:spacing w:after="0"/>
        <w:rPr>
          <w:sz w:val="20"/>
          <w:szCs w:val="20"/>
          <w:color w:val="auto"/>
        </w:rPr>
      </w:pPr>
      <w:r>
        <w:rPr>
          <w:rFonts w:ascii="Arial" w:cs="Arial" w:eastAsia="Arial" w:hAnsi="Arial"/>
          <w:sz w:val="22"/>
          <w:szCs w:val="22"/>
          <w:u w:val="single" w:color="auto"/>
          <w:color w:val="auto"/>
        </w:rPr>
        <w:t>/s/ Mitchell E. Fadel</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Mitchell E. Fadel</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Chief Executive Officer and Director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Dated: November 4, 2021</w:t>
      </w:r>
    </w:p>
    <w:p>
      <w:pPr>
        <w:spacing w:after="0" w:line="200" w:lineRule="exact"/>
        <w:rPr>
          <w:sz w:val="20"/>
          <w:szCs w:val="20"/>
          <w:color w:val="auto"/>
        </w:rPr>
      </w:pPr>
    </w:p>
    <w:p>
      <w:pPr>
        <w:spacing w:after="0" w:line="29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signed original of this written statement required by Section 906 has been provided to Rent-A-Center, Inc. and will be retained by Rent-A-Center,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32"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u w:val="single" w:color="auto"/>
          <w:color w:val="auto"/>
        </w:rPr>
        <w:t>Exhibit 32.2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229" w:lineRule="exact"/>
        <w:rPr>
          <w:sz w:val="20"/>
          <w:szCs w:val="20"/>
          <w:color w:val="auto"/>
        </w:rPr>
      </w:pPr>
    </w:p>
    <w:p>
      <w:pPr>
        <w:jc w:val="both"/>
        <w:ind w:firstLine="355"/>
        <w:spacing w:after="0" w:line="265" w:lineRule="auto"/>
        <w:rPr>
          <w:sz w:val="20"/>
          <w:szCs w:val="20"/>
          <w:color w:val="auto"/>
        </w:rPr>
      </w:pPr>
      <w:r>
        <w:rPr>
          <w:rFonts w:ascii="Arial" w:cs="Arial" w:eastAsia="Arial" w:hAnsi="Arial"/>
          <w:sz w:val="21"/>
          <w:szCs w:val="21"/>
          <w:color w:val="auto"/>
        </w:rPr>
        <w:t>In connection with the Quarterly Report on Form 10-Q of Rent-A-Center,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for the period ended September 30, 2021, as filed with the Securities and Exchange Commission on the date hereof (the "</w:t>
      </w:r>
      <w:r>
        <w:rPr>
          <w:rFonts w:ascii="Arial" w:cs="Arial" w:eastAsia="Arial" w:hAnsi="Arial"/>
          <w:sz w:val="21"/>
          <w:szCs w:val="21"/>
          <w:b w:val="1"/>
          <w:bCs w:val="1"/>
          <w:i w:val="1"/>
          <w:iCs w:val="1"/>
          <w:color w:val="auto"/>
        </w:rPr>
        <w:t>Report</w:t>
      </w:r>
      <w:r>
        <w:rPr>
          <w:rFonts w:ascii="Arial" w:cs="Arial" w:eastAsia="Arial" w:hAnsi="Arial"/>
          <w:sz w:val="21"/>
          <w:szCs w:val="21"/>
          <w:color w:val="auto"/>
        </w:rPr>
        <w:t>"), I, Maureen B. Short, Chief Financial Officer of the Company, hereby certify, pursuant to 18 U.S.C. Section 1350, as adopted pursuant to Section 906 of the Sarbanes-Oxley Act of 2002, that, to the best of my knowledge:</w:t>
      </w:r>
    </w:p>
    <w:p>
      <w:pPr>
        <w:spacing w:after="0" w:line="202"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81" w:lineRule="exact"/>
        <w:rPr>
          <w:rFonts w:ascii="Arial" w:cs="Arial" w:eastAsia="Arial" w:hAnsi="Arial"/>
          <w:sz w:val="19"/>
          <w:szCs w:val="19"/>
          <w:color w:val="auto"/>
        </w:rPr>
      </w:pPr>
    </w:p>
    <w:p>
      <w:pPr>
        <w:ind w:left="660" w:hanging="652"/>
        <w:spacing w:after="0" w:line="263" w:lineRule="auto"/>
        <w:tabs>
          <w:tab w:leader="none" w:pos="633"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860"/>
        <w:spacing w:after="0"/>
        <w:rPr>
          <w:sz w:val="20"/>
          <w:szCs w:val="20"/>
          <w:color w:val="auto"/>
        </w:rPr>
      </w:pPr>
      <w:r>
        <w:rPr>
          <w:rFonts w:ascii="Arial" w:cs="Arial" w:eastAsia="Arial" w:hAnsi="Arial"/>
          <w:sz w:val="22"/>
          <w:szCs w:val="22"/>
          <w:u w:val="single" w:color="auto"/>
          <w:color w:val="auto"/>
        </w:rPr>
        <w:t>/s/ Maureen B. Short</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Maureen B. Short</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Executive Vice President,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Dated: November 4, 2021</w:t>
      </w:r>
    </w:p>
    <w:p>
      <w:pPr>
        <w:spacing w:after="0" w:line="200" w:lineRule="exact"/>
        <w:rPr>
          <w:sz w:val="20"/>
          <w:szCs w:val="20"/>
          <w:color w:val="auto"/>
        </w:rPr>
      </w:pPr>
    </w:p>
    <w:p>
      <w:pPr>
        <w:spacing w:after="0" w:line="29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signed original of this written statement required by Section 906 has been provided to Rent-A-Center, Inc. and will be retained by Rent-A-Center,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decimal"/>
      <w:start w:val="5"/>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5"/>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8" Type="http://schemas.openxmlformats.org/officeDocument/2006/relationships/image" Target="media/image45.png"/><Relationship Id="rId52" Type="http://schemas.openxmlformats.org/officeDocument/2006/relationships/hyperlink" Target="http://www.sec.gov/Archives/edgar/data/933036/000095013402016210/d02215exv3w1.txt" TargetMode="External"/><Relationship Id="rId53" Type="http://schemas.openxmlformats.org/officeDocument/2006/relationships/hyperlink" Target="http://www.sec.gov/Archives/edgar/data/933036/000095013404010948/d17068exv3w2.txt" TargetMode="External"/><Relationship Id="rId54" Type="http://schemas.openxmlformats.org/officeDocument/2006/relationships/hyperlink" Target="http://www.sec.gov/Archives/edgar/data/0000933036/000110465921078652/tm2119045d1_ex3-1.htm" TargetMode="External"/><Relationship Id="rId55" Type="http://schemas.openxmlformats.org/officeDocument/2006/relationships/hyperlink" Target="http://www.sec.gov/Archives/edgar/data/933036/000093303617000022/exhibit31march282017america.htm" TargetMode="External"/><Relationship Id="rId56" Type="http://schemas.openxmlformats.org/officeDocument/2006/relationships/hyperlink" Target="http://www.sec.gov/Archives/edgar/data/933036/000093303620000119/ex-32amendedandrestate.htm" TargetMode="External"/><Relationship Id="rId57" Type="http://schemas.openxmlformats.org/officeDocument/2006/relationships/hyperlink" Target="http://www.sec.gov/Archives/edgar/data/0000933036/000110465921117907/tm2128048d1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2021-11-05T05:28:12Z</dcterms:created>
  <dcterms:modified xsi:type="dcterms:W3CDTF">2021-11-05T05:28:12Z</dcterms:modified>
</cp:coreProperties>
</file>