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53.jpeg" ContentType="image/jpeg"/>
  <Override PartName="/word/media/image149.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55.jpeg" ContentType="image/jpeg"/>
  <Override PartName="/word/media/image134.jpeg" ContentType="image/jpeg"/>
  <Override PartName="/word/media/image146.jpeg" ContentType="image/jpeg"/>
  <Override PartName="/word/media/image56.jpeg" ContentType="image/jpeg"/>
  <Override PartName="/word/media/image135.jpeg" ContentType="image/jpeg"/>
  <Override PartName="/word/media/image47.jpeg" ContentType="image/jpeg"/>
  <Override PartName="/word/media/image165.jpeg" ContentType="image/jpeg"/>
  <Override PartName="/word/media/image54.jpeg" ContentType="image/jpeg"/>
  <Override PartName="/word/media/image133.jpeg" ContentType="image/jpeg"/>
  <Override PartName="/word/media/image145.jpeg" ContentType="image/jpeg"/>
  <Override PartName="/word/media/image171.jpeg" ContentType="image/jpeg"/>
  <Override PartName="/word/media/image48.jpeg" ContentType="image/jpeg"/>
  <Override PartName="/word/media/image193.jpeg" ContentType="image/jpeg"/>
  <Override PartName="/word/media/image166.jpeg" ContentType="image/jpeg"/>
  <Override PartName="/word/media/image49.jpeg" ContentType="image/jpeg"/>
  <Override PartName="/word/media/image167.jpeg" ContentType="image/jpeg"/>
  <Override PartName="/word/media/image150.jpeg" ContentType="image/jpeg"/>
  <Override PartName="/word/media/image168.jpeg" ContentType="image/jpeg"/>
  <Override PartName="/word/media/image151.jpeg" ContentType="image/jpeg"/>
  <Override PartName="/word/media/image169.jpeg" ContentType="image/jpeg"/>
  <Override PartName="/word/media/image152.jpeg" ContentType="image/jpeg"/>
  <Override PartName="/word/media/image175.jpeg" ContentType="image/jpeg"/>
  <Override PartName="/word/media/image144.jpeg" ContentType="image/jpeg"/>
  <Override PartName="/word/media/image170.jpeg" ContentType="image/jpeg"/>
  <Override PartName="/word/media/image137.jpeg" ContentType="image/jpeg"/>
  <Override PartName="/word/media/image58.jpeg" ContentType="image/jpeg"/>
  <Override PartName="/word/media/image164.jpeg" ContentType="image/jpeg"/>
  <Override PartName="/word/media/image176.jpeg" ContentType="image/jpeg"/>
  <Override PartName="/word/media/image178.jpeg" ContentType="image/jpeg"/>
  <Override PartName="/word/media/image179.jpeg" ContentType="image/jpeg"/>
  <Override PartName="/word/media/image177.jpeg" ContentType="image/jpeg"/>
  <Override PartName="/word/media/image129.jpeg" ContentType="image/jpeg"/>
  <Override PartName="/word/media/image155.jpeg" ContentType="image/jpeg"/>
  <Override PartName="/word/media/image136.jpeg" ContentType="image/jpeg"/>
  <Override PartName="/word/media/image57.jpeg" ContentType="image/jpeg"/>
  <Override PartName="/word/media/image163.jpeg" ContentType="image/jpeg"/>
  <Override PartName="/word/media/image162.jpeg" ContentType="image/jpeg"/>
  <Override PartName="/word/media/image161.jpeg" ContentType="image/jpeg"/>
  <Override PartName="/word/media/image160.jpeg" ContentType="image/jpeg"/>
  <Override PartName="/word/media/image158.jpeg" ContentType="image/jpeg"/>
  <Override PartName="/word/media/image157.jpeg" ContentType="image/jpeg"/>
  <Override PartName="/word/media/image156.jpeg" ContentType="image/jpeg"/>
  <Override PartName="/word/media/image128.jpeg" ContentType="image/jpeg"/>
  <Override PartName="/word/media/image154.jpeg" ContentType="image/jpeg"/>
  <Override PartName="/word/media/image153.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50.jpeg" ContentType="image/jpeg"/>
  <Override PartName="/word/media/image139.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180.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2.jpeg" ContentType="image/jpeg"/>
  <Override PartName="/word/media/image174.jpeg" ContentType="image/jpeg"/>
  <Override PartName="/word/media/image108.jpeg" ContentType="image/jpeg"/>
  <Override PartName="/word/media/image181.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186.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185.jpeg" ContentType="image/jpeg"/>
  <Override PartName="/word/media/image23.jpeg" ContentType="image/jpeg"/>
  <Override PartName="/word/media/image82.jpeg" ContentType="image/jpeg"/>
  <Override PartName="/word/media/image102.jpeg" ContentType="image/jpeg"/>
  <Override PartName="/word/media/image19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6"/>
        </w:rPr>
      </w:pPr>
      <w:r>
        <w:rPr>
          <w:rFonts w:ascii="Times New Roman;serif" w:hAnsi="Times New Roman;serif"/>
          <w:b/>
          <w:color w:val="000000"/>
          <w:sz w:val="26"/>
        </w:rPr>
        <w:t xml:space="preserve">UNITED STATES </w:t>
      </w:r>
    </w:p>
    <w:p>
      <w:pPr>
        <w:pStyle w:val="TextBody"/>
        <w:bidi w:val="0"/>
        <w:spacing w:lineRule="auto" w:line="288" w:before="0" w:after="0"/>
        <w:ind w:left="0" w:right="0" w:firstLine="72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pPr>
      <w:r>
        <w:rPr>
          <w:rFonts w:ascii="Times New Roman;serif" w:hAnsi="Times New Roman;serif"/>
          <w:b/>
          <w:color w:val="000000"/>
          <w:sz w:val="18"/>
        </w:rPr>
        <w:t>Washington, D.C. 20549</w:t>
      </w:r>
      <w:r>
        <w:rPr>
          <w:color w:val="000000"/>
        </w:rPr>
        <w:t> </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 xml:space="preserve">Form 10-Q </w:t>
      </w:r>
    </w:p>
    <w:tbl>
      <w:tblPr>
        <w:tblW w:w="9158" w:type="dxa"/>
        <w:jc w:val="center"/>
        <w:tblInd w:w="0" w:type="dxa"/>
        <w:tblLayout w:type="fixed"/>
        <w:tblCellMar>
          <w:top w:w="28" w:type="dxa"/>
          <w:left w:w="28" w:type="dxa"/>
          <w:bottom w:w="28" w:type="dxa"/>
          <w:right w:w="28" w:type="dxa"/>
        </w:tblCellMar>
      </w:tblPr>
      <w:tblGrid>
        <w:gridCol w:w="172"/>
        <w:gridCol w:w="151"/>
        <w:gridCol w:w="151"/>
        <w:gridCol w:w="2538"/>
        <w:gridCol w:w="2538"/>
        <w:gridCol w:w="360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91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 One)</w:t>
            </w:r>
          </w:p>
        </w:tc>
      </w:tr>
      <w:tr>
        <w:trPr/>
        <w:tc>
          <w:tcPr>
            <w:tcW w:w="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For the quarterly period ended September 30, 2025 </w:t>
      </w:r>
    </w:p>
    <w:p>
      <w:pPr>
        <w:pStyle w:val="TextBody"/>
        <w:bidi w:val="0"/>
        <w:spacing w:lineRule="auto" w:line="288" w:before="0" w:after="0"/>
        <w:jc w:val="center"/>
        <w:rPr/>
      </w:pPr>
      <w:r>
        <w:rPr>
          <w:rFonts w:ascii="Times New Roman;serif" w:hAnsi="Times New Roman;serif"/>
          <w:b/>
          <w:color w:val="000000"/>
          <w:sz w:val="14"/>
        </w:rPr>
        <w:t>or</w:t>
      </w:r>
      <w:r>
        <w:rPr>
          <w:color w:val="000000"/>
        </w:rPr>
        <w:t> </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For the transition period from        to</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Commission File Number: 001-38047 </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Upbound Group, Inc. </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(Exact name of registrant as specified in its charter)</w:t>
      </w:r>
    </w:p>
    <w:p>
      <w:pPr>
        <w:pStyle w:val="TextBody"/>
        <w:bidi w:val="0"/>
        <w:spacing w:before="0" w:after="0"/>
        <w:jc w:val="center"/>
        <w:rPr/>
      </w:pPr>
      <w:r>
        <w:rPr/>
      </w:r>
    </w:p>
    <w:tbl>
      <w:tblPr>
        <w:tblW w:w="4750" w:type="dxa"/>
        <w:jc w:val="center"/>
        <w:tblInd w:w="0" w:type="dxa"/>
        <w:tblLayout w:type="fixed"/>
        <w:tblCellMar>
          <w:top w:w="28" w:type="dxa"/>
          <w:left w:w="28" w:type="dxa"/>
          <w:bottom w:w="28" w:type="dxa"/>
          <w:right w:w="28" w:type="dxa"/>
        </w:tblCellMar>
      </w:tblPr>
      <w:tblGrid>
        <w:gridCol w:w="1086"/>
        <w:gridCol w:w="952"/>
        <w:gridCol w:w="961"/>
        <w:gridCol w:w="109"/>
        <w:gridCol w:w="109"/>
        <w:gridCol w:w="109"/>
        <w:gridCol w:w="416"/>
        <w:gridCol w:w="416"/>
        <w:gridCol w:w="592"/>
      </w:tblGrid>
      <w:tr>
        <w:trPr/>
        <w:tc>
          <w:tcPr>
            <w:tcW w:w="108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45-0491516</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7"/>
              </w:rPr>
            </w:pPr>
            <w:r>
              <w:rPr>
                <w:rFonts w:ascii="Times New Roman;serif" w:hAnsi="Times New Roman;serif"/>
                <w:b w:val="false"/>
                <w:i/>
                <w:color w:val="000000"/>
                <w:sz w:val="17"/>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7"/>
              </w:rPr>
            </w:pPr>
            <w:r>
              <w:rPr>
                <w:rFonts w:ascii="Times New Roman;serif" w:hAnsi="Times New Roman;serif"/>
                <w:b w:val="false"/>
                <w:i/>
                <w:color w:val="000000"/>
                <w:sz w:val="17"/>
              </w:rPr>
              <w:t>(I.R.S. Employer</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7"/>
              </w:rPr>
            </w:pPr>
            <w:r>
              <w:rPr>
                <w:rFonts w:ascii="Times New Roman;serif" w:hAnsi="Times New Roman;serif"/>
                <w:b w:val="false"/>
                <w:i/>
                <w:color w:val="000000"/>
                <w:sz w:val="17"/>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7"/>
              </w:rPr>
            </w:pPr>
            <w:r>
              <w:rPr>
                <w:rFonts w:ascii="Times New Roman;serif" w:hAnsi="Times New Roman;serif"/>
                <w:b w:val="false"/>
                <w:i/>
                <w:color w:val="000000"/>
                <w:sz w:val="17"/>
              </w:rPr>
              <w:t>Identification No.)</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5501 Headquarters Drive, Plano,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75024</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(Zip Code)</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(972) 801-1100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283"/>
        <w:jc w:val="center"/>
        <w:rPr>
          <w:rFonts w:ascii="Times New Roman;serif" w:hAnsi="Times New Roman;serif"/>
          <w:b w:val="false"/>
          <w:color w:val="000000"/>
          <w:sz w:val="17"/>
        </w:rPr>
      </w:pPr>
      <w:r>
        <w:rPr>
          <w:rFonts w:ascii="Times New Roman;serif" w:hAnsi="Times New Roman;serif"/>
          <w:b w:val="false"/>
          <w:color w:val="000000"/>
          <w:sz w:val="17"/>
        </w:rPr>
        <w:t>Securities registered pursuant to Section 12(b) of the Act:</w:t>
      </w:r>
    </w:p>
    <w:tbl>
      <w:tblPr>
        <w:tblW w:w="6268" w:type="dxa"/>
        <w:jc w:val="center"/>
        <w:tblInd w:w="0" w:type="dxa"/>
        <w:tblLayout w:type="fixed"/>
        <w:tblCellMar>
          <w:top w:w="28" w:type="dxa"/>
          <w:left w:w="28" w:type="dxa"/>
          <w:bottom w:w="28" w:type="dxa"/>
          <w:right w:w="28" w:type="dxa"/>
        </w:tblCellMar>
      </w:tblPr>
      <w:tblGrid>
        <w:gridCol w:w="845"/>
        <w:gridCol w:w="744"/>
        <w:gridCol w:w="750"/>
        <w:gridCol w:w="409"/>
        <w:gridCol w:w="409"/>
        <w:gridCol w:w="411"/>
        <w:gridCol w:w="791"/>
        <w:gridCol w:w="791"/>
        <w:gridCol w:w="1118"/>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$.01 par value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UPBD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The Nasdaq Global Select Market</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jc w:val="both"/>
        <w:rPr>
          <w:rFonts w:ascii="Arial;sans-serif" w:hAnsi="Arial;sans-serif"/>
          <w:b w:val="false"/>
          <w:color w:val="000000"/>
          <w:sz w:val="17"/>
        </w:rPr>
      </w:pPr>
      <w:r>
        <w:rPr>
          <w:rFonts w:ascii="Arial;sans-serif" w:hAnsi="Arial;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jc w:val="both"/>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89"/>
        <w:gridCol w:w="1135"/>
        <w:gridCol w:w="1075"/>
        <w:gridCol w:w="223"/>
        <w:gridCol w:w="223"/>
        <w:gridCol w:w="223"/>
        <w:gridCol w:w="223"/>
        <w:gridCol w:w="223"/>
        <w:gridCol w:w="223"/>
        <w:gridCol w:w="223"/>
        <w:gridCol w:w="223"/>
        <w:gridCol w:w="223"/>
        <w:gridCol w:w="1436"/>
        <w:gridCol w:w="1436"/>
        <w:gridCol w:w="1446"/>
        <w:gridCol w:w="109"/>
        <w:gridCol w:w="109"/>
        <w:gridCol w:w="163"/>
      </w:tblGrid>
      <w:tr>
        <w:trPr/>
        <w:tc>
          <w:tcPr>
            <w:tcW w:w="12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Large accelerated filer</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Accelerated filer</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Non-accelerated filer</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Smaller reporting company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Emerging Growth Company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2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Indicate by check mark whether the registrant is a shell company (as defined in Rule 12b-2 of the Exchange Act).</w:t>
      </w:r>
    </w:p>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Yes ☐ No ☒</w:t>
      </w:r>
    </w:p>
    <w:p>
      <w:pPr>
        <w:pStyle w:val="TextBody"/>
        <w:bidi w:val="0"/>
        <w:spacing w:lineRule="auto" w:line="288" w:before="60" w:after="283"/>
        <w:jc w:val="both"/>
        <w:rPr/>
      </w:pPr>
      <w:r>
        <w:rPr>
          <w:rFonts w:ascii="Arial;sans-serif" w:hAnsi="Arial;sans-serif"/>
          <w:b w:val="false"/>
          <w:color w:val="000000"/>
          <w:sz w:val="17"/>
        </w:rPr>
        <w:t>Indicate the number of shares outstanding of each of the issuer</w:t>
      </w:r>
      <w:r>
        <w:rPr>
          <w:color w:val="000000"/>
        </w:rPr>
        <w:t>’</w:t>
      </w:r>
      <w:r>
        <w:rPr>
          <w:rFonts w:ascii="Arial;sans-serif" w:hAnsi="Arial;sans-serif"/>
          <w:b w:val="false"/>
          <w:color w:val="000000"/>
          <w:sz w:val="17"/>
        </w:rPr>
        <w:t>s classes of common stock, as of October 23, 2025:</w:t>
      </w:r>
    </w:p>
    <w:tbl>
      <w:tblPr>
        <w:tblW w:w="3642" w:type="dxa"/>
        <w:jc w:val="left"/>
        <w:tblInd w:w="0" w:type="dxa"/>
        <w:tblLayout w:type="fixed"/>
        <w:tblCellMar>
          <w:top w:w="28" w:type="dxa"/>
          <w:left w:w="28" w:type="dxa"/>
          <w:bottom w:w="28" w:type="dxa"/>
          <w:right w:w="28" w:type="dxa"/>
        </w:tblCellMar>
      </w:tblPr>
      <w:tblGrid>
        <w:gridCol w:w="830"/>
        <w:gridCol w:w="727"/>
        <w:gridCol w:w="737"/>
        <w:gridCol w:w="109"/>
        <w:gridCol w:w="109"/>
        <w:gridCol w:w="109"/>
        <w:gridCol w:w="299"/>
        <w:gridCol w:w="299"/>
        <w:gridCol w:w="423"/>
      </w:tblGrid>
      <w:tr>
        <w:trPr/>
        <w:tc>
          <w:tcPr>
            <w:tcW w:w="83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Outstanding</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57,905,731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1"/>
        <w:gridCol w:w="281"/>
        <w:gridCol w:w="284"/>
        <w:gridCol w:w="2833"/>
        <w:gridCol w:w="2833"/>
        <w:gridCol w:w="2840"/>
        <w:gridCol w:w="237"/>
        <w:gridCol w:w="237"/>
        <w:gridCol w:w="339"/>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0">
              <w:r>
                <w:rPr>
                  <w:rStyle w:val="InternetLink"/>
                  <w:rFonts w:ascii="Times New Roman;serif" w:hAnsi="Times New Roman;serif"/>
                  <w:b/>
                  <w:strike w:val="false"/>
                  <w:dstrike w:val="false"/>
                  <w:color w:val="000000"/>
                  <w:sz w:val="20"/>
                  <w:u w:val="none"/>
                  <w:effect w:val="none"/>
                </w:rPr>
                <w:t>PART I.</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0">
              <w:r>
                <w:rPr>
                  <w:rStyle w:val="InternetLink"/>
                  <w:rFonts w:ascii="Times New Roman;serif" w:hAnsi="Times New Roman;serif"/>
                  <w:b/>
                  <w:strike w:val="false"/>
                  <w:dstrike w:val="false"/>
                  <w:color w:val="000000"/>
                  <w:sz w:val="20"/>
                  <w:u w:val="none"/>
                  <w:effect w:val="none"/>
                </w:rPr>
                <w:t>FINANCIAL INFORMATION</w:t>
              </w:r>
            </w:hyperlink>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0">
              <w:r>
                <w:rPr>
                  <w:rStyle w:val="InternetLink"/>
                  <w:rFonts w:ascii="Times New Roman;serif" w:hAnsi="Times New Roman;serif"/>
                  <w:b w:val="false"/>
                  <w:strike w:val="false"/>
                  <w:dstrike w:val="false"/>
                  <w:color w:val="000000"/>
                  <w:sz w:val="20"/>
                  <w:u w:val="none"/>
                  <w:effect w:val="none"/>
                </w:rPr>
                <w:t>Item 1.</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0">
              <w:r>
                <w:rPr>
                  <w:rStyle w:val="InternetLink"/>
                  <w:rFonts w:ascii="Times New Roman;serif" w:hAnsi="Times New Roman;serif"/>
                  <w:b w:val="false"/>
                  <w:strike w:val="false"/>
                  <w:dstrike w:val="false"/>
                  <w:color w:val="000000"/>
                  <w:sz w:val="20"/>
                  <w:u w:val="none"/>
                  <w:effect w:val="none"/>
                </w:rPr>
                <w:t>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3">
              <w:r>
                <w:rPr>
                  <w:rStyle w:val="InternetLink"/>
                  <w:rFonts w:ascii="Times New Roman;serif" w:hAnsi="Times New Roman;serif"/>
                  <w:b w:val="false"/>
                  <w:strike w:val="false"/>
                  <w:dstrike w:val="false"/>
                  <w:color w:val="000000"/>
                  <w:sz w:val="20"/>
                  <w:u w:val="none"/>
                  <w:effect w:val="none"/>
                </w:rPr>
                <w:t>Condensed Consolidated Statements of Operations for the</w:t>
              </w:r>
            </w:hyperlink>
            <w:r>
              <w:rPr>
                <w:rFonts w:ascii="Times New Roman;serif" w:hAnsi="Times New Roman;serif"/>
                <w:b w:val="false"/>
                <w:color w:val="000000"/>
                <w:sz w:val="20"/>
              </w:rPr>
              <w:t xml:space="preserve"> three-month and</w:t>
            </w:r>
            <w:hyperlink w:anchor="iddca7d2526ea4431ab7bca772fb1f36f_16">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nine-month</w:t>
            </w:r>
            <w:hyperlink w:anchor="iddca7d2526ea4431ab7bca772fb1f36f_13">
              <w:r>
                <w:rPr>
                  <w:rStyle w:val="InternetLink"/>
                  <w:rFonts w:ascii="Times New Roman;serif" w:hAnsi="Times New Roman;serif"/>
                  <w:b w:val="false"/>
                  <w:strike w:val="false"/>
                  <w:dstrike w:val="false"/>
                  <w:color w:val="000000"/>
                  <w:sz w:val="20"/>
                  <w:u w:val="none"/>
                  <w:effect w:val="none"/>
                </w:rPr>
                <w:t xml:space="preserve"> periods ended </w:t>
              </w:r>
            </w:hyperlink>
            <w:r>
              <w:rPr>
                <w:rFonts w:ascii="Times New Roman;serif" w:hAnsi="Times New Roman;serif"/>
                <w:b w:val="false"/>
                <w:color w:val="000000"/>
                <w:sz w:val="20"/>
              </w:rPr>
              <w:t>September 30, 2025</w:t>
            </w:r>
            <w:hyperlink w:anchor="iddca7d2526ea4431ab7bca772fb1f36f_13">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3">
              <w:r>
                <w:rPr>
                  <w:rStyle w:val="InternetLink"/>
                  <w:rFonts w:ascii="Times New Roman;serif" w:hAnsi="Times New Roman;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6">
              <w:r>
                <w:rPr>
                  <w:rStyle w:val="InternetLink"/>
                  <w:rFonts w:ascii="Times New Roman;serif" w:hAnsi="Times New Roman;serif"/>
                  <w:b w:val="false"/>
                  <w:strike w:val="false"/>
                  <w:dstrike w:val="false"/>
                  <w:color w:val="000080"/>
                  <w:sz w:val="20"/>
                  <w:u w:val="single"/>
                  <w:effect w:val="none"/>
                </w:rPr>
                <w:t>Condensed Consolidated Statements of Comprehensive</w:t>
              </w:r>
            </w:hyperlink>
            <w:hyperlink w:anchor="iddca7d2526ea4431ab7bca772fb1f36f_16">
              <w:r>
                <w:rPr>
                  <w:rStyle w:val="InternetLink"/>
                  <w:rFonts w:ascii="Times New Roman;serif" w:hAnsi="Times New Roman;serif"/>
                  <w:b w:val="false"/>
                  <w:strike w:val="false"/>
                  <w:dstrike w:val="false"/>
                  <w:color w:val="000080"/>
                  <w:sz w:val="20"/>
                  <w:u w:val="single"/>
                  <w:effect w:val="none"/>
                </w:rPr>
                <w:t xml:space="preserve"> Income </w:t>
              </w:r>
            </w:hyperlink>
            <w:hyperlink w:anchor="iddca7d2526ea4431ab7bca772fb1f36f_16">
              <w:r>
                <w:rPr>
                  <w:rStyle w:val="InternetLink"/>
                  <w:rFonts w:ascii="Times New Roman;serif" w:hAnsi="Times New Roman;serif"/>
                  <w:b w:val="false"/>
                  <w:strike w:val="false"/>
                  <w:dstrike w:val="false"/>
                  <w:color w:val="000080"/>
                  <w:sz w:val="20"/>
                  <w:u w:val="single"/>
                  <w:effect w:val="none"/>
                </w:rPr>
                <w:t>for the</w:t>
              </w:r>
            </w:hyperlink>
            <w:hyperlink w:anchor="iddca7d2526ea4431ab7bca772fb1f36f_16">
              <w:r>
                <w:rPr>
                  <w:rStyle w:val="InternetLink"/>
                  <w:rFonts w:ascii="Times New Roman;serif" w:hAnsi="Times New Roman;serif"/>
                  <w:b w:val="false"/>
                  <w:strike w:val="false"/>
                  <w:dstrike w:val="false"/>
                  <w:color w:val="000080"/>
                  <w:sz w:val="20"/>
                  <w:u w:val="single"/>
                  <w:effect w:val="none"/>
                </w:rPr>
                <w:t xml:space="preserve"> </w:t>
              </w:r>
            </w:hyperlink>
            <w:r>
              <w:rPr>
                <w:rFonts w:ascii="Times New Roman;serif" w:hAnsi="Times New Roman;serif"/>
                <w:b w:val="false"/>
                <w:color w:val="000000"/>
                <w:sz w:val="20"/>
              </w:rPr>
              <w:t>three-month and</w:t>
            </w:r>
            <w:hyperlink w:anchor="iddca7d2526ea4431ab7bca772fb1f36f_16">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nine-month</w:t>
            </w:r>
            <w:hyperlink w:anchor="iddca7d2526ea4431ab7bca772fb1f36f_16">
              <w:r>
                <w:rPr>
                  <w:rStyle w:val="InternetLink"/>
                  <w:rFonts w:ascii="Times New Roman;serif" w:hAnsi="Times New Roman;serif"/>
                  <w:b w:val="false"/>
                  <w:strike w:val="false"/>
                  <w:dstrike w:val="false"/>
                  <w:color w:val="000000"/>
                  <w:sz w:val="20"/>
                  <w:u w:val="none"/>
                  <w:effect w:val="none"/>
                </w:rPr>
                <w:t xml:space="preserve"> periods ended </w:t>
              </w:r>
            </w:hyperlink>
            <w:r>
              <w:rPr>
                <w:rFonts w:ascii="Times New Roman;serif" w:hAnsi="Times New Roman;serif"/>
                <w:b w:val="false"/>
                <w:color w:val="000000"/>
                <w:sz w:val="20"/>
              </w:rPr>
              <w:t>September 30, 2025</w:t>
            </w:r>
            <w:hyperlink w:anchor="iddca7d2526ea4431ab7bca772fb1f36f_16">
              <w:r>
                <w:rPr>
                  <w:rStyle w:val="InternetLink"/>
                  <w:rFonts w:ascii="Times New Roman;serif" w:hAnsi="Times New Roman;serif"/>
                  <w:b w:val="false"/>
                  <w:strike w:val="false"/>
                  <w:dstrike w:val="false"/>
                  <w:color w:val="000080"/>
                  <w:sz w:val="20"/>
                  <w:u w:val="single"/>
                  <w:effect w:val="none"/>
                </w:rPr>
                <w:t xml:space="preserve"> and</w:t>
              </w:r>
            </w:hyperlink>
            <w:hyperlink w:anchor="iddca7d2526ea4431ab7bca772fb1f36f_16">
              <w:r>
                <w:rPr>
                  <w:rStyle w:val="InternetLink"/>
                  <w:rFonts w:ascii="Times New Roman;serif" w:hAnsi="Times New Roman;serif"/>
                  <w:b w:val="false"/>
                  <w:strike w:val="false"/>
                  <w:dstrike w:val="false"/>
                  <w:color w:val="000080"/>
                  <w:sz w:val="20"/>
                  <w:u w:val="single"/>
                  <w:effect w:val="none"/>
                </w:rPr>
                <w:t xml:space="preserve"> </w:t>
              </w:r>
            </w:hyperlink>
            <w:r>
              <w:rPr>
                <w:rFonts w:ascii="Times New Roman;serif" w:hAnsi="Times New Roman;serif"/>
                <w:b w:val="false"/>
                <w:color w:val="000000"/>
                <w:sz w:val="20"/>
              </w:rPr>
              <w:t>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6">
              <w:r>
                <w:rPr>
                  <w:rStyle w:val="InternetLink"/>
                  <w:rFonts w:ascii="Times New Roman;serif" w:hAnsi="Times New Roman;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9">
              <w:r>
                <w:rPr>
                  <w:rStyle w:val="InternetLink"/>
                  <w:rFonts w:ascii="Times New Roman;serif" w:hAnsi="Times New Roman;serif"/>
                  <w:b w:val="false"/>
                  <w:strike w:val="false"/>
                  <w:dstrike w:val="false"/>
                  <w:color w:val="000000"/>
                  <w:sz w:val="20"/>
                  <w:u w:val="none"/>
                  <w:effect w:val="none"/>
                </w:rPr>
                <w:t>Condensed Consolidated Balance Sheets as of</w:t>
              </w:r>
            </w:hyperlink>
            <w:r>
              <w:rPr>
                <w:rFonts w:ascii="Times New Roman;serif" w:hAnsi="Times New Roman;serif"/>
                <w:b w:val="false"/>
                <w:color w:val="000000"/>
                <w:sz w:val="20"/>
              </w:rPr>
              <w:t xml:space="preserve"> September 30, 2025</w:t>
            </w:r>
            <w:hyperlink w:anchor="iddca7d2526ea4431ab7bca772fb1f36f_19">
              <w:r>
                <w:rPr>
                  <w:rStyle w:val="InternetLink"/>
                  <w:rFonts w:ascii="Times New Roman;serif" w:hAnsi="Times New Roman;serif"/>
                  <w:b w:val="false"/>
                  <w:strike w:val="false"/>
                  <w:dstrike w:val="false"/>
                  <w:color w:val="000080"/>
                  <w:sz w:val="20"/>
                  <w:u w:val="single"/>
                  <w:effect w:val="none"/>
                </w:rPr>
                <w:t xml:space="preserve"> and</w:t>
              </w:r>
            </w:hyperlink>
            <w:hyperlink w:anchor="iddca7d2526ea4431ab7bca772fb1f36f_19">
              <w:r>
                <w:rPr>
                  <w:rStyle w:val="InternetLink"/>
                  <w:rFonts w:ascii="Times New Roman;serif" w:hAnsi="Times New Roman;serif"/>
                  <w:b w:val="false"/>
                  <w:strike w:val="false"/>
                  <w:dstrike w:val="false"/>
                  <w:color w:val="000080"/>
                  <w:sz w:val="20"/>
                  <w:u w:val="single"/>
                  <w:effect w:val="none"/>
                </w:rPr>
                <w:t xml:space="preserve"> </w:t>
              </w:r>
            </w:hyperlink>
            <w:r>
              <w:rPr>
                <w:rFonts w:ascii="Times New Roman;serif" w:hAnsi="Times New Roman;serif"/>
                <w:b w:val="false"/>
                <w:color w:val="000000"/>
                <w:sz w:val="20"/>
              </w:rPr>
              <w:t>December 31, 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9">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22">
              <w:r>
                <w:rPr>
                  <w:rStyle w:val="InternetLink"/>
                  <w:rFonts w:ascii="Times New Roman;serif" w:hAnsi="Times New Roman;serif"/>
                  <w:b w:val="false"/>
                  <w:strike w:val="false"/>
                  <w:dstrike w:val="false"/>
                  <w:color w:val="000080"/>
                  <w:sz w:val="20"/>
                  <w:u w:val="single"/>
                  <w:effect w:val="none"/>
                </w:rPr>
                <w:t>Condensed Consolidated Statement</w:t>
              </w:r>
            </w:hyperlink>
            <w:hyperlink w:anchor="iddca7d2526ea4431ab7bca772fb1f36f_22">
              <w:r>
                <w:rPr>
                  <w:rStyle w:val="InternetLink"/>
                  <w:rFonts w:ascii="Times New Roman;serif" w:hAnsi="Times New Roman;serif"/>
                  <w:b w:val="false"/>
                  <w:strike w:val="false"/>
                  <w:dstrike w:val="false"/>
                  <w:color w:val="000080"/>
                  <w:sz w:val="20"/>
                  <w:u w:val="single"/>
                  <w:effect w:val="none"/>
                </w:rPr>
                <w:t>s</w:t>
              </w:r>
            </w:hyperlink>
            <w:hyperlink w:anchor="iddca7d2526ea4431ab7bca772fb1f36f_22">
              <w:r>
                <w:rPr>
                  <w:rStyle w:val="InternetLink"/>
                  <w:rFonts w:ascii="Times New Roman;serif" w:hAnsi="Times New Roman;serif"/>
                  <w:b w:val="false"/>
                  <w:strike w:val="false"/>
                  <w:dstrike w:val="false"/>
                  <w:color w:val="000080"/>
                  <w:sz w:val="20"/>
                  <w:u w:val="single"/>
                  <w:effect w:val="none"/>
                </w:rPr>
                <w:t xml:space="preserve"> of Stockholders</w:t>
              </w:r>
            </w:hyperlink>
            <w:hyperlink w:anchor="iddca7d2526ea4431ab7bca772fb1f36f_22">
              <w:r>
                <w:rPr>
                  <w:rStyle w:val="InternetLink"/>
                  <w:rFonts w:ascii="Times New Roman;serif" w:hAnsi="Times New Roman;serif"/>
                  <w:b w:val="false"/>
                  <w:strike w:val="false"/>
                  <w:dstrike w:val="false"/>
                  <w:color w:val="000080"/>
                  <w:sz w:val="20"/>
                  <w:u w:val="single"/>
                  <w:effect w:val="none"/>
                </w:rPr>
                <w:t>’</w:t>
              </w:r>
            </w:hyperlink>
            <w:hyperlink w:anchor="iddca7d2526ea4431ab7bca772fb1f36f_22">
              <w:r>
                <w:rPr>
                  <w:rStyle w:val="InternetLink"/>
                  <w:rFonts w:ascii="Times New Roman;serif" w:hAnsi="Times New Roman;serif"/>
                  <w:b w:val="false"/>
                  <w:strike w:val="false"/>
                  <w:dstrike w:val="false"/>
                  <w:color w:val="000080"/>
                  <w:sz w:val="20"/>
                  <w:u w:val="single"/>
                  <w:effect w:val="none"/>
                </w:rPr>
                <w:t xml:space="preserve"> Equity for the</w:t>
              </w:r>
            </w:hyperlink>
            <w:hyperlink w:anchor="iddca7d2526ea4431ab7bca772fb1f36f_22">
              <w:r>
                <w:rPr>
                  <w:rStyle w:val="InternetLink"/>
                  <w:rFonts w:ascii="Times New Roman;serif" w:hAnsi="Times New Roman;serif"/>
                  <w:b w:val="false"/>
                  <w:strike w:val="false"/>
                  <w:dstrike w:val="false"/>
                  <w:color w:val="000080"/>
                  <w:sz w:val="20"/>
                  <w:u w:val="single"/>
                  <w:effect w:val="none"/>
                </w:rPr>
                <w:t xml:space="preserve"> </w:t>
              </w:r>
            </w:hyperlink>
            <w:r>
              <w:rPr>
                <w:rFonts w:ascii="Times New Roman;serif" w:hAnsi="Times New Roman;serif"/>
                <w:b w:val="false"/>
                <w:color w:val="000000"/>
                <w:sz w:val="20"/>
              </w:rPr>
              <w:t>nine-month</w:t>
            </w:r>
            <w:hyperlink w:anchor="iddca7d2526ea4431ab7bca772fb1f36f_22">
              <w:r>
                <w:rPr>
                  <w:rStyle w:val="InternetLink"/>
                  <w:rFonts w:ascii="Times New Roman;serif" w:hAnsi="Times New Roman;serif"/>
                  <w:b w:val="false"/>
                  <w:strike w:val="false"/>
                  <w:dstrike w:val="false"/>
                  <w:color w:val="000000"/>
                  <w:sz w:val="20"/>
                  <w:u w:val="none"/>
                  <w:effect w:val="none"/>
                </w:rPr>
                <w:t xml:space="preserve"> periods ending</w:t>
              </w:r>
            </w:hyperlink>
            <w:r>
              <w:rPr>
                <w:rFonts w:ascii="Times New Roman;serif" w:hAnsi="Times New Roman;serif"/>
                <w:b w:val="false"/>
                <w:color w:val="000000"/>
                <w:sz w:val="20"/>
              </w:rPr>
              <w:t xml:space="preserve"> September 30, 2025</w:t>
            </w:r>
            <w:hyperlink w:anchor="iddca7d2526ea4431ab7bca772fb1f36f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22">
              <w:r>
                <w:rPr>
                  <w:rStyle w:val="InternetLink"/>
                  <w:rFonts w:ascii="Times New Roman;serif" w:hAnsi="Times New Roman;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25">
              <w:r>
                <w:rPr>
                  <w:rStyle w:val="InternetLink"/>
                  <w:rFonts w:ascii="Times New Roman;serif" w:hAnsi="Times New Roman;serif"/>
                  <w:b w:val="false"/>
                  <w:strike w:val="false"/>
                  <w:dstrike w:val="false"/>
                  <w:color w:val="000000"/>
                  <w:sz w:val="20"/>
                  <w:u w:val="none"/>
                  <w:effect w:val="none"/>
                </w:rPr>
                <w:t xml:space="preserve">Condensed Consolidated Statements of Cash Flows for the </w:t>
              </w:r>
            </w:hyperlink>
            <w:r>
              <w:rPr>
                <w:rFonts w:ascii="Times New Roman;serif" w:hAnsi="Times New Roman;serif"/>
                <w:b w:val="false"/>
                <w:color w:val="000000"/>
                <w:sz w:val="20"/>
              </w:rPr>
              <w:t>nine-month</w:t>
            </w:r>
            <w:hyperlink w:anchor="iddca7d2526ea4431ab7bca772fb1f36f_25">
              <w:r>
                <w:rPr>
                  <w:rStyle w:val="InternetLink"/>
                  <w:rFonts w:ascii="Times New Roman;serif" w:hAnsi="Times New Roman;serif"/>
                  <w:b w:val="false"/>
                  <w:strike w:val="false"/>
                  <w:dstrike w:val="false"/>
                  <w:color w:val="000000"/>
                  <w:sz w:val="20"/>
                  <w:u w:val="none"/>
                  <w:effect w:val="none"/>
                </w:rPr>
                <w:t xml:space="preserve"> periods ended </w:t>
              </w:r>
            </w:hyperlink>
            <w:r>
              <w:rPr>
                <w:rFonts w:ascii="Times New Roman;serif" w:hAnsi="Times New Roman;serif"/>
                <w:b w:val="false"/>
                <w:color w:val="000000"/>
                <w:sz w:val="20"/>
              </w:rPr>
              <w:t>September 30, 2025</w:t>
            </w:r>
            <w:hyperlink w:anchor="iddca7d2526ea4431ab7bca772fb1f36f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25">
              <w:r>
                <w:rPr>
                  <w:rStyle w:val="InternetLink"/>
                  <w:rFonts w:ascii="Times New Roman;serif" w:hAnsi="Times New Roman;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28">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28">
              <w:r>
                <w:rPr>
                  <w:rStyle w:val="InternetLink"/>
                  <w:rFonts w:ascii="Times New Roman;serif" w:hAnsi="Times New Roman;serif"/>
                  <w:b w:val="false"/>
                  <w:strike w:val="false"/>
                  <w:dstrike w:val="false"/>
                  <w:color w:val="000000"/>
                  <w:sz w:val="20"/>
                  <w:u w:val="none"/>
                  <w:effect w:val="non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76">
              <w:r>
                <w:rPr>
                  <w:rStyle w:val="InternetLink"/>
                  <w:rFonts w:ascii="Times New Roman;serif" w:hAnsi="Times New Roman;serif"/>
                  <w:b w:val="false"/>
                  <w:strike w:val="false"/>
                  <w:dstrike w:val="false"/>
                  <w:color w:val="000000"/>
                  <w:sz w:val="20"/>
                  <w:u w:val="none"/>
                  <w:effect w:val="none"/>
                </w:rPr>
                <w:t>Item 2.</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76">
              <w:r>
                <w:rPr>
                  <w:rStyle w:val="InternetLink"/>
                  <w:rFonts w:ascii="Times New Roman;serif" w:hAnsi="Times New Roman;serif"/>
                  <w:b w:val="false"/>
                  <w:strike w:val="false"/>
                  <w:dstrike w:val="false"/>
                  <w:color w:val="000080"/>
                  <w:sz w:val="20"/>
                  <w:u w:val="single"/>
                  <w:effect w:val="none"/>
                </w:rPr>
                <w:t>Management</w:t>
              </w:r>
            </w:hyperlink>
            <w:hyperlink w:anchor="iddca7d2526ea4431ab7bca772fb1f36f_76">
              <w:r>
                <w:rPr>
                  <w:rStyle w:val="InternetLink"/>
                  <w:rFonts w:ascii="Times New Roman;serif" w:hAnsi="Times New Roman;serif"/>
                  <w:b w:val="false"/>
                  <w:strike w:val="false"/>
                  <w:dstrike w:val="false"/>
                  <w:color w:val="000080"/>
                  <w:sz w:val="20"/>
                  <w:u w:val="single"/>
                  <w:effect w:val="none"/>
                </w:rPr>
                <w:t>’</w:t>
              </w:r>
            </w:hyperlink>
            <w:hyperlink w:anchor="iddca7d2526ea4431ab7bca772fb1f36f_76">
              <w:r>
                <w:rPr>
                  <w:rStyle w:val="InternetLink"/>
                  <w:rFonts w:ascii="Times New Roman;serif" w:hAnsi="Times New Roman;serif"/>
                  <w:b w:val="false"/>
                  <w:strike w:val="false"/>
                  <w:dstrike w:val="false"/>
                  <w:color w:val="000080"/>
                  <w:sz w:val="20"/>
                  <w:u w:val="single"/>
                  <w:effect w:val="none"/>
                </w:rPr>
                <w: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79">
              <w:r>
                <w:rPr>
                  <w:rStyle w:val="InternetLink"/>
                  <w:rFonts w:ascii="Times New Roman;serif" w:hAnsi="Times New Roman;serif"/>
                  <w:b w:val="false"/>
                  <w:strike w:val="false"/>
                  <w:dstrike w:val="false"/>
                  <w:color w:val="000000"/>
                  <w:sz w:val="20"/>
                  <w:u w:val="none"/>
                  <w:effect w:val="none"/>
                </w:rPr>
                <w:t>27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45">
              <w:r>
                <w:rPr>
                  <w:rStyle w:val="InternetLink"/>
                  <w:rFonts w:ascii="Times New Roman;serif" w:hAnsi="Times New Roman;serif"/>
                  <w:b w:val="false"/>
                  <w:strike w:val="false"/>
                  <w:dstrike w:val="false"/>
                  <w:color w:val="000000"/>
                  <w:sz w:val="20"/>
                  <w:u w:val="none"/>
                  <w:effect w:val="none"/>
                </w:rPr>
                <w:t>Item 3.</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45">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45">
              <w:r>
                <w:rPr>
                  <w:rStyle w:val="InternetLink"/>
                  <w:rFonts w:ascii="Times New Roman;serif" w:hAnsi="Times New Roman;serif"/>
                  <w:b w:val="false"/>
                  <w:strike w:val="false"/>
                  <w:dstrike w:val="false"/>
                  <w:color w:val="000000"/>
                  <w:sz w:val="20"/>
                  <w:u w:val="none"/>
                  <w:effect w:val="none"/>
                </w:rPr>
                <w:t>42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48">
              <w:r>
                <w:rPr>
                  <w:rStyle w:val="InternetLink"/>
                  <w:rFonts w:ascii="Times New Roman;serif" w:hAnsi="Times New Roman;serif"/>
                  <w:b w:val="false"/>
                  <w:strike w:val="false"/>
                  <w:dstrike w:val="false"/>
                  <w:color w:val="000000"/>
                  <w:sz w:val="20"/>
                  <w:u w:val="none"/>
                  <w:effect w:val="none"/>
                </w:rPr>
                <w:t>Item 4.</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48">
              <w:r>
                <w:rPr>
                  <w:rStyle w:val="InternetLink"/>
                  <w:rFonts w:ascii="Times New Roman;serif" w:hAnsi="Times New Roman;serif"/>
                  <w:b w:val="false"/>
                  <w:strike w:val="false"/>
                  <w:dstrike w:val="false"/>
                  <w:color w:val="000000"/>
                  <w:sz w:val="20"/>
                  <w:u w:val="none"/>
                  <w:effect w:val="non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48">
              <w:r>
                <w:rPr>
                  <w:rStyle w:val="InternetLink"/>
                  <w:rFonts w:ascii="Times New Roman;serif" w:hAnsi="Times New Roman;serif"/>
                  <w:b w:val="false"/>
                  <w:strike w:val="false"/>
                  <w:dstrike w:val="false"/>
                  <w:color w:val="000000"/>
                  <w:sz w:val="20"/>
                  <w:u w:val="none"/>
                  <w:effect w:val="none"/>
                </w:rPr>
                <w:t>42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51">
              <w:r>
                <w:rPr>
                  <w:rStyle w:val="InternetLink"/>
                  <w:rFonts w:ascii="Times New Roman;serif" w:hAnsi="Times New Roman;serif"/>
                  <w:b/>
                  <w:strike w:val="false"/>
                  <w:dstrike w:val="false"/>
                  <w:color w:val="000000"/>
                  <w:sz w:val="20"/>
                  <w:u w:val="none"/>
                  <w:effect w:val="none"/>
                </w:rPr>
                <w:t>PART II.</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51">
              <w:r>
                <w:rPr>
                  <w:rStyle w:val="InternetLink"/>
                  <w:rFonts w:ascii="Times New Roman;serif" w:hAnsi="Times New Roman;serif"/>
                  <w:b/>
                  <w:strike w:val="false"/>
                  <w:dstrike w:val="false"/>
                  <w:color w:val="000000"/>
                  <w:sz w:val="20"/>
                  <w:u w:val="none"/>
                  <w:effect w:val="non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54">
              <w:r>
                <w:rPr>
                  <w:rStyle w:val="InternetLink"/>
                  <w:rFonts w:ascii="Times New Roman;serif" w:hAnsi="Times New Roman;serif"/>
                  <w:b w:val="false"/>
                  <w:strike w:val="false"/>
                  <w:dstrike w:val="false"/>
                  <w:color w:val="000000"/>
                  <w:sz w:val="20"/>
                  <w:u w:val="none"/>
                  <w:effect w:val="none"/>
                </w:rPr>
                <w:t>Item 1.</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54">
              <w:r>
                <w:rPr>
                  <w:rStyle w:val="InternetLink"/>
                  <w:rFonts w:ascii="Times New Roman;serif" w:hAnsi="Times New Roman;serif"/>
                  <w:b w:val="false"/>
                  <w:strike w:val="false"/>
                  <w:dstrike w:val="false"/>
                  <w:color w:val="000000"/>
                  <w:sz w:val="20"/>
                  <w:u w:val="none"/>
                  <w:effect w:val="non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54">
              <w:r>
                <w:rPr>
                  <w:rStyle w:val="InternetLink"/>
                  <w:rFonts w:ascii="Times New Roman;serif" w:hAnsi="Times New Roman;serif"/>
                  <w:b w:val="false"/>
                  <w:strike w:val="false"/>
                  <w:dstrike w:val="false"/>
                  <w:color w:val="000000"/>
                  <w:sz w:val="20"/>
                  <w:u w:val="none"/>
                  <w:effect w:val="none"/>
                </w:rPr>
                <w:t>43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57">
              <w:r>
                <w:rPr>
                  <w:rStyle w:val="InternetLink"/>
                  <w:rFonts w:ascii="Times New Roman;serif" w:hAnsi="Times New Roman;serif"/>
                  <w:b w:val="false"/>
                  <w:strike w:val="false"/>
                  <w:dstrike w:val="false"/>
                  <w:color w:val="000000"/>
                  <w:sz w:val="20"/>
                  <w:u w:val="none"/>
                  <w:effect w:val="none"/>
                </w:rPr>
                <w:t>Item 1A.</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57">
              <w:r>
                <w:rPr>
                  <w:rStyle w:val="InternetLink"/>
                  <w:rFonts w:ascii="Times New Roman;serif" w:hAnsi="Times New Roman;serif"/>
                  <w:b w:val="false"/>
                  <w:strike w:val="false"/>
                  <w:dstrike w:val="false"/>
                  <w:color w:val="000000"/>
                  <w:sz w:val="20"/>
                  <w:u w:val="none"/>
                  <w:effect w:val="non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57">
              <w:r>
                <w:rPr>
                  <w:rStyle w:val="InternetLink"/>
                  <w:rFonts w:ascii="Times New Roman;serif" w:hAnsi="Times New Roman;serif"/>
                  <w:b w:val="false"/>
                  <w:strike w:val="false"/>
                  <w:dstrike w:val="false"/>
                  <w:color w:val="000000"/>
                  <w:sz w:val="20"/>
                  <w:u w:val="none"/>
                  <w:effect w:val="none"/>
                </w:rPr>
                <w:t>43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60">
              <w:r>
                <w:rPr>
                  <w:rStyle w:val="InternetLink"/>
                  <w:rFonts w:ascii="Times New Roman;serif" w:hAnsi="Times New Roman;serif"/>
                  <w:b w:val="false"/>
                  <w:strike w:val="false"/>
                  <w:dstrike w:val="false"/>
                  <w:color w:val="000000"/>
                  <w:sz w:val="20"/>
                  <w:u w:val="none"/>
                  <w:effect w:val="none"/>
                </w:rPr>
                <w:t>Item 2.</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60">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60">
              <w:r>
                <w:rPr>
                  <w:rStyle w:val="InternetLink"/>
                  <w:rFonts w:ascii="Times New Roman;serif" w:hAnsi="Times New Roman;serif"/>
                  <w:b w:val="false"/>
                  <w:strike w:val="false"/>
                  <w:dstrike w:val="false"/>
                  <w:color w:val="000000"/>
                  <w:sz w:val="20"/>
                  <w:u w:val="none"/>
                  <w:effect w:val="none"/>
                </w:rPr>
                <w:t>43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63">
              <w:r>
                <w:rPr>
                  <w:rStyle w:val="InternetLink"/>
                  <w:rFonts w:ascii="Times New Roman;serif" w:hAnsi="Times New Roman;serif"/>
                  <w:b w:val="false"/>
                  <w:strike w:val="false"/>
                  <w:dstrike w:val="false"/>
                  <w:color w:val="000000"/>
                  <w:sz w:val="20"/>
                  <w:u w:val="none"/>
                  <w:effect w:val="none"/>
                </w:rPr>
                <w:t>Item 3.</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63">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63">
              <w:r>
                <w:rPr>
                  <w:rStyle w:val="InternetLink"/>
                  <w:rFonts w:ascii="Times New Roman;serif" w:hAnsi="Times New Roman;serif"/>
                  <w:b w:val="false"/>
                  <w:strike w:val="false"/>
                  <w:dstrike w:val="false"/>
                  <w:color w:val="000000"/>
                  <w:sz w:val="20"/>
                  <w:u w:val="none"/>
                  <w:effect w:val="none"/>
                </w:rPr>
                <w:t>43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66">
              <w:r>
                <w:rPr>
                  <w:rStyle w:val="InternetLink"/>
                  <w:rFonts w:ascii="Times New Roman;serif" w:hAnsi="Times New Roman;serif"/>
                  <w:b w:val="false"/>
                  <w:strike w:val="false"/>
                  <w:dstrike w:val="false"/>
                  <w:color w:val="000000"/>
                  <w:sz w:val="20"/>
                  <w:u w:val="none"/>
                  <w:effect w:val="none"/>
                </w:rPr>
                <w:t>Item 4.</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66">
              <w:r>
                <w:rPr>
                  <w:rStyle w:val="InternetLink"/>
                  <w:rFonts w:ascii="Times New Roman;serif" w:hAnsi="Times New Roman;serif"/>
                  <w:b w:val="false"/>
                  <w:strike w:val="false"/>
                  <w:dstrike w:val="false"/>
                  <w:color w:val="000000"/>
                  <w:sz w:val="20"/>
                  <w:u w:val="none"/>
                  <w:effect w:val="none"/>
                </w:rPr>
                <w:t>Mine Safety Disclosures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66">
              <w:r>
                <w:rPr>
                  <w:rStyle w:val="InternetLink"/>
                  <w:rFonts w:ascii="Times New Roman;serif" w:hAnsi="Times New Roman;serif"/>
                  <w:b w:val="false"/>
                  <w:strike w:val="false"/>
                  <w:dstrike w:val="false"/>
                  <w:color w:val="000000"/>
                  <w:sz w:val="20"/>
                  <w:u w:val="none"/>
                  <w:effect w:val="none"/>
                </w:rPr>
                <w:t>43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69">
              <w:r>
                <w:rPr>
                  <w:rStyle w:val="InternetLink"/>
                  <w:rFonts w:ascii="Times New Roman;serif" w:hAnsi="Times New Roman;serif"/>
                  <w:b w:val="false"/>
                  <w:strike w:val="false"/>
                  <w:dstrike w:val="false"/>
                  <w:color w:val="000000"/>
                  <w:sz w:val="20"/>
                  <w:u w:val="none"/>
                  <w:effect w:val="none"/>
                </w:rPr>
                <w:t>Item 5.</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69">
              <w:r>
                <w:rPr>
                  <w:rStyle w:val="InternetLink"/>
                  <w:rFonts w:ascii="Times New Roman;serif" w:hAnsi="Times New Roman;serif"/>
                  <w:b w:val="false"/>
                  <w:strike w:val="false"/>
                  <w:dstrike w:val="false"/>
                  <w:color w:val="000000"/>
                  <w:sz w:val="20"/>
                  <w:u w:val="none"/>
                  <w:effect w:val="non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69">
              <w:r>
                <w:rPr>
                  <w:rStyle w:val="InternetLink"/>
                  <w:rFonts w:ascii="Times New Roman;serif" w:hAnsi="Times New Roman;serif"/>
                  <w:b w:val="false"/>
                  <w:strike w:val="false"/>
                  <w:dstrike w:val="false"/>
                  <w:color w:val="000000"/>
                  <w:sz w:val="20"/>
                  <w:u w:val="none"/>
                  <w:effect w:val="none"/>
                </w:rPr>
                <w:t>43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72">
              <w:r>
                <w:rPr>
                  <w:rStyle w:val="InternetLink"/>
                  <w:rFonts w:ascii="Times New Roman;serif" w:hAnsi="Times New Roman;serif"/>
                  <w:b w:val="false"/>
                  <w:strike w:val="false"/>
                  <w:dstrike w:val="false"/>
                  <w:color w:val="000000"/>
                  <w:sz w:val="20"/>
                  <w:u w:val="none"/>
                  <w:effect w:val="none"/>
                </w:rPr>
                <w:t>Item 6.</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72">
              <w:r>
                <w:rPr>
                  <w:rStyle w:val="InternetLink"/>
                  <w:rFonts w:ascii="Times New Roman;serif" w:hAnsi="Times New Roman;serif"/>
                  <w:b w:val="false"/>
                  <w:strike w:val="false"/>
                  <w:dstrike w:val="false"/>
                  <w:color w:val="000000"/>
                  <w:sz w:val="20"/>
                  <w:u w:val="none"/>
                  <w:effect w:val="non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ca7d2526ea4431ab7bca772fb1f36f_172">
              <w:r>
                <w:rPr>
                  <w:rStyle w:val="InternetLink"/>
                  <w:rFonts w:ascii="Times New Roman;serif" w:hAnsi="Times New Roman;serif"/>
                  <w:b w:val="false"/>
                  <w:strike w:val="false"/>
                  <w:dstrike w:val="false"/>
                  <w:color w:val="000000"/>
                  <w:sz w:val="20"/>
                  <w:u w:val="none"/>
                  <w:effect w:val="none"/>
                </w:rPr>
                <w:t>44</w:t>
              </w:r>
            </w:hyperlink>
          </w:p>
        </w:tc>
      </w:tr>
      <w:tr>
        <w:trPr/>
        <w:tc>
          <w:tcPr>
            <w:tcW w:w="93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dca7d2526ea4431ab7bca772fb1f36f_175">
              <w:r>
                <w:rPr>
                  <w:rStyle w:val="InternetLink"/>
                  <w:rFonts w:ascii="Times New Roman;serif" w:hAnsi="Times New Roman;serif"/>
                  <w:b/>
                  <w:strike w:val="false"/>
                  <w:dstrike w:val="false"/>
                  <w:color w:val="000000"/>
                  <w:sz w:val="20"/>
                  <w:u w:val="none"/>
                  <w:effect w:val="none"/>
                </w:rPr>
                <w:t>SIGNATURES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9061" w:type="dxa"/>
        <w:jc w:val="left"/>
        <w:tblInd w:w="0" w:type="dxa"/>
        <w:tblLayout w:type="fixed"/>
        <w:tblCellMar>
          <w:top w:w="28" w:type="dxa"/>
          <w:left w:w="28" w:type="dxa"/>
          <w:bottom w:w="28" w:type="dxa"/>
          <w:right w:w="28" w:type="dxa"/>
        </w:tblCellMar>
      </w:tblPr>
      <w:tblGrid>
        <w:gridCol w:w="1117"/>
        <w:gridCol w:w="982"/>
        <w:gridCol w:w="990"/>
        <w:gridCol w:w="216"/>
        <w:gridCol w:w="847"/>
        <w:gridCol w:w="111"/>
        <w:gridCol w:w="111"/>
        <w:gridCol w:w="111"/>
        <w:gridCol w:w="111"/>
        <w:gridCol w:w="216"/>
        <w:gridCol w:w="847"/>
        <w:gridCol w:w="111"/>
        <w:gridCol w:w="109"/>
        <w:gridCol w:w="109"/>
        <w:gridCol w:w="109"/>
        <w:gridCol w:w="211"/>
        <w:gridCol w:w="976"/>
        <w:gridCol w:w="109"/>
        <w:gridCol w:w="109"/>
        <w:gridCol w:w="109"/>
        <w:gridCol w:w="109"/>
        <w:gridCol w:w="211"/>
        <w:gridCol w:w="97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Rentals and fees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sales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fees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1,164,717 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3,241,336 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rentals and fees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 sold</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fees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601,641 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563,076 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511,086 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labor</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Non-labor operating expenses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and charges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charges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48"/>
        <w:gridCol w:w="1518"/>
        <w:gridCol w:w="1526"/>
        <w:gridCol w:w="217"/>
        <w:gridCol w:w="742"/>
        <w:gridCol w:w="112"/>
        <w:gridCol w:w="112"/>
        <w:gridCol w:w="112"/>
        <w:gridCol w:w="112"/>
        <w:gridCol w:w="217"/>
        <w:gridCol w:w="742"/>
        <w:gridCol w:w="112"/>
        <w:gridCol w:w="109"/>
        <w:gridCol w:w="109"/>
        <w:gridCol w:w="109"/>
        <w:gridCol w:w="215"/>
        <w:gridCol w:w="735"/>
        <w:gridCol w:w="111"/>
        <w:gridCol w:w="111"/>
        <w:gridCol w:w="111"/>
        <w:gridCol w:w="111"/>
        <w:gridCol w:w="215"/>
        <w:gridCol w:w="735"/>
        <w:gridCol w:w="164"/>
      </w:tblGrid>
      <w:tr>
        <w:trPr/>
        <w:tc>
          <w:tcPr>
            <w:tcW w:w="184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adjustments, net of tax of $175 and $(675) and 802 and (1,516) for the three and nine months ended September 30, 2025 and 2024, respectively </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86,793 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84"/>
        <w:gridCol w:w="2072"/>
        <w:gridCol w:w="2087"/>
        <w:gridCol w:w="228"/>
        <w:gridCol w:w="1057"/>
        <w:gridCol w:w="118"/>
        <w:gridCol w:w="109"/>
        <w:gridCol w:w="109"/>
        <w:gridCol w:w="109"/>
        <w:gridCol w:w="224"/>
        <w:gridCol w:w="1040"/>
        <w:gridCol w:w="168"/>
      </w:tblGrid>
      <w:tr>
        <w:trPr/>
        <w:tc>
          <w:tcPr>
            <w:tcW w:w="2884"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par value data)</w:t>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doubtful accounts of $30,078 and $13,290 in 2025 and 2024, respectively</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merchandise, net</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 rent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 for rent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held for installment sale</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assets, net of accumulated depreciation of $598,022 and $548,708 in 2025 and 2024, respectively</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3,211,634 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2,649,662 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trade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 net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2,524,330 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2,020,678 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STOCKHOLDERS’ EQUITY</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250,000,000 shares authorized; 128,966,659 and 125,796,878 shares issued in September 30, 2025 and December 31, 2024, respectively</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1,563,707 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71,060,928 shares in September 30, 2025 and December 31, 2024</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(1,890,966)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687,304 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3,211,634 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2,649,662 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581" w:type="dxa"/>
        <w:jc w:val="center"/>
        <w:tblInd w:w="0" w:type="dxa"/>
        <w:tblLayout w:type="fixed"/>
        <w:tblCellMar>
          <w:top w:w="28" w:type="dxa"/>
          <w:left w:w="28" w:type="dxa"/>
          <w:bottom w:w="28" w:type="dxa"/>
          <w:right w:w="28" w:type="dxa"/>
        </w:tblCellMar>
      </w:tblPr>
      <w:tblGrid>
        <w:gridCol w:w="536"/>
        <w:gridCol w:w="406"/>
        <w:gridCol w:w="409"/>
        <w:gridCol w:w="413"/>
        <w:gridCol w:w="413"/>
        <w:gridCol w:w="196"/>
        <w:gridCol w:w="109"/>
        <w:gridCol w:w="109"/>
        <w:gridCol w:w="109"/>
        <w:gridCol w:w="211"/>
        <w:gridCol w:w="616"/>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42"/>
        <w:gridCol w:w="847"/>
        <w:gridCol w:w="127"/>
        <w:gridCol w:w="109"/>
        <w:gridCol w:w="109"/>
        <w:gridCol w:w="109"/>
        <w:gridCol w:w="211"/>
        <w:gridCol w:w="826"/>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Dividends declared</w:t>
            </w:r>
            <w:r>
              <w:rPr>
                <w:rFonts w:ascii="Times New Roman;serif" w:hAnsi="Times New Roman;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 acquisition equity consideration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share units, net of shares withheld for employee taxes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stock awards vested and options 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Dividends declared</w:t>
            </w:r>
            <w:r>
              <w:rPr>
                <w:rFonts w:ascii="Times New Roman;serif" w:hAnsi="Times New Roman;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 acquisition equity consideration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Cash dividends declared for the three and nine months ended September 30, 2025 was $0.39 and $1.17 per common share, respectively.</w:t>
      </w:r>
    </w:p>
    <w:p>
      <w:pPr>
        <w:pStyle w:val="TextBody"/>
        <w:bidi w:val="0"/>
        <w:spacing w:before="0" w:after="0"/>
        <w:jc w:val="center"/>
        <w:rPr/>
      </w:pPr>
      <w:r>
        <w:rPr/>
      </w:r>
    </w:p>
    <w:p>
      <w:pPr>
        <w:pStyle w:val="TextBody"/>
        <w:bidi w:val="0"/>
        <w:spacing w:before="0" w:after="0"/>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016" w:type="dxa"/>
        <w:jc w:val="center"/>
        <w:tblInd w:w="0" w:type="dxa"/>
        <w:tblLayout w:type="fixed"/>
        <w:tblCellMar>
          <w:top w:w="28" w:type="dxa"/>
          <w:left w:w="28" w:type="dxa"/>
          <w:bottom w:w="28" w:type="dxa"/>
          <w:right w:w="28" w:type="dxa"/>
        </w:tblCellMar>
      </w:tblPr>
      <w:tblGrid>
        <w:gridCol w:w="971"/>
        <w:gridCol w:w="406"/>
        <w:gridCol w:w="409"/>
        <w:gridCol w:w="413"/>
        <w:gridCol w:w="413"/>
        <w:gridCol w:w="196"/>
        <w:gridCol w:w="109"/>
        <w:gridCol w:w="109"/>
        <w:gridCol w:w="109"/>
        <w:gridCol w:w="211"/>
        <w:gridCol w:w="616"/>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42"/>
        <w:gridCol w:w="847"/>
        <w:gridCol w:w="127"/>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Dividends declared</w:t>
            </w:r>
            <w:r>
              <w:rPr>
                <w:rFonts w:ascii="Times New Roman;serif" w:hAnsi="Times New Roman;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Dividends declared</w:t>
            </w:r>
            <w:r>
              <w:rPr>
                <w:rFonts w:ascii="Times New Roman;serif" w:hAnsi="Times New Roman;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Cash dividends declared for the three and nine months ended September 30, 2024 were $0.37 and $1.11 per common share, respectively</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9386" w:type="dxa"/>
        <w:jc w:val="center"/>
        <w:tblInd w:w="0" w:type="dxa"/>
        <w:tblLayout w:type="fixed"/>
        <w:tblCellMar>
          <w:top w:w="28" w:type="dxa"/>
          <w:left w:w="28" w:type="dxa"/>
          <w:bottom w:w="28" w:type="dxa"/>
          <w:right w:w="28" w:type="dxa"/>
        </w:tblCellMar>
      </w:tblPr>
      <w:tblGrid>
        <w:gridCol w:w="2444"/>
        <w:gridCol w:w="2151"/>
        <w:gridCol w:w="2155"/>
        <w:gridCol w:w="217"/>
        <w:gridCol w:w="852"/>
        <w:gridCol w:w="112"/>
        <w:gridCol w:w="112"/>
        <w:gridCol w:w="112"/>
        <w:gridCol w:w="112"/>
        <w:gridCol w:w="217"/>
        <w:gridCol w:w="744"/>
        <w:gridCol w:w="158"/>
      </w:tblGrid>
      <w:tr>
        <w:trPr/>
        <w:tc>
          <w:tcPr>
            <w:tcW w:w="2444"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provided by operating activities</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rental merchandise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assets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or disposal of property assets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fees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debt financing fees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acquired assets</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merchandise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(886,836)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(123,764)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and lease liabilities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trade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originations and collections of customer cash advances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assets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loan issuance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loan collection</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net of cash acquired</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(278,043)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(374,881)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payment of employee tax withholdings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(291,563)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Note 1 - Basis of Presentation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2024.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Condensed Consolidated Statement of Cash Flows - Correction of Error</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Subsequent to the issuance of our condensed consolidated financial statements reported on our Quarterly Reports on Form 10-Q for the periods ended March 31, 2025 and June 30, 2025, the Company identified a presentation error within the Condensed Consolidated Statement of Cash Flows related to net originations and collections of customer cash advances for our recently acquired subsidiary, Bridge IT, Inc., which we determined was not material to our financial statements. In accordance with ASC topic 230 the Company determined net originations and collections of customer cash advances should be presented as an investing activity and not included in Changes in Receivables within net cash provided by operating activities on the Condensed Consolidated Statement of Cash Flows. As a result, cash provided by operating activities and cash used in investing activities were both understated for the three months-ended March 31, 2025, and six months-ended June 30, 2025, by $10.2 million and $28.5 million, respectively. The presentation of net originations and collections of customer advances has been corrected in the Condensed Consolidated Statement of Cash Flows for the nine months-ended September 30, 2025. Furthermore, this presentation error had no impact to our Condensed Consolidated Statements of Operations and Comprehensive Income, or our Condensed Consolidated Balance Sheet reported within our Form 10-Qs for the periods-ended March 31, 2025 and June 30,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the reported amounts for prior periods to conform to the current period presentation. These reclassifications have no impact on net earnings or earnings per share in any period. See Note 3 and Note 10 for further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Principles of Consolidation and Nature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and any or all of its direct and indirect subsidiaries. We currently report four operating segments: Acima, Rent-A-Center, Brigit and Mexico.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31 2025, we established a new operating segment following the acquisition of Bridge IT, Inc. (“Brigit”). Please reference Note 2 for additional discussion of the acquisition. In addition we combined our Franchising segment with our Rent-A-Center segment. Financial information disclosed within this report has been recast for the related prior year period to reflect this change. Brigit’s results of operations are reflected in our Condensed Consolidated Statements of Operations from January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Acima segment, which primarily operates in the United States and Puerto Rico, generally offers the lease-to-own transaction to consumers who do not qualify for traditional financing through staffed or unstaffed kiosks located within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Rent-A-Center segment primarily consists of company-owned lease-to-own stores in the United States and Puerto Rico that lease durable goods to customers on a lease-to-own basis. In addition, we offer merchandise on an installment sales basis in certain of our stores operating under the names “Get It Now” and “Home Choice” in the states of Minnesota and Wisconsin. The Rent-A-Center segment also includes franchising operations that offer the sale of rental merchandise to our franchisees, who in turn offer the merchandise to the general public for rent or purchase under lease-to-own agreements consistent with our company-owned lease-to-own stores. We also receive royalties of 3.0% to 6.0% of the franchisees' monthly gross revenues. Our Rent-A-Center segment operates through our company-owned and franchise stores, and e-commerce platforms through rentacenter.com, getitnowstores.com and homechoicestores.com.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Brigit segment, which operates in the United States, includes the operations of Bridge IT Inc., which was acquired on January 31, 2025 (the “Closing Date”). The Brigit segment, through mobile and web applications, offers various financial health products and tools to help users improve their financial health, such as Finance Helper, Earn and Save, Instant Cash, Credit Builder, Identity Theft Protection and more. These products and tools help customers budget better, improve financial literacy, find ways to earn and save money, access their earned wages before their regularly scheduled payday, build their credit through savings and protect themselves from identity theft.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Mexico segment consists of our company-owned stores in Mexico that lease durable goods to customers on a lease-to-own basis.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Newly Adopted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which is intended to improve the transparency of the annual income tax disclosures by requiring specific categories in the income tax rate reconciliation and disaggregation of income taxes paid by jurisdiction. It also includes certain other amendments to improve the effectiveness of income tax disclosures. Adoption of ASU 2023-09 was required for us beginning January 1, 2025 for our fiscal year ended December 31, 2025. We will include required disclosures in our annual reporting period ending December 31, 2025 and interim reporting periods beginning after December 31, 2025 using a prospective approach.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 Acquisitions and Divestitures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Brigit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12, 2024, we entered into an Agreement and Plan of Merger (the “Merger Agreement”) with Fortuna Merger Sub, Inc., a Delaware corporation and wholly owned subsidiary of the Company (“Merger Sub”), Brigit, and Shareholder Representative Services LLC, solely in its capacity as the representative, agent and attorney-in-fact of Brigit’s securityholders, pursuant to which Merger Sub merged with and into Brigit (the “Merger”), with Brigit surviving the Merger as a wholly owned subsidiary of the Company. The Merger with Brigit, a leading holistic financial health technology company, is intended to accelerate Upbound’s strategy to provide technology-driven financial solutions to customers underserved by the traditional financial system. The Merger was completed for total purchase consideration of approximately $395.4 million comprised of stock, cash and other consideration described further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Merger Agreement, we issued to the security holders of Brigit (the “Brigit Securityholders”) approximately 2.7 million shares of our common stock, par value $0.01 per share (the “Closing Stock Consideration”), with a value of $29.75 per share based on the volume-weighted average price of our common stock over the ten consecutive trading days ending on (and including) the trading day immediately prior to the Closing Date, and paid to them closing cash consideration of approximately $278.5 million (“Closing Cash Consideration”), excluding approximately $63.7 million in debt settlement payments and other transaction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entered into deferred cash award agreements with certain Brigit employees to replace their unvested Brigit stock options or unvested phantom awards, as applicable (“Replacement Awards”), each entitling the holder to receive an amount in cash upon vesting equal to the excess of the merger consideration per common shares over the exercise price of the original award. The maximum amount payable pursuant to the Replacement Awards, approximately $7.8 million, included in the Closing Cash Consideration described above, was escrowed on the Closing Date and recorded to Prepaid and other assets in our Condensed Consolidated Balance Sheet. The Replacement Awards are subject to vesting conditions that are substantially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similar to those of the original awards. They will be amortized over the remaining award vesting periods as compensation expense and recorded to other gains and charges in our unaudited Condensed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Merger Agreement, we will also pay the Brigit Securityholders $75 million, payable in multiple installments (“Deferred Consideration”), $37.5 million of which will be payable 30 days following the first anniversary of the Closing Date and the remainder of which will be payable no later than 30 days following the second anniversary of the Closing Date. The payment of the Deferred Consideration is subject to acceleration if certain acceleration events specified in the Merger Agreement occur prior to the payment of the Deferred Consideration. The estimated fair value of the Deferred Consideration at the Closing Date was approximately $66.1 million, discounted to estimate the present value of the installment payments that will be made over a 2-year period as described above. The Brigit Securityholders may also receive up to $60 million in earnout payments based on the achievement of certain financial performance metrics for the Brigit business in 2026. The estimated fair value of the earnout payments at the Closing Date was approximately $10.6 million. The fair value of the earnout payments was estimated using a Monte Carlo simulation model based on our estimated long range cash flow projections for the Brigit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portion of Closing Stock Consideration issued to Brigit’s co-founders and certain of their respective affiliates (collectively, the “Co-Founders”) included approximately 1.3 million shares, valued at $39.1 million, which are subject to certain vesting restrictions over a two-year period from the Closing Date and other limitations set forth in a restricted stock agreement entered into with each such Co-Founder. These shares are being recognized as stock-based compensation expense subject to ASC Topic 718, “Stock-based Compensation”, over the required vesting period, and recorded to other gains and charges in our unaudited Condensed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Assets acquired and liabilities assumed in connection with the acquisition have been recorded at their fair values. The following table provides the estimated fair values of the identifiable assets acquired and liabilities assumed as of the acquisition date:</w:t>
      </w:r>
    </w:p>
    <w:tbl>
      <w:tblPr>
        <w:tblW w:w="4319" w:type="dxa"/>
        <w:jc w:val="left"/>
        <w:tblInd w:w="0" w:type="dxa"/>
        <w:tblLayout w:type="fixed"/>
        <w:tblCellMar>
          <w:top w:w="28" w:type="dxa"/>
          <w:left w:w="28" w:type="dxa"/>
          <w:bottom w:w="28" w:type="dxa"/>
          <w:right w:w="28" w:type="dxa"/>
        </w:tblCellMar>
      </w:tblPr>
      <w:tblGrid>
        <w:gridCol w:w="1040"/>
        <w:gridCol w:w="916"/>
        <w:gridCol w:w="923"/>
        <w:gridCol w:w="255"/>
        <w:gridCol w:w="999"/>
        <w:gridCol w:w="186"/>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Aggregate cash consideration</w:t>
            </w:r>
            <w:r>
              <w:rPr>
                <w:rFonts w:ascii="Times New Roman;serif" w:hAnsi="Times New Roman;serif"/>
                <w:b w:val="false"/>
                <w:color w:val="000000"/>
                <w:sz w:val="13"/>
              </w:rPr>
              <w:t>(1)</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277,668 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Aggregate stock consideration</w:t>
            </w:r>
            <w:r>
              <w:rPr>
                <w:rFonts w:ascii="Times New Roman;serif" w:hAnsi="Times New Roman;serif"/>
                <w:b w:val="false"/>
                <w:color w:val="000000"/>
                <w:sz w:val="13"/>
              </w:rPr>
              <w:t>(2)</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consideration</w:t>
            </w:r>
            <w:r>
              <w:rPr>
                <w:rFonts w:ascii="Times New Roman;serif" w:hAnsi="Times New Roman;serif"/>
                <w:b w:val="false"/>
                <w:color w:val="000000"/>
                <w:sz w:val="13"/>
              </w:rPr>
              <w:t>(3)</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Receivables, net</w:t>
            </w:r>
            <w:r>
              <w:rPr>
                <w:rFonts w:ascii="Times New Roman;serif" w:hAnsi="Times New Roman;serif"/>
                <w:b w:val="false"/>
                <w:color w:val="000000"/>
                <w:sz w:val="13"/>
              </w:rPr>
              <w:t>(4)</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assets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462,469 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trade</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395,378 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4"/>
        </w:rPr>
        <w:t>Aggregate cash consideration excludes $7.8 million in Replacement Awards described above and $58.6 million in cash acquired, and includes cash paid to settle Brigit's outstanding debt and loan balances and other transaction expenses of $63.7 million, and post-closing net working capital adjustments of $1.7 million.</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4"/>
        </w:rPr>
        <w:t>Aggregate stock consideration excludes approximately 1.3 million shares valued at approximately $39.1 million subject to certain vesting restrictions, as described further above.</w:t>
      </w:r>
    </w:p>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4"/>
        </w:rPr>
        <w:t>Includes the fair value of Deferred Consideration and earnout payments described above, which were not included in Closing Cash Consideration paid at the time of closing but will be paid out in future periods based on the terms of the Merger Agreement.</w:t>
      </w:r>
    </w:p>
    <w:p>
      <w:pPr>
        <w:pStyle w:val="TextBody"/>
        <w:bidi w:val="0"/>
        <w:spacing w:lineRule="auto" w:line="28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4"/>
        </w:rPr>
        <w:t>Includes gross contractual receivables of $43.8 million related to customer cash advances, of which $4.5 million were estimated to be uncollectible as of the Closing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values for certain assets and liabilities assumed as part of the acquisition, including receivables, prepaid expenses and other assets, accounts payable and accrued liabilities were considered equivalent to and recorded as fair value, as of the date of acquisition, due to the short term nature of these balances. Operating lease right-of-use assets and liabilities were recorded as the discounted value of future obligations in accordance with ASC Topic 842, “Leases”. The fair value measurements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acquired intangible assets and developed technology were primarily based on significant unobservable inputs (Level 3) developed using company-specific information. Certain fair values were determined based on an independent valuation of the net assets acquired, including $152.3 million of identifiable intangible assets with an estimated weighted average useful life of nine years, as follows:</w:t>
      </w:r>
    </w:p>
    <w:tbl>
      <w:tblPr>
        <w:tblW w:w="6583" w:type="dxa"/>
        <w:jc w:val="left"/>
        <w:tblInd w:w="0" w:type="dxa"/>
        <w:tblLayout w:type="fixed"/>
        <w:tblCellMar>
          <w:top w:w="28" w:type="dxa"/>
          <w:left w:w="28" w:type="dxa"/>
          <w:bottom w:w="28" w:type="dxa"/>
          <w:right w:w="28" w:type="dxa"/>
        </w:tblCellMar>
      </w:tblPr>
      <w:tblGrid>
        <w:gridCol w:w="606"/>
        <w:gridCol w:w="535"/>
        <w:gridCol w:w="538"/>
        <w:gridCol w:w="303"/>
        <w:gridCol w:w="1189"/>
        <w:gridCol w:w="157"/>
        <w:gridCol w:w="951"/>
        <w:gridCol w:w="951"/>
        <w:gridCol w:w="1353"/>
      </w:tblGrid>
      <w:tr>
        <w:trPr/>
        <w:tc>
          <w:tcPr>
            <w:tcW w:w="60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Class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br/>
              <w:t>(in thousands)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Remaining Useful Life (in years)</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Developed technology, included in Property assets, net, in line with our accounting policies, was also acquired with a value of $65.1 million and an estimated remaining useful life of seven years. The fair value for these intangible and property assets were estimated using common industry valuation methods for similar asset types, including the relief-from-royalty, excess earnings and replacement cost methods based primarily on the Company's cost inputs and projected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we recorded goodwill of $196.9 million in our Brigit operating segment, which consists of the excess of the net purchase price over the fair value of the net assets acquired. Goodwill represents expected cost and revenue synergies and other benefits expected to result within our financial health business from the acquisition of Brigit.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Brigit’s results of operations are reflected in our unaudited Condensed Consolidated Statements of Operations from the Closing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2025, we recorded adjustments to certain assets acquired and liabilities assumed related to post-closing updates in net working capital and adjustments to deferred income taxes resulting in an overall decrease to goodwill of approximately $1.3 million. Although we do not anticipate additional adjustments to the above values, we are still in the process of finalizing our assessments of the purchase price allocation and will record any additional necessary adjustments to acquired assets and liabilities within the allowable measurement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this acquisition, we have incurred approximately $10.3 million in acquisition-related expenses including expenses related to legal, professional, and banking transaction fees, of which $6.7 million was recognized during the nine months ended September 30, 2025. These costs were included in other gains and charges in our unaudited Condensed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combined results of operations present our financial results as if the acquisition of Brigit had been completed on January 1, 2024. These unaudited pro forma results may not necessarily reflect the actual results of operations that would have been achieved, nor are they necessarily indicative of future results of operations. The unaudited pro forma information reflects step-up and step-down adjustments for depreciation and amortization of $1.8 million and $18.6 million for the fair value of the assets acquired, compensation expense of $(3.6) million and $19.9 million as a result of Closing Stock Consideration and Replacement Awards subject to vesting provisions, interest expense of $1.4 million and $12.7 million due to the elimination of historical debt, accreted interest of $0.3 million and $2.8 million related to the Deferred Consideration, and adjustments to income tax expense (benefit) of $1.7 million and $(16.0) million, for the nine months ended September 30, 2025 and 2024, respectively. In addition, pro forma net income for the nine months ended September 30, 2025 and 2024 has been adjusted to reflect transaction expenses incurred of $22.0 million as of January 1, 2024. The unaudited pro forma financial information is as follows:</w:t>
      </w:r>
    </w:p>
    <w:tbl>
      <w:tblPr>
        <w:tblW w:w="8355" w:type="dxa"/>
        <w:jc w:val="left"/>
        <w:tblInd w:w="0" w:type="dxa"/>
        <w:tblLayout w:type="fixed"/>
        <w:tblCellMar>
          <w:top w:w="28" w:type="dxa"/>
          <w:left w:w="28" w:type="dxa"/>
          <w:bottom w:w="28" w:type="dxa"/>
          <w:right w:w="28" w:type="dxa"/>
        </w:tblCellMar>
      </w:tblPr>
      <w:tblGrid>
        <w:gridCol w:w="777"/>
        <w:gridCol w:w="683"/>
        <w:gridCol w:w="68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 Forma net earnings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4"/>
        </w:rPr>
        <w:t xml:space="preserve">Total pro forma adjustments to net earnings represented an increase of $1.4 million and a decrease of $1.8 million for the three and nine months ended September 30, 2025, respectively, and decreases of $7.4 million and $43.3 million for the three and nine months ended September 30,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amounts of revenue and earnings of Brigit included in our Condensed Consolidated Statements of Operations from the acquisition date of January 31, 2025 are as follows:</w:t>
      </w:r>
    </w:p>
    <w:tbl>
      <w:tblPr>
        <w:tblW w:w="3018" w:type="dxa"/>
        <w:jc w:val="left"/>
        <w:tblInd w:w="0" w:type="dxa"/>
        <w:tblLayout w:type="fixed"/>
        <w:tblCellMar>
          <w:top w:w="28" w:type="dxa"/>
          <w:left w:w="28" w:type="dxa"/>
          <w:bottom w:w="28" w:type="dxa"/>
          <w:right w:w="28" w:type="dxa"/>
        </w:tblCellMar>
      </w:tblPr>
      <w:tblGrid>
        <w:gridCol w:w="478"/>
        <w:gridCol w:w="420"/>
        <w:gridCol w:w="421"/>
        <w:gridCol w:w="284"/>
        <w:gridCol w:w="1114"/>
        <w:gridCol w:w="147"/>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January 31, 2025 -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141,414 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earnings</w:t>
            </w:r>
            <w:r>
              <w:rPr>
                <w:rFonts w:ascii="Times New Roman;serif" w:hAnsi="Times New Roman;serif"/>
                <w:b w:val="false"/>
                <w:color w:val="000000"/>
                <w:sz w:val="13"/>
              </w:rPr>
              <w:t>(1)</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(1)</w:t>
      </w:r>
      <w:r>
        <w:rPr>
          <w:rFonts w:ascii="Times New Roman;serif" w:hAnsi="Times New Roman;serif"/>
          <w:b w:val="false"/>
          <w:color w:val="000000"/>
          <w:sz w:val="14"/>
        </w:rPr>
        <w:t>Net earnings for the period includes amortization and depreciation of intangible assets and developed technology acquired upon closing of the Brigit acquisition.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acquired four lease-to-own store locations and customer accounts for an aggregate purchase price of approximately $2.2 million. Three store locations remained open and one store location was closed upon acquisition and consolidated into existing store operations in our Rent-A-Center segment.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Refranchise Sale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9, 2024, we sold 55 Rent-A-Center stores in the states of New York and New Jersey to a franchisee. We received cash consideration of approximately $19.1 million, including approximately $0.6 million related to franchise fees. The sale included on rent and held for rent inventory of approximately $13.0 million, property assets of approximately $2.0 million, and prorated rent and other miscellaneous expenses of $0.4 million, resulting in a net gain on sale of approximately $3.1 million. The gain on sale was recorded to non-labor operating expenses in our Condensed Consolidated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3 - Revenues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disaggregate our revenue for the periods ended September 30, 2025 and 2024:</w:t>
      </w:r>
    </w:p>
    <w:tbl>
      <w:tblPr>
        <w:tblW w:w="8997" w:type="dxa"/>
        <w:jc w:val="left"/>
        <w:tblInd w:w="0" w:type="dxa"/>
        <w:tblLayout w:type="fixed"/>
        <w:tblCellMar>
          <w:top w:w="28" w:type="dxa"/>
          <w:left w:w="28" w:type="dxa"/>
          <w:bottom w:w="28" w:type="dxa"/>
          <w:right w:w="28" w:type="dxa"/>
        </w:tblCellMar>
      </w:tblPr>
      <w:tblGrid>
        <w:gridCol w:w="700"/>
        <w:gridCol w:w="616"/>
        <w:gridCol w:w="618"/>
        <w:gridCol w:w="211"/>
        <w:gridCol w:w="826"/>
        <w:gridCol w:w="109"/>
        <w:gridCol w:w="109"/>
        <w:gridCol w:w="109"/>
        <w:gridCol w:w="109"/>
        <w:gridCol w:w="218"/>
        <w:gridCol w:w="854"/>
        <w:gridCol w:w="114"/>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Brigit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06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Rentals and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461,090 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1,164,717 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62" w:type="dxa"/>
        <w:jc w:val="left"/>
        <w:tblInd w:w="0" w:type="dxa"/>
        <w:tblLayout w:type="fixed"/>
        <w:tblCellMar>
          <w:top w:w="28" w:type="dxa"/>
          <w:left w:w="28" w:type="dxa"/>
          <w:bottom w:w="28" w:type="dxa"/>
          <w:right w:w="28" w:type="dxa"/>
        </w:tblCellMar>
      </w:tblPr>
      <w:tblGrid>
        <w:gridCol w:w="700"/>
        <w:gridCol w:w="616"/>
        <w:gridCol w:w="618"/>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Brigit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428"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Rentals and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3,498,616 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18" w:type="dxa"/>
        <w:jc w:val="left"/>
        <w:tblInd w:w="0" w:type="dxa"/>
        <w:tblLayout w:type="fixed"/>
        <w:tblCellMar>
          <w:top w:w="28" w:type="dxa"/>
          <w:left w:w="28" w:type="dxa"/>
          <w:bottom w:w="28" w:type="dxa"/>
          <w:right w:w="28" w:type="dxa"/>
        </w:tblCellMar>
      </w:tblPr>
      <w:tblGrid>
        <w:gridCol w:w="581"/>
        <w:gridCol w:w="511"/>
        <w:gridCol w:w="513"/>
        <w:gridCol w:w="211"/>
        <w:gridCol w:w="826"/>
        <w:gridCol w:w="109"/>
        <w:gridCol w:w="109"/>
        <w:gridCol w:w="109"/>
        <w:gridCol w:w="109"/>
        <w:gridCol w:w="218"/>
        <w:gridCol w:w="854"/>
        <w:gridCol w:w="114"/>
        <w:gridCol w:w="109"/>
        <w:gridCol w:w="109"/>
        <w:gridCol w:w="109"/>
        <w:gridCol w:w="109"/>
        <w:gridCol w:w="109"/>
        <w:gridCol w:w="211"/>
        <w:gridCol w:w="721"/>
        <w:gridCol w:w="109"/>
        <w:gridCol w:w="109"/>
        <w:gridCol w:w="109"/>
        <w:gridCol w:w="109"/>
        <w:gridCol w:w="211"/>
        <w:gridCol w:w="97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1668" w:type="dxa"/>
            <w:gridSpan w:val="6"/>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245" w:type="dxa"/>
            <w:gridSpan w:val="1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6"/>
            <w:tcBorders/>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Rentals and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483,646 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778" w:type="dxa"/>
        <w:jc w:val="left"/>
        <w:tblInd w:w="0" w:type="dxa"/>
        <w:tblLayout w:type="fixed"/>
        <w:tblCellMar>
          <w:top w:w="28" w:type="dxa"/>
          <w:left w:w="28" w:type="dxa"/>
          <w:bottom w:w="28" w:type="dxa"/>
          <w:right w:w="28" w:type="dxa"/>
        </w:tblCellMar>
      </w:tblPr>
      <w:tblGrid>
        <w:gridCol w:w="581"/>
        <w:gridCol w:w="511"/>
        <w:gridCol w:w="513"/>
        <w:gridCol w:w="211"/>
        <w:gridCol w:w="976"/>
        <w:gridCol w:w="109"/>
        <w:gridCol w:w="109"/>
        <w:gridCol w:w="109"/>
        <w:gridCol w:w="109"/>
        <w:gridCol w:w="211"/>
        <w:gridCol w:w="976"/>
        <w:gridCol w:w="109"/>
        <w:gridCol w:w="109"/>
        <w:gridCol w:w="109"/>
        <w:gridCol w:w="109"/>
        <w:gridCol w:w="109"/>
        <w:gridCol w:w="109"/>
        <w:gridCol w:w="211"/>
        <w:gridCol w:w="721"/>
        <w:gridCol w:w="109"/>
        <w:gridCol w:w="109"/>
        <w:gridCol w:w="109"/>
        <w:gridCol w:w="109"/>
        <w:gridCol w:w="211"/>
        <w:gridCol w:w="97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1668" w:type="dxa"/>
            <w:gridSpan w:val="6"/>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505" w:type="dxa"/>
            <w:gridSpan w:val="1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6"/>
            <w:tcBorders/>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Rentals and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3,241,336 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Lease Purchase Agreements</w:t>
      </w:r>
    </w:p>
    <w:p>
      <w:pPr>
        <w:pStyle w:val="TextBody"/>
        <w:bidi w:val="0"/>
        <w:spacing w:lineRule="auto" w:line="288" w:before="120" w:after="283"/>
        <w:jc w:val="both"/>
        <w:rPr/>
      </w:pPr>
      <w:r>
        <w:rPr>
          <w:rFonts w:ascii="Times New Roman;serif" w:hAnsi="Times New Roman;serif"/>
          <w:b w:val="false"/>
          <w:i/>
          <w:color w:val="000000"/>
          <w:sz w:val="20"/>
        </w:rPr>
        <w:t>Rentals and Fees.</w:t>
      </w:r>
      <w:r>
        <w:rPr>
          <w:color w:val="000000"/>
        </w:rPr>
        <w:t xml:space="preserve"> </w:t>
      </w:r>
      <w:r>
        <w:rPr>
          <w:rFonts w:ascii="Times New Roman;serif" w:hAnsi="Times New Roman;serif"/>
          <w:b w:val="false"/>
          <w:color w:val="000000"/>
          <w:sz w:val="20"/>
        </w:rPr>
        <w:t>Rental merchandise is leased to customers pursuant to lease-to-own agreements, which provide for weekly, bi-weekly, semi-monthly or monthly terms with non-refundable lease payments. At the expiration of each lease term, customers may renew the lease-to-own agreement for the next lease term. The customer has the right to acquire title of the merchandise either through an early purchase option or through payment of all optional lease renewal terms. Customers can terminate the lease-to-own agreement and return the product at the end of any lease term without penalty. Therefore, lease-to-own agreements are accounted for as operating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Lease payments received at our company-owned Rent-A-Center stores, certain Acima locations formerly operating under the Acceptance Now brand, and Mexico stores must be prepaid in advance of the next lease renewal term. Under the Acima Holdings business model, in certain cases revenues may be earned prior to the lease payment due date, in which case revenue is accrued prior to receipt of the lease payment, net of estimated returns and uncollectible renewal payments. Under both models, rental revenue is recognized over the lease term. See Note 4 for additional information regarding accrued lease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received for rental payments, including fees, prior to the period in which it should be recognized, is deferred and recognized according to the lease term. At September 30, 2025 and December 31, 2024, we had $57.5 million and $61.6 million, respectively, in deferred revenue included in accrued liabilities related to our lease-to-own agreements. Revenues related to various payments, reinstatement or late fees are recognized when paid by the customer at the point service is provided. Rental merchandise in our company-owned Rent-A-Center stores, certain Acima locations formerly operating under the Acceptance Now brand, and Mexico stores is depreciated using the income forecasting method and recognized in cost of rentals and fees in our Condensed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waivers in the event eligible customers become unemployed. Customers renew product plans in conjunction with their lease term renewals, and can cancel the plans at any time. Revenue for product plans is recognized over the term of the plan. Costs incurred related to product plans are primarily recognized in cost of revenues.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 from contracts with customers</w:t>
      </w:r>
    </w:p>
    <w:p>
      <w:pPr>
        <w:pStyle w:val="TextBody"/>
        <w:bidi w:val="0"/>
        <w:spacing w:lineRule="auto" w:line="288" w:before="120" w:after="283"/>
        <w:jc w:val="both"/>
        <w:rPr/>
      </w:pPr>
      <w:r>
        <w:rPr>
          <w:rFonts w:ascii="Times New Roman;serif" w:hAnsi="Times New Roman;serif"/>
          <w:b w:val="false"/>
          <w:i/>
          <w:color w:val="000000"/>
          <w:sz w:val="20"/>
        </w:rPr>
        <w:t>Merchandise Sales.</w:t>
      </w:r>
      <w:r>
        <w:rPr>
          <w:color w:val="000000"/>
        </w:rPr>
        <w:t xml:space="preserve"> </w:t>
      </w:r>
      <w:r>
        <w:rPr>
          <w:rFonts w:ascii="Times New Roman;serif" w:hAnsi="Times New Roman;serif"/>
          <w:b w:val="false"/>
          <w:color w:val="000000"/>
          <w:sz w:val="20"/>
        </w:rPr>
        <w:t>Revenue for merchandise sales is recognized when payment is received and ownership of the merchandise passes to the customer. Merchandise sales include payments received for the exercise of the early purchase options offered through our lease-to-own agreements or merchandise sold through point-of-sale transactions. The remaining net value of lease merchandise sold is recorded to cost of merchandise sold at the time of the transaction. Revenue from the sale of lease merchandise to our franchisees is recognized upon shipment of the merchandise to the franchisee (previously reported in franchise merchandise sales in prior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the sale of merchandise in our retail installment stores is recognized when the installment note is signed and control of the merchandise has passed to the customer (previously reported in installment sales revenue in prior periods). The cost of merchandise sold through installment agreements is recognized at the time of the transaction. We offer optional extended service plans with our installment agreements which are administered by third parties and provide customers with product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payments previously made towards the plan. At September 30, 2025 and December 31, 2024, the amount of deferred revenue included in accrued liabilities related to extended service plans was inconsequential to our financial statements.</w:t>
      </w:r>
    </w:p>
    <w:p>
      <w:pPr>
        <w:pStyle w:val="TextBody"/>
        <w:bidi w:val="0"/>
        <w:spacing w:lineRule="auto" w:line="288" w:before="120" w:after="283"/>
        <w:jc w:val="both"/>
        <w:rPr/>
      </w:pPr>
      <w:r>
        <w:rPr>
          <w:rFonts w:ascii="Times New Roman;serif" w:hAnsi="Times New Roman;serif"/>
          <w:b w:val="false"/>
          <w:i/>
          <w:color w:val="000000"/>
          <w:sz w:val="20"/>
        </w:rPr>
        <w:t>Subscriptions and fees.</w:t>
      </w:r>
      <w:r>
        <w:rPr>
          <w:color w:val="000000"/>
        </w:rPr>
        <w:t xml:space="preserve"> </w:t>
      </w:r>
      <w:r>
        <w:rPr>
          <w:rFonts w:ascii="Times New Roman;serif" w:hAnsi="Times New Roman;serif"/>
          <w:b w:val="false"/>
          <w:color w:val="000000"/>
          <w:sz w:val="20"/>
        </w:rPr>
        <w:t>Subscription payments in our Brigit segment are received on a monthly basis from customers who upgrade to a Plus or Premium subscription tier via the Brigit mobile application and/or web browser. Depending on the optional subscription tier, the customer gains access to some or all of the following services: Credit Monitoring, Credit Builder, Identity Theft Protection, and Instant Cash. This payment can range based on a variety of factors and higher cost tiers generally offer additional services. Brigit continually fulfills obligations to each customer over the subscription term. The series of distinct services represent a single performance obligation that is satisfied over time. We recognize revenue ratably as the customer receives and consumes the benefits of the platform throughout the monthly contract period. Price concessions are granted to customers who have insufficient funds and are unable to make subscription payments when they are due.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receive payments from customers who request their cash advance be delivered faster. Such expedited transfer fee payments from customers are recognized as revenue over the expected term of the associated customer cash advance. We also serve offers from our marketplace partners’ products and services in our Earn &amp; Save section of our mobile application. We receive a payment based on contractual terms, generally on the basis of customer traffic or conversions brought to such products or services. Marketplace revenues are recognized as customer traffic is added and conversions to the marketplace partners’ products and services occur.</w:t>
      </w:r>
    </w:p>
    <w:p>
      <w:pPr>
        <w:pStyle w:val="TextBody"/>
        <w:bidi w:val="0"/>
        <w:spacing w:lineRule="auto" w:line="288" w:before="120" w:after="283"/>
        <w:jc w:val="both"/>
        <w:rPr/>
      </w:pPr>
      <w:r>
        <w:rPr>
          <w:rFonts w:ascii="Times New Roman;serif" w:hAnsi="Times New Roman;serif"/>
          <w:b w:val="false"/>
          <w:i/>
          <w:color w:val="000000"/>
          <w:sz w:val="20"/>
        </w:rPr>
        <w:t xml:space="preserve">Other. </w:t>
      </w:r>
      <w:r>
        <w:rPr>
          <w:rFonts w:ascii="Times New Roman;serif" w:hAnsi="Times New Roman;serif"/>
          <w:b w:val="false"/>
          <w:color w:val="000000"/>
          <w:sz w:val="20"/>
        </w:rPr>
        <w:t>Other revenue primarily consists of franchise royalties, including franchisee contributions to corporate advertising funds, which represent sales-based royalties calculated as a percentage of gross rental payments and sales (previously reported in royalty income and fees in prior periods). Royalty revenue is accrued and recognized as lease payments and merchandise sales occur. Franchise fees are initial fees charged to franchisees for new or converted franchise stores. Franchise fee revenue is recognized on a straight-line basis over the term of the franchise agreement. At September 30, 2025 and December 31, 2024, we had $1.6 million and $2.7 million, respectively, in deferred revenue included in accrued liabilities related to franchise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revenue also includes revenues generated by other miscellaneous product plans offered to our lease-to-own and installment customers. Revenue for other product plans is recognized in accordance with the terms of the applicable plan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4 - Receivables and Allowance for Doubtful Accounts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optional services the customer has chosen, less the customer’s down payment. No interest is accrued and interest income is recognized each time a customer makes a payment, generally on a monthly basis. Interest payments received on installment agreements for each of the nine months ended September 30, 2025 and 2024 were $7.3 million and $7.9 million, respectively, included in our merchandise sales revenue in our Condensed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Customer cash advances consist of earned wage access advances provided to Brigit customers when requested. By leveraging cash flow information from the customer’s bank account as well as customer verified income information, Brigit’s algorithm assesses their earned income and ability to repay, with no FICO needed and no impact on credit scores. Brigit’s algorithms also predict when a customer may fall short and can automatically send advances to the customers’ account if they choose. Generally customers repay cash advances shortly after they receive their next paycheck.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Receivables consist of the following:</w:t>
      </w:r>
    </w:p>
    <w:tbl>
      <w:tblPr>
        <w:tblW w:w="7527" w:type="dxa"/>
        <w:jc w:val="left"/>
        <w:tblInd w:w="0" w:type="dxa"/>
        <w:tblLayout w:type="fixed"/>
        <w:tblCellMar>
          <w:top w:w="28" w:type="dxa"/>
          <w:left w:w="28" w:type="dxa"/>
          <w:bottom w:w="28" w:type="dxa"/>
          <w:right w:w="28" w:type="dxa"/>
        </w:tblCellMar>
      </w:tblPr>
      <w:tblGrid>
        <w:gridCol w:w="1489"/>
        <w:gridCol w:w="1309"/>
        <w:gridCol w:w="1312"/>
        <w:gridCol w:w="291"/>
        <w:gridCol w:w="1093"/>
        <w:gridCol w:w="161"/>
        <w:gridCol w:w="109"/>
        <w:gridCol w:w="109"/>
        <w:gridCol w:w="109"/>
        <w:gridCol w:w="279"/>
        <w:gridCol w:w="1047"/>
        <w:gridCol w:w="219"/>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Trade and notes receivables</w:t>
            </w:r>
            <w:r>
              <w:rPr>
                <w:rFonts w:ascii="Times New Roman;serif" w:hAnsi="Times New Roman;serif"/>
                <w:b w:val="false"/>
                <w:color w:val="000000"/>
                <w:sz w:val="12"/>
              </w:rPr>
              <w:t>(1)</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109,486 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Installment sales receivables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cash advances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receivables</w:t>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233,233 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169,728 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allowance for doubtful accounts</w:t>
            </w:r>
            <w:r>
              <w:rPr>
                <w:rFonts w:ascii="Times New Roman;serif" w:hAnsi="Times New Roman;serif"/>
                <w:b w:val="false"/>
                <w:color w:val="000000"/>
                <w:sz w:val="12"/>
              </w:rPr>
              <w:t>(2)</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receivables, net of allowance for doubtful accounts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203,155 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156,438 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Trade and notes receivables includes accrued revenue, adjusted for the probability of collection, related to our lease-to-own agreements of $58.7 million and $51.1 million at September 30, 2025 and December 31, 2024, respectively, including $55.2 million and $46.6 million related to lease-to-own agreements for Acima Holdings and $3.0 million and $3.6 million related to lease-to-own agreements for Rent-A-Center at September 30, 2025 and December 31, 2024, respectively. </w:t>
      </w:r>
    </w:p>
    <w:p>
      <w:pPr>
        <w:pStyle w:val="TextBody"/>
        <w:bidi w:val="0"/>
        <w:spacing w:lineRule="auto" w:line="288" w:before="0" w:after="0"/>
        <w:ind w:left="0" w:right="0" w:hanging="18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recognized as contra-bad debt expense in our Condensed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Condensed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estimate the allowance for customer cash advance losses based on a number of factors, including the length of time receivables are past due, previous loss history and current economic conditions. The allowance for credit losses is recognized upon origination of customer cash advances. Customer cash advances are deemed not collectible after 45 days beyond the due date and are charged-off as a reduction to the allowance for doubtful accounts and any recoveries of previously charged off balances are recognized as contra-bad debt expense in our Condensed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allowance for doubtful accounts related to franchising trade and notes receivables was $13.1 million and $2.2 million at September 30, 2025 and December 31, 2024, respectively, the allowance for doubtful accounts related to installment sales receivables was $11.1 million at both September 30, 2025 and December 31, 2024, and the allowance for doubtful accounts related to Brigit customer cash advances was $5.9 million at September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Changes in our allowance for doubtful accounts are as follows:</w:t>
      </w:r>
    </w:p>
    <w:tbl>
      <w:tblPr>
        <w:tblW w:w="5191" w:type="dxa"/>
        <w:jc w:val="left"/>
        <w:tblInd w:w="0" w:type="dxa"/>
        <w:tblLayout w:type="fixed"/>
        <w:tblCellMar>
          <w:top w:w="28" w:type="dxa"/>
          <w:left w:w="28" w:type="dxa"/>
          <w:bottom w:w="28" w:type="dxa"/>
          <w:right w:w="28" w:type="dxa"/>
        </w:tblCellMar>
      </w:tblPr>
      <w:tblGrid>
        <w:gridCol w:w="1146"/>
        <w:gridCol w:w="1008"/>
        <w:gridCol w:w="1011"/>
        <w:gridCol w:w="318"/>
        <w:gridCol w:w="1050"/>
        <w:gridCol w:w="177"/>
        <w:gridCol w:w="109"/>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allowance for doubtful accounts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Bad debt expense</w:t>
            </w:r>
            <w:r>
              <w:rPr>
                <w:rFonts w:ascii="Times New Roman;serif" w:hAnsi="Times New Roman;serif"/>
                <w:b w:val="false"/>
                <w:color w:val="000000"/>
                <w:sz w:val="12"/>
              </w:rPr>
              <w:t>(1)</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written off, net of recoveries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Ending allowance for doubtful accounts</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Uncollectible installment payments, franchisee obligations, customer cash advances and other corporate receivables are recognized in non-labor operating expenses in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5 - Income Taxes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was 31.6% for the nine months ended September 30, 2025, compared to 24.9% for the nine months ended September 30, 2024. The increase in the effective tax rate for the nine months ended September 30, 2025 was primarily attributable to non-deductible expenses related to the Brigit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 was signed into law. The OBBB contains a broad range of tax reform provisions, including the reinstatement of 100% bonus depreciation and the immediate expensing of domestic R&amp;D under the new § 174A of the Internal Revenue Code. As a result of the enactment of OBBB, the acceleration of certain expenses for tax purposes resulted in an increase to the deferred tax liability with a corresponding increase to income tax receivable as of September 30, 2025. The provisions of OBBB did not have a material impact to our tax expenses for the three months ended September 30, 2025, but are expected to have a favorable impact on our cash taxes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 Senior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17, 2021, we entered into a credit agreement with JPMorgan Chase Bank, N.A., as administrative agent, and lenders party thereto, providing for a seven-year $875 million senior secured term loan facility (the “Term Loan Facility”), as amended on September 21, 2021, June 15, 2023, May 28, 2024 and August 19, 2025, and an Asset Based Loan Credit Facility (the “ABL Credit Facility”), as amended August 10, 2022, June 7, 2024 and August 29, 2025,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28, 2024 we entered into a Third Amendment to the Term Loan Facility, effective as of May 28, 2024. The amendment, in addition to certain other changes, effected a repricing of the applicable margin under the Term Loan Facility by reducing the applicable margin, with respect to any initial term loans, by 50 basis points from 3.25% to 2.75% and removing the credit spread adjustment that was previously included in the calculation of the adjusted Term SOFR rate for term benchmark loans.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7, 2024, we entered into a Second Amendment to the ABL Credit Facility, effective as of June 7, 2024. The amendment, in addition to certain other changes, extended the maturity date for loans outstanding under the ABL Credit Facility to June 7, 2029 (subject to certain springing maturity provisions).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19, 2025 we entered into a Fourth Amendment to the Term Loan Facility, effective as of August 19, 2025. The amendment, in addition to certain other changes, (i) extended the maturity date for the loans outstanding under the Term Loan Facility to August 19, 2032 (subject to certain springing maturity provisions) and (ii) provided approximately $77 million of incremental commitments under the Term Loan Facility, all of which were drawn on August 19, 2025, resulting in total aggregate borrowings under the Term Loan Facility on such date of $875 million. Proceeds from the Term Loan Facility were net of original issue discount of $4.4 million upon issuance from the lenders.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29, 2025 we entered into a Third Amendment to the ABL Credit Facility, effective as of August 29, 2025. The amendment provided for certain changes to the covenants applicable to the ABL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Second Amendment to the ABL Credit Facility, we incurred approximately $3.2 million in debt issuance costs, including third-party arrangement and other professional fees, which were capitalized and recorded as a reduction to our outstanding senior debt in our Condensed Consolidated Balance Sheets. In addition, in accordance with ASC Topic 470, “Debt”, we recorded approximately $0.4 million in write-offs of unamortized debt issuance costs previously capitalized upon the issuance of the ABL Credit Facility on February 17, 2021. The write-offs were recorded as debt refinance charges in our Condensed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Fourth Amendment to the Term Loan Facility and Third Amendment to the ABL Credit Facility, we incurred approximately $4.2 million in debt issuance costs, including third-party arrangement and other professional fees, of which approximately $4.0 million were expensed as debt refinance charges in our Condensed Consolidated Statements of Operations, and approximately $0.2 million were capitalized and recorded as a reduction to our outstanding senior debt in our Condensed Consolidated Balance Sheets. In addition, in accordance with ASC Topic 470, “Debt”, we recorded approximately $0.9 million in write-offs of unamortized debt issuance costs and original issue discount previously capitalized upon the Third Amendment to the Term Loan Facility on May 28, 2024. The write-offs were recorded as debt refinance charges in our Condensed Consolidated Statements of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total remaining balances of unamortized debt issuance costs and original issue discount related to our senior debt reported in the Condensed Consolidated Balance Sheets were approximately $6.6 million and $4.7 million, respectively. Remaining unamortized debt issuance costs and original issue discount will be amortized to interest expense over the remaining terms of the ABL Credit Facility and Term Loan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had $239.0 million outstanding borrowings under our ABL Credit Facility at September 30, 2025 and borrowing capacity of $257.0 million, net of issued letters of credit of approximately $54.0 million. The amount outstanding under the Term Loan Facility was $875.0 million at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120" w:after="283"/>
        <w:jc w:val="both"/>
        <w:rPr>
          <w:rFonts w:ascii="Times New Roman;serif" w:hAnsi="Times New Roman;serif"/>
          <w:b/>
          <w:i/>
          <w:color w:val="000000"/>
          <w:sz w:val="20"/>
        </w:rPr>
      </w:pPr>
      <w:r>
        <w:rPr>
          <w:rFonts w:ascii="Times New Roman;serif" w:hAnsi="Times New Roman;serif"/>
          <w:b/>
          <w:i/>
          <w:color w:val="000000"/>
          <w:sz w:val="20"/>
        </w:rPr>
        <w:t>ABL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ABL Credit Facility will mature on June 7, 2029 (subject to certain springing maturity provisions).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ABL Credit Facility bears interest at a fluctuating rate determined by reference to an adjusted Term SOFR rate plus an applicable margin of 1.50% to 2.00%. The total interest rate on the ABL Credit Facility at September 30, 2025 was 6.28%, including an applicable margin of 2.00%. A commitment fee equal to 0.250% to 0.375% of the unused portion of the ABL Credit Facility fluctuates dependent upon average utilization for the prior month as defined by a pricing grid included in the governing documents of the ABL Credit Facility. The commitment fee at September 30, 2025 was 0.250%. We paid $0.3 million of commitment fees during the third quarter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Loans under the ABL Credit Facility may be borrowed, repaid and re-borrowed until June 7, 2029,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ABL Credit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governing documents of the ABL Credit Facility provide for customary events of default, including, but not limited to, failure to pay principal and interest, failure to comply with covenants, agreements or conditions, and certain events of bankruptcy or insolvency involving us and our significant subsidiaries. As of September 30, 2025, we were in compliance with all requirements and conditions set forth in our ABL Credit Facility governing documents.</w:t>
      </w:r>
    </w:p>
    <w:p>
      <w:pPr>
        <w:pStyle w:val="TextBody"/>
        <w:bidi w:val="0"/>
        <w:spacing w:lineRule="auto" w:line="276" w:before="120" w:after="283"/>
        <w:jc w:val="both"/>
        <w:rPr>
          <w:rFonts w:ascii="Times New Roman;serif" w:hAnsi="Times New Roman;serif"/>
          <w:b/>
          <w:i/>
          <w:color w:val="000000"/>
          <w:sz w:val="20"/>
        </w:rPr>
      </w:pPr>
      <w:r>
        <w:rPr>
          <w:rFonts w:ascii="Times New Roman;serif" w:hAnsi="Times New Roman;serif"/>
          <w:b/>
          <w:i/>
          <w:color w:val="000000"/>
          <w:sz w:val="20"/>
        </w:rPr>
        <w:t>Term Loan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Facility, which matures on August 19, 2032 (subject to certain springing maturity provisions), amortizes in equal quarterly installments at a rate of 1.00% per annum of the original principal amount thereof, with the remaining balance due at final maturity. Subject in each case to certain restrictions and conditions, we may add up to $625 million (plus additional amounts subject to satisfaction of certain financial ratios) of incremental term loan facilities to the Term Loan Facility or utilize incremental capacity under the Term Loan Facility at any time by issuing or incurring incremental equivalent term debt.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on borrowings under the Term Loan Facility is payable at a fluctuating rate of interest determined by reference to the Term SOFR rate plus an applicable margin of 2.75%, subject to a 0.50% Term SOFR floor. The total interest rate on the Term Loan Facility was 6.88% at September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and debt incurrence (other than permitted debt), subject to certain limitations described therein. These covenants are subject to a number of limitations and exceptions set forth in the governing documents of the Term Loan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 Loan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the scheduled maturity dates of our outstanding senior debt at September 30, 2025 for each of the years ending December 31:</w:t>
      </w:r>
    </w:p>
    <w:tbl>
      <w:tblPr>
        <w:tblW w:w="6795" w:type="dxa"/>
        <w:jc w:val="left"/>
        <w:tblInd w:w="0" w:type="dxa"/>
        <w:tblLayout w:type="fixed"/>
        <w:tblCellMar>
          <w:top w:w="28" w:type="dxa"/>
          <w:left w:w="28" w:type="dxa"/>
          <w:bottom w:w="28" w:type="dxa"/>
          <w:right w:w="28" w:type="dxa"/>
        </w:tblCellMar>
      </w:tblPr>
      <w:tblGrid>
        <w:gridCol w:w="472"/>
        <w:gridCol w:w="415"/>
        <w:gridCol w:w="417"/>
        <w:gridCol w:w="109"/>
        <w:gridCol w:w="109"/>
        <w:gridCol w:w="109"/>
        <w:gridCol w:w="109"/>
        <w:gridCol w:w="291"/>
        <w:gridCol w:w="1093"/>
        <w:gridCol w:w="161"/>
        <w:gridCol w:w="109"/>
        <w:gridCol w:w="109"/>
        <w:gridCol w:w="109"/>
        <w:gridCol w:w="308"/>
        <w:gridCol w:w="1156"/>
        <w:gridCol w:w="171"/>
        <w:gridCol w:w="109"/>
        <w:gridCol w:w="109"/>
        <w:gridCol w:w="109"/>
        <w:gridCol w:w="196"/>
        <w:gridCol w:w="871"/>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ABL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Term Loan Facility</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debt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239,000 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875,000 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Annual installment requirements were reduced by the amount of the excess cash flow payments made in 2023, in accordance with the terms of the credit agreement governing the Term Loan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Senior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17, 2021, we issued $450 million in senior unsecured notes all of which are due February 15, 2029, at par value, bearing interest at 6.375% (the “Notes”), the proceeds of which were used to fund a portion of the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September 30, 2025, the total remaining balance of unamortized debt issuance costs related to our Notes reported in the Condensed Consolidated Balance Sheets was approximately $6.6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unsecured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indenture governing the Notes also provides for events of default, which, if any of them occurs, would permit or require the principal, premium, if any, and interest on all the then outstanding Notes to be due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8 - Fair Value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financial instruments include cash and cash equivalents, receivables, payables, borrowings against our ABL Credit Facility and Term Loan Facility, and outstanding Notes. The carrying amount of cash and cash equivalents, receivables and payables approximates fair value at September 30, 2025 and December 31, 2024, because of the short maturities of these instruments. In addition, the interest rates on our Term Loan Facility and ABL Credit Facility are variable and, therefore, we believe the carrying value of outstanding borrowings approximates their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our Notes is based on Level 1 inputs and was as follows at September 30, 2025:</w:t>
      </w:r>
    </w:p>
    <w:tbl>
      <w:tblPr>
        <w:tblW w:w="5044" w:type="dxa"/>
        <w:jc w:val="left"/>
        <w:tblInd w:w="0" w:type="dxa"/>
        <w:tblLayout w:type="fixed"/>
        <w:tblCellMar>
          <w:top w:w="28" w:type="dxa"/>
          <w:left w:w="28" w:type="dxa"/>
          <w:bottom w:w="28" w:type="dxa"/>
          <w:right w:w="28" w:type="dxa"/>
        </w:tblCellMar>
      </w:tblPr>
      <w:tblGrid>
        <w:gridCol w:w="407"/>
        <w:gridCol w:w="358"/>
        <w:gridCol w:w="359"/>
        <w:gridCol w:w="234"/>
        <w:gridCol w:w="880"/>
        <w:gridCol w:w="130"/>
        <w:gridCol w:w="109"/>
        <w:gridCol w:w="109"/>
        <w:gridCol w:w="109"/>
        <w:gridCol w:w="196"/>
        <w:gridCol w:w="736"/>
        <w:gridCol w:w="109"/>
        <w:gridCol w:w="109"/>
        <w:gridCol w:w="109"/>
        <w:gridCol w:w="109"/>
        <w:gridCol w:w="196"/>
        <w:gridCol w:w="63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Difference</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9 - Other Gains and Charges</w:t>
      </w:r>
    </w:p>
    <w:p>
      <w:pPr>
        <w:pStyle w:val="TextBody"/>
        <w:bidi w:val="0"/>
        <w:spacing w:lineRule="auto" w:line="288" w:before="120" w:after="283"/>
        <w:jc w:val="both"/>
        <w:rPr/>
      </w:pPr>
      <w:r>
        <w:rPr>
          <w:rFonts w:ascii="Times New Roman;serif" w:hAnsi="Times New Roman;serif"/>
          <w:b w:val="false"/>
          <w:i/>
          <w:color w:val="000000"/>
          <w:sz w:val="20"/>
        </w:rPr>
        <w:t>Acima Holdings Acquisition.</w:t>
      </w:r>
      <w:r>
        <w:rPr>
          <w:color w:val="000000"/>
        </w:rPr>
        <w:t xml:space="preserve"> </w:t>
      </w:r>
      <w:r>
        <w:rPr>
          <w:rFonts w:ascii="Times New Roman;serif" w:hAnsi="Times New Roman;serif"/>
          <w:b w:val="false"/>
          <w:color w:val="000000"/>
          <w:sz w:val="20"/>
        </w:rPr>
        <w:t>On February 17, 2021, we completed the acquisition of Acima Holdings, a leading provider of virtual lease-to-own solutions. Included in the aggregate consideration issued to the former owners of Acima Holdings were 8,096,595 common shares, valued at $414.1 million, subject to 36-month vesting conditions under restricted stock agreements, which were recognized over the vesting term as stock compensation expense, in accordance with ASC Topic 718, “Stock-based Compensation”. During the nine months ended September 30, 2024, we recognized approximately $4.9 million in stock compensation expense, related to these restricted stock agreements. See Note 11 for additional information. These restricted stock agreements were fully vested as of March 31, 2024. Stock-based compensation expense is reported under our Corporate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assets acquired as part of the transaction included $520 million in intangible assets and $170 million in developed technology. During the nine months ended September 30, 2025 and 2024, we recognized approximately $32.8 million and $34.5 million in amortization expense, respectively, related to acquired intangible assets. We also recognized approximately $11.9 million in incremental depreciation expense related to acquired technology assets during both the nine months ended September 30, 2025 and 2024. Depreciation expense for technology assets is reported under our Corporate segment.</w:t>
      </w:r>
    </w:p>
    <w:p>
      <w:pPr>
        <w:pStyle w:val="TextBody"/>
        <w:bidi w:val="0"/>
        <w:spacing w:lineRule="auto" w:line="288" w:before="120" w:after="283"/>
        <w:jc w:val="both"/>
        <w:rPr/>
      </w:pPr>
      <w:r>
        <w:rPr>
          <w:rFonts w:ascii="Times New Roman;serif" w:hAnsi="Times New Roman;serif"/>
          <w:b w:val="false"/>
          <w:i/>
          <w:color w:val="000000"/>
          <w:sz w:val="20"/>
        </w:rPr>
        <w:t xml:space="preserve">Brigit Acquisition. </w:t>
      </w:r>
      <w:r>
        <w:rPr>
          <w:rFonts w:ascii="Times New Roman;serif" w:hAnsi="Times New Roman;serif"/>
          <w:b w:val="false"/>
          <w:color w:val="000000"/>
          <w:sz w:val="20"/>
        </w:rPr>
        <w:t>As described in Note 2, on January 31, 2025, we completed the acquisition of Brigit, a leading holistic financial health technology company. Included in the aggregate consideration issued to the former owners of Brigit were 1,313,331 shares, valued at $39.1 million, issued under restricted stock agreements and subject to vesting conditions, will be recognized as stock compensation expense over the vesting term, in accordance with ASC Topic 718, “Stock-based Compensation”. During the nine months ended September 30, 2025, we recognized approximately $15.6 million in stock compensation expense related to these restricted stock agreements, in addition to $10.6 million related to Brigit's Replacement Awards and other agreement compensation. Stock-based and other acquisition-related compensation expense associated with the Brigit acquisition is reported under our Corporate segment. See Note 2 and Note 11 for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assets acquired as part of the transaction included $152.3 million in intangible assets and $65.1 million in developed technology. During the nine months ended September 30, 2025, we recognized approximately $10.4 million in amortization expense related to acquired intangible assets. We also recognized approximately $6.2 million in incremental depreciation expense related to acquired technology assets during the nine months ended September 30, 2025. Depreciation expense for technology assets is reported under our Corporate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we recognized approximately $6.7 million in transaction costs associated with the closing of the transaction.</w:t>
      </w:r>
    </w:p>
    <w:p>
      <w:pPr>
        <w:pStyle w:val="TextBody"/>
        <w:bidi w:val="0"/>
        <w:spacing w:lineRule="auto" w:line="288" w:before="120" w:after="283"/>
        <w:jc w:val="both"/>
        <w:rPr/>
      </w:pPr>
      <w:r>
        <w:rPr>
          <w:rFonts w:ascii="Times New Roman;serif" w:hAnsi="Times New Roman;serif"/>
          <w:b w:val="false"/>
          <w:i/>
          <w:color w:val="000000"/>
          <w:sz w:val="20"/>
        </w:rPr>
        <w:t>Legal Matters.</w:t>
      </w:r>
      <w:r>
        <w:rPr>
          <w:color w:val="000000"/>
        </w:rPr>
        <w:t xml:space="preserve"> </w:t>
      </w:r>
      <w:r>
        <w:rPr>
          <w:rFonts w:ascii="Times New Roman;serif" w:hAnsi="Times New Roman;serif"/>
          <w:b w:val="false"/>
          <w:color w:val="000000"/>
          <w:sz w:val="20"/>
        </w:rPr>
        <w:t xml:space="preserve">As disclosed further in Note 12 in this Quarterly Report on Form 10-Q and as previously disclosed, we are currently party to a filed regulatory lawsuit with the New York Attorney General, as well as a multistate regulatory investigation by attorneys’ general offices from forty states, neither of which we believe are representative of historical regulatory matters that arise in the ordinary course of our business. These matters relate to lease-to-own transactions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Acima subsidiary, which was acquired in 2021. We are also party to a certified class action brought on behalf of certain individuals who entered into rental purchase agreements and paid certain fees with the Company’s former Acceptance Now business in the state of California, and a patent infringement lawsuit. During the nine months ended September 30, 2025 and 2024, we recorded estimated legal accruals of $50.6 million and $8.2 million, respectively, based on the then-current status of our legal matters, including the foregoing matters, and incurred related litigation and defense expenses of $5.2 million and $3.5 million during the nine months ended September 30, 2025 and 2024, respectively. Legal accruals for litigation matters and related defense expenses are reported under our Corporate segment. We will continue to evaluate and modify our estimated legal accruals as appropriate in future periods based on future developments. </w:t>
      </w:r>
    </w:p>
    <w:p>
      <w:pPr>
        <w:pStyle w:val="TextBody"/>
        <w:bidi w:val="0"/>
        <w:spacing w:lineRule="auto" w:line="288" w:before="120" w:after="283"/>
        <w:jc w:val="both"/>
        <w:rPr/>
      </w:pPr>
      <w:r>
        <w:rPr>
          <w:rFonts w:ascii="Times New Roman;serif" w:hAnsi="Times New Roman;serif"/>
          <w:b w:val="false"/>
          <w:i/>
          <w:color w:val="000000"/>
          <w:sz w:val="20"/>
        </w:rPr>
        <w:t xml:space="preserve">Stock Award Letter Agreement. </w:t>
      </w:r>
      <w:r>
        <w:rPr>
          <w:rFonts w:ascii="Times New Roman;serif" w:hAnsi="Times New Roman;serif"/>
          <w:b w:val="false"/>
          <w:color w:val="000000"/>
          <w:sz w:val="20"/>
        </w:rPr>
        <w:t>On April 3, 2024, we entered into a letter agreement with the Company’s former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nine months ended September 30, 2025 and 2024 due to this letter agreement was approximately $1.6 million and $3.4 million, respectively. Stock-based compensation expense is reported under our Corporate segment.</w:t>
      </w:r>
    </w:p>
    <w:p>
      <w:pPr>
        <w:pStyle w:val="TextBody"/>
        <w:bidi w:val="0"/>
        <w:spacing w:lineRule="auto" w:line="288" w:before="120" w:after="283"/>
        <w:jc w:val="both"/>
        <w:rPr/>
      </w:pPr>
      <w:r>
        <w:rPr>
          <w:rFonts w:ascii="Times New Roman;serif" w:hAnsi="Times New Roman;serif"/>
          <w:b w:val="false"/>
          <w:i/>
          <w:color w:val="000000"/>
          <w:sz w:val="20"/>
        </w:rPr>
        <w:t>Refranchised Store Closures</w:t>
      </w:r>
      <w:r>
        <w:rPr>
          <w:rFonts w:ascii="Times New Roman;serif" w:hAnsi="Times New Roman;serif"/>
          <w:b w:val="false"/>
          <w:color w:val="000000"/>
          <w:sz w:val="20"/>
        </w:rPr>
        <w:t>. During the three months ended September 30, 2025, certain refranchised stores for which we remained liable under the existing store and vehicle lease agreements were closed resulting in pre-tax lease impairment charges to write-off the remaining right-of-use asset of $11.6 million and $1.3 million in other miscellaneous shutdown and holding costs. Impairment charges and other expenses for these refranchised store closures are reported under our Rent-A-Center segment.</w:t>
      </w:r>
    </w:p>
    <w:p>
      <w:pPr>
        <w:pStyle w:val="TextBody"/>
        <w:bidi w:val="0"/>
        <w:spacing w:lineRule="auto" w:line="288" w:before="120" w:after="283"/>
        <w:jc w:val="both"/>
        <w:rPr/>
      </w:pPr>
      <w:r>
        <w:rPr>
          <w:rFonts w:ascii="Times New Roman;serif" w:hAnsi="Times New Roman;serif"/>
          <w:b w:val="false"/>
          <w:i/>
          <w:color w:val="000000"/>
          <w:sz w:val="20"/>
        </w:rPr>
        <w:t>Store Consolidations</w:t>
      </w:r>
      <w:r>
        <w:rPr>
          <w:rFonts w:ascii="Times New Roman;serif" w:hAnsi="Times New Roman;serif"/>
          <w:b w:val="false"/>
          <w:color w:val="000000"/>
          <w:sz w:val="20"/>
        </w:rPr>
        <w:t>. During the first half of 2024, we closed 55 Rent-A-Center stores, resulting in pre-tax charges of $5.3 million in lease impairment charges, $0.6 million in disposal of fixed assets for the nine months ended September 30, 2024. Other miscellaneous shutdown and holding costs incurred were $0.5 million and $1.0 million for the nine months ended September 30, 2025 and 2024, respectively.</w:t>
      </w:r>
    </w:p>
    <w:p>
      <w:pPr>
        <w:pStyle w:val="TextBody"/>
        <w:bidi w:val="0"/>
        <w:spacing w:lineRule="auto" w:line="288" w:before="120" w:after="283"/>
        <w:jc w:val="both"/>
        <w:rPr/>
      </w:pPr>
      <w:r>
        <w:rPr>
          <w:rFonts w:ascii="Times New Roman;serif" w:hAnsi="Times New Roman;serif"/>
          <w:b w:val="false"/>
          <w:i/>
          <w:color w:val="000000"/>
          <w:sz w:val="20"/>
        </w:rPr>
        <w:t xml:space="preserve">Internally Developed Software Depreciation. </w:t>
      </w:r>
      <w:r>
        <w:rPr>
          <w:rFonts w:ascii="Times New Roman;serif" w:hAnsi="Times New Roman;serif"/>
          <w:b w:val="false"/>
          <w:color w:val="000000"/>
          <w:sz w:val="20"/>
        </w:rPr>
        <w:t>During the third quarter of 2023, we completed initial development and began pilot testing a new internally developed point-of-sale system for our Rent-A-Center lease-to-own stores. Deployment of the new system across our lease-to-own store network began in the second quarter of 2024 and was completed in the third quarter of 2024, at which time our existing point-of-sale software was retired. Therefore, in the third quarter of 2023, we accelerated the remaining useful lives of our existing point-of-sale software assets to align with the deployment timeline of our new point-of-sale system, which resulted in the recognition of additional depreciation expense of $6.1 million for the nine months ended September 30, 2024. Depreciation expense for internally developed software is reported under our Corporate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Activity with respect to other gains and charges is summarized in the below table:</w:t>
      </w:r>
    </w:p>
    <w:tbl>
      <w:tblPr>
        <w:tblW w:w="10205" w:type="dxa"/>
        <w:jc w:val="left"/>
        <w:tblInd w:w="0" w:type="dxa"/>
        <w:tblLayout w:type="fixed"/>
        <w:tblCellMar>
          <w:top w:w="28" w:type="dxa"/>
          <w:left w:w="28" w:type="dxa"/>
          <w:bottom w:w="28" w:type="dxa"/>
          <w:right w:w="28" w:type="dxa"/>
        </w:tblCellMar>
      </w:tblPr>
      <w:tblGrid>
        <w:gridCol w:w="1246"/>
        <w:gridCol w:w="1067"/>
        <w:gridCol w:w="1073"/>
        <w:gridCol w:w="227"/>
        <w:gridCol w:w="776"/>
        <w:gridCol w:w="117"/>
        <w:gridCol w:w="117"/>
        <w:gridCol w:w="117"/>
        <w:gridCol w:w="117"/>
        <w:gridCol w:w="227"/>
        <w:gridCol w:w="776"/>
        <w:gridCol w:w="117"/>
        <w:gridCol w:w="109"/>
        <w:gridCol w:w="109"/>
        <w:gridCol w:w="109"/>
        <w:gridCol w:w="109"/>
        <w:gridCol w:w="109"/>
        <w:gridCol w:w="302"/>
        <w:gridCol w:w="1184"/>
        <w:gridCol w:w="155"/>
        <w:gridCol w:w="155"/>
        <w:gridCol w:w="155"/>
        <w:gridCol w:w="155"/>
        <w:gridCol w:w="155"/>
        <w:gridCol w:w="109"/>
        <w:gridCol w:w="109"/>
        <w:gridCol w:w="109"/>
        <w:gridCol w:w="211"/>
        <w:gridCol w:w="721"/>
        <w:gridCol w:w="163"/>
      </w:tblGrid>
      <w:tr>
        <w:trPr/>
        <w:tc>
          <w:tcPr>
            <w:tcW w:w="124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422" w:type="dxa"/>
            <w:gridSpan w:val="6"/>
            <w:tcBorders/>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Acima acquired assets depreciation and amortization</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 acquired assets depreciation and amortization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 equity consideration vesting</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 replacement awards and other compensation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 transaction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stock compensation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software depreciation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Acima equity consideration vesting</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gains and charges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Primarily represents interest income on tax refunds for prior years recognized during the three and nine months ended September 30, 2025. Also includes shutdown and holding costs related to store closures for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Note 10 - Segment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operating segments reported below are the segments for which separate financial information is available and for which segment results are evaluated by our Chief Operating Decision Makers (“CODMs”). Our CODMs include Upbound’s Chief Executive Officer and Chief Financial Officer. Our CODMs regularly review the revenues and operating profit for each operating segment in comparison to Company projections and previously reported periods, in addition to other factors, including the Company’s strategic initiatives, as well as industry, macroeconomic, and market trends, in determining the appropriate allocation of resources to support our business operations. Our operating segments are organized based on factors including, but not limited to, type of business transaction, geographic location and store ownership. On January 31, 2025, we established a new operating segment following the acquisition of Brigit. Please reference Note 2 for additional discussion of the acquisition. In addition we combined our Franchising segment with our Rent-A-Center segment. Financial information disclosed within this report has been recast for the related prior year period to reflect this change. We report four operating segments: Acima, Rent-A-Center, Brigit and Mexico.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information is as follows:</w:t>
      </w:r>
    </w:p>
    <w:tbl>
      <w:tblPr>
        <w:tblW w:w="9778" w:type="dxa"/>
        <w:jc w:val="left"/>
        <w:tblInd w:w="0" w:type="dxa"/>
        <w:tblLayout w:type="fixed"/>
        <w:tblCellMar>
          <w:top w:w="28" w:type="dxa"/>
          <w:left w:w="28" w:type="dxa"/>
          <w:bottom w:w="28" w:type="dxa"/>
          <w:right w:w="28" w:type="dxa"/>
        </w:tblCellMar>
      </w:tblPr>
      <w:tblGrid>
        <w:gridCol w:w="983"/>
        <w:gridCol w:w="865"/>
        <w:gridCol w:w="867"/>
        <w:gridCol w:w="211"/>
        <w:gridCol w:w="826"/>
        <w:gridCol w:w="109"/>
        <w:gridCol w:w="109"/>
        <w:gridCol w:w="109"/>
        <w:gridCol w:w="109"/>
        <w:gridCol w:w="218"/>
        <w:gridCol w:w="854"/>
        <w:gridCol w:w="114"/>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Brigit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917" w:type="dxa"/>
            <w:gridSpan w:val="24"/>
            <w:tcBorders/>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labor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Non-labor operating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charges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(1)    </w:t>
      </w:r>
      <w:r>
        <w:rPr>
          <w:rFonts w:ascii="Times New Roman;serif" w:hAnsi="Times New Roman;serif"/>
          <w:b w:val="false"/>
          <w:color w:val="000000"/>
          <w:sz w:val="14"/>
        </w:rPr>
        <w:t>Includes Lease Charge-Offs of $61.0 million and $19.6 million in the Acima and Rent-A-Center segments, respectively, and net advance losses of $14.3 million in the Brigit segment for the three months ended September 30, 2025.</w:t>
      </w:r>
    </w:p>
    <w:p>
      <w:pPr>
        <w:pStyle w:val="TextBody"/>
        <w:bidi w:val="0"/>
        <w:spacing w:lineRule="auto" w:line="288" w:before="0" w:after="0"/>
        <w:ind w:left="0" w:right="0" w:hanging="180"/>
        <w:jc w:val="both"/>
        <w:rPr/>
      </w:pPr>
      <w:r>
        <w:rPr>
          <w:rFonts w:ascii="Times New Roman;serif" w:hAnsi="Times New Roman;serif"/>
          <w:b w:val="false"/>
          <w:color w:val="000000"/>
          <w:sz w:val="9"/>
        </w:rPr>
        <w:t>(2)</w:t>
      </w:r>
      <w:r>
        <w:rPr>
          <w:color w:val="000000"/>
        </w:rPr>
        <w:t xml:space="preserve"> </w:t>
      </w:r>
      <w:r>
        <w:rPr>
          <w:rFonts w:ascii="Times New Roman;serif" w:hAnsi="Times New Roman;serif"/>
          <w:b w:val="false"/>
          <w:color w:val="000000"/>
          <w:sz w:val="14"/>
        </w:rPr>
        <w:t>Includes certain general and administrative expenses and other gains and charges. See Note 9 for additional information regarding other gains and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43" w:type="dxa"/>
        <w:jc w:val="left"/>
        <w:tblInd w:w="0" w:type="dxa"/>
        <w:tblLayout w:type="fixed"/>
        <w:tblCellMar>
          <w:top w:w="28" w:type="dxa"/>
          <w:left w:w="28" w:type="dxa"/>
          <w:bottom w:w="28" w:type="dxa"/>
          <w:right w:w="28" w:type="dxa"/>
        </w:tblCellMar>
      </w:tblPr>
      <w:tblGrid>
        <w:gridCol w:w="983"/>
        <w:gridCol w:w="865"/>
        <w:gridCol w:w="867"/>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2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Brigit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6132" w:type="dxa"/>
            <w:gridSpan w:val="24"/>
            <w:tcBorders/>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labor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Non-labor operating expenses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charges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(1)    </w:t>
      </w:r>
      <w:r>
        <w:rPr>
          <w:rFonts w:ascii="Times New Roman;serif" w:hAnsi="Times New Roman;serif"/>
          <w:b w:val="false"/>
          <w:color w:val="000000"/>
          <w:sz w:val="14"/>
        </w:rPr>
        <w:t>Includes Lease Charge-Offs of $175.3 million and $60.0 million in the Acima and Rent-A-Center segments, respectively, and net advance losses of $29.7 million in the Brigit segment for the nine months ended September 30, 2025.</w:t>
      </w:r>
    </w:p>
    <w:p>
      <w:pPr>
        <w:pStyle w:val="TextBody"/>
        <w:bidi w:val="0"/>
        <w:spacing w:lineRule="auto" w:line="288" w:before="0" w:after="0"/>
        <w:ind w:left="0" w:right="0" w:hanging="180"/>
        <w:jc w:val="both"/>
        <w:rPr/>
      </w:pPr>
      <w:r>
        <w:rPr>
          <w:rFonts w:ascii="Times New Roman;serif" w:hAnsi="Times New Roman;serif"/>
          <w:b w:val="false"/>
          <w:color w:val="000000"/>
          <w:sz w:val="9"/>
        </w:rPr>
        <w:t>(2)     </w:t>
      </w:r>
      <w:r>
        <w:rPr>
          <w:rFonts w:ascii="Times New Roman;serif" w:hAnsi="Times New Roman;serif"/>
          <w:b w:val="false"/>
          <w:color w:val="000000"/>
          <w:sz w:val="14"/>
        </w:rPr>
        <w:t>Includes certain general and administrative expenses and other gains and charges. See Note 9 for additional information regarding other gains and charges.</w:t>
      </w:r>
    </w:p>
    <w:tbl>
      <w:tblPr>
        <w:tblW w:w="8628" w:type="dxa"/>
        <w:jc w:val="left"/>
        <w:tblInd w:w="0" w:type="dxa"/>
        <w:tblLayout w:type="fixed"/>
        <w:tblCellMar>
          <w:top w:w="28" w:type="dxa"/>
          <w:left w:w="28" w:type="dxa"/>
          <w:bottom w:w="28" w:type="dxa"/>
          <w:right w:w="28" w:type="dxa"/>
        </w:tblCellMar>
      </w:tblPr>
      <w:tblGrid>
        <w:gridCol w:w="983"/>
        <w:gridCol w:w="865"/>
        <w:gridCol w:w="867"/>
        <w:gridCol w:w="211"/>
        <w:gridCol w:w="826"/>
        <w:gridCol w:w="109"/>
        <w:gridCol w:w="109"/>
        <w:gridCol w:w="109"/>
        <w:gridCol w:w="109"/>
        <w:gridCol w:w="218"/>
        <w:gridCol w:w="854"/>
        <w:gridCol w:w="114"/>
        <w:gridCol w:w="109"/>
        <w:gridCol w:w="109"/>
        <w:gridCol w:w="109"/>
        <w:gridCol w:w="109"/>
        <w:gridCol w:w="109"/>
        <w:gridCol w:w="211"/>
        <w:gridCol w:w="721"/>
        <w:gridCol w:w="109"/>
        <w:gridCol w:w="109"/>
        <w:gridCol w:w="109"/>
        <w:gridCol w:w="109"/>
        <w:gridCol w:w="211"/>
        <w:gridCol w:w="97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1668" w:type="dxa"/>
            <w:gridSpan w:val="6"/>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767" w:type="dxa"/>
            <w:gridSpan w:val="20"/>
            <w:tcBorders/>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labor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Non-labor operating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Includes Lease Charge-Offs of $52.1 million and $21.8 million in the Acima and Rent-A-Center segments for the three months ended September 30, 2024. </w:t>
      </w:r>
    </w:p>
    <w:p>
      <w:pPr>
        <w:pStyle w:val="TextBody"/>
        <w:bidi w:val="0"/>
        <w:spacing w:lineRule="auto" w:line="288" w:before="0" w:after="0"/>
        <w:ind w:left="0" w:right="0" w:hanging="180"/>
        <w:jc w:val="both"/>
        <w:rPr/>
      </w:pPr>
      <w:r>
        <w:rPr>
          <w:rFonts w:ascii="Times New Roman;serif" w:hAnsi="Times New Roman;serif"/>
          <w:b w:val="false"/>
          <w:color w:val="000000"/>
          <w:sz w:val="9"/>
        </w:rPr>
        <w:t>(2)</w:t>
      </w:r>
      <w:r>
        <w:rPr>
          <w:color w:val="000000"/>
        </w:rPr>
        <w:t xml:space="preserve"> </w:t>
      </w:r>
      <w:r>
        <w:rPr>
          <w:rFonts w:ascii="Times New Roman;serif" w:hAnsi="Times New Roman;serif"/>
          <w:b w:val="false"/>
          <w:color w:val="000000"/>
          <w:sz w:val="14"/>
        </w:rPr>
        <w:t>Includes certain general and administrative expenses and other gains and charges. See Note 9 for additional information regarding other gains and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888" w:type="dxa"/>
        <w:jc w:val="left"/>
        <w:tblInd w:w="0" w:type="dxa"/>
        <w:tblLayout w:type="fixed"/>
        <w:tblCellMar>
          <w:top w:w="28" w:type="dxa"/>
          <w:left w:w="28" w:type="dxa"/>
          <w:bottom w:w="28" w:type="dxa"/>
          <w:right w:w="28" w:type="dxa"/>
        </w:tblCellMar>
      </w:tblPr>
      <w:tblGrid>
        <w:gridCol w:w="983"/>
        <w:gridCol w:w="865"/>
        <w:gridCol w:w="867"/>
        <w:gridCol w:w="211"/>
        <w:gridCol w:w="976"/>
        <w:gridCol w:w="109"/>
        <w:gridCol w:w="109"/>
        <w:gridCol w:w="109"/>
        <w:gridCol w:w="109"/>
        <w:gridCol w:w="211"/>
        <w:gridCol w:w="976"/>
        <w:gridCol w:w="109"/>
        <w:gridCol w:w="109"/>
        <w:gridCol w:w="109"/>
        <w:gridCol w:w="109"/>
        <w:gridCol w:w="109"/>
        <w:gridCol w:w="109"/>
        <w:gridCol w:w="211"/>
        <w:gridCol w:w="721"/>
        <w:gridCol w:w="109"/>
        <w:gridCol w:w="109"/>
        <w:gridCol w:w="109"/>
        <w:gridCol w:w="109"/>
        <w:gridCol w:w="211"/>
        <w:gridCol w:w="97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5" w:type="dxa"/>
            <w:gridSpan w:val="1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1668" w:type="dxa"/>
            <w:gridSpan w:val="6"/>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4877" w:type="dxa"/>
            <w:gridSpan w:val="20"/>
            <w:tcBorders/>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labor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Non-labor operating expenses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charges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(1)    </w:t>
      </w:r>
      <w:r>
        <w:rPr>
          <w:rFonts w:ascii="Times New Roman;serif" w:hAnsi="Times New Roman;serif"/>
          <w:b w:val="false"/>
          <w:color w:val="000000"/>
          <w:sz w:val="14"/>
        </w:rPr>
        <w:t>Includes Lease Charge-Offs of $159.3 million and $63.3 million in the Acima and Rent-A-Center segment for the nine months ended September 30, 2024.</w:t>
      </w:r>
    </w:p>
    <w:p>
      <w:pPr>
        <w:pStyle w:val="TextBody"/>
        <w:bidi w:val="0"/>
        <w:spacing w:lineRule="auto" w:line="288" w:before="0" w:after="0"/>
        <w:ind w:left="0" w:right="0" w:hanging="180"/>
        <w:jc w:val="both"/>
        <w:rPr/>
      </w:pPr>
      <w:r>
        <w:rPr>
          <w:rFonts w:ascii="Times New Roman;serif" w:hAnsi="Times New Roman;serif"/>
          <w:b w:val="false"/>
          <w:color w:val="000000"/>
          <w:sz w:val="9"/>
        </w:rPr>
        <w:t>(2)</w:t>
      </w:r>
      <w:r>
        <w:rPr>
          <w:color w:val="000000"/>
        </w:rPr>
        <w:t xml:space="preserve"> </w:t>
      </w:r>
      <w:r>
        <w:rPr>
          <w:rFonts w:ascii="Times New Roman;serif" w:hAnsi="Times New Roman;serif"/>
          <w:b w:val="false"/>
          <w:color w:val="000000"/>
          <w:sz w:val="14"/>
        </w:rPr>
        <w:t>Includes certain general and administrative expenses and other gains and charges. See Note 9 for additional information regarding other gains and charges.</w:t>
      </w:r>
    </w:p>
    <w:tbl>
      <w:tblPr>
        <w:tblW w:w="7894" w:type="dxa"/>
        <w:jc w:val="left"/>
        <w:tblInd w:w="0" w:type="dxa"/>
        <w:tblLayout w:type="fixed"/>
        <w:tblCellMar>
          <w:top w:w="28" w:type="dxa"/>
          <w:left w:w="28" w:type="dxa"/>
          <w:bottom w:w="28" w:type="dxa"/>
          <w:right w:w="28" w:type="dxa"/>
        </w:tblCellMar>
      </w:tblPr>
      <w:tblGrid>
        <w:gridCol w:w="812"/>
        <w:gridCol w:w="714"/>
        <w:gridCol w:w="723"/>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8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Acima</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Rent-A-Center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segments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07" w:type="dxa"/>
        <w:jc w:val="left"/>
        <w:tblInd w:w="0" w:type="dxa"/>
        <w:tblLayout w:type="fixed"/>
        <w:tblCellMar>
          <w:top w:w="28" w:type="dxa"/>
          <w:left w:w="28" w:type="dxa"/>
          <w:bottom w:w="28" w:type="dxa"/>
          <w:right w:w="28" w:type="dxa"/>
        </w:tblCellMar>
      </w:tblPr>
      <w:tblGrid>
        <w:gridCol w:w="1118"/>
        <w:gridCol w:w="982"/>
        <w:gridCol w:w="990"/>
        <w:gridCol w:w="251"/>
        <w:gridCol w:w="1164"/>
        <w:gridCol w:w="130"/>
        <w:gridCol w:w="109"/>
        <w:gridCol w:w="109"/>
        <w:gridCol w:w="109"/>
        <w:gridCol w:w="243"/>
        <w:gridCol w:w="1125"/>
        <w:gridCol w:w="177"/>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 rent rental merchandise, net</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Acima</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Rent-A-Center</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on rent rental merchandise, net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1,090,834 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1,134,860 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26" w:type="dxa"/>
        <w:jc w:val="left"/>
        <w:tblInd w:w="0" w:type="dxa"/>
        <w:tblLayout w:type="fixed"/>
        <w:tblCellMar>
          <w:top w:w="28" w:type="dxa"/>
          <w:left w:w="28" w:type="dxa"/>
          <w:bottom w:w="28" w:type="dxa"/>
          <w:right w:w="28" w:type="dxa"/>
        </w:tblCellMar>
      </w:tblPr>
      <w:tblGrid>
        <w:gridCol w:w="1270"/>
        <w:gridCol w:w="1116"/>
        <w:gridCol w:w="1124"/>
        <w:gridCol w:w="284"/>
        <w:gridCol w:w="1114"/>
        <w:gridCol w:w="147"/>
        <w:gridCol w:w="109"/>
        <w:gridCol w:w="109"/>
        <w:gridCol w:w="109"/>
        <w:gridCol w:w="273"/>
        <w:gridCol w:w="1072"/>
        <w:gridCol w:w="199"/>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 for rent rental merchandise, net</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Acima</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Rent-A-Center</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 for rent rental merchandise, net</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131,987 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5592" w:type="dxa"/>
        <w:jc w:val="left"/>
        <w:tblInd w:w="0" w:type="dxa"/>
        <w:tblLayout w:type="fixed"/>
        <w:tblCellMar>
          <w:top w:w="28" w:type="dxa"/>
          <w:left w:w="28" w:type="dxa"/>
          <w:bottom w:w="28" w:type="dxa"/>
          <w:right w:w="28" w:type="dxa"/>
        </w:tblCellMar>
      </w:tblPr>
      <w:tblGrid>
        <w:gridCol w:w="788"/>
        <w:gridCol w:w="693"/>
        <w:gridCol w:w="694"/>
        <w:gridCol w:w="251"/>
        <w:gridCol w:w="1164"/>
        <w:gridCol w:w="130"/>
        <w:gridCol w:w="109"/>
        <w:gridCol w:w="109"/>
        <w:gridCol w:w="109"/>
        <w:gridCol w:w="243"/>
        <w:gridCol w:w="1125"/>
        <w:gridCol w:w="177"/>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by segment</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Acima</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1,241,490 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Rent-A-Center</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segments</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2,689,448 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2,327,052 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3,211,634 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2,649,662 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11 - Common Stock and Stock-Based Compensation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nine months ended September 30, 2025 and 2024. Approximately $235.0 million remains available for repurchases under the current authorization at September 30,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Stock 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recognized $5.3 million and $5.9 million in compensation expense related to stock awards issued under the Upbound Group, Inc. Amended 2021 Long-Term Incentive Plan (the “2021 Plan”) and 2016 Long-Term Incentive Plan (the “2016 Plan”) during the three months ended September 30, 2025 and 2024, respectively, and $17.9 million and $19.3 million during the nine months ended September 30, 2025 and 2024, respectively. During the nine months ended September 30, 2025, we granted 757,704 market-based performance units and 819,580 time-vesting units under the 2021 Plan.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nine months ended September 30, 2025 was $27.09 and $26.61,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Acima Holdings in 2021, we issued to the former owners of Acima Holdings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were recognized as stock compensation expense over the vesting term in accordance with ASC Topic 718, “Stock-based Compensation” and recorded to other gains and charges in our unaudited Condensed Consolidated Statements of Operations. We recognized $4.9 million in stock compensation expense related to these restricted stock agreements during the nine months ended September 30, 2024. These restricted stock agreements were fully vested during the three months ended March 31,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 2, in connection with the acquisition of Brigit on January 31, 2025, we issued to the former owners of Brigit approximately 2.7 million common shares valued at $29.75 per share, as of the Closing Date. Of this total, 1,313,331 common shares, valued at approximately $39.1 million, issued under restricted stock agreements and subject to vesting conditions, will be recognized as stock compensation expense over the vesting term in accordance with ASC Topic 718, “Stock-based Compensation”. We recognized $5.1 million and $15.6 million in stock compensation expense related to these restricted stock agreements during the three and nine months ended September 30, 2025, respectively, recorded to other gains and charges in our unaudited Condensed Consolidated Statements of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3, 2024, we entered into a letter agreement with the Company’s former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nine months ended September 30, 2025 and 2024 due to this letter agreement was approximately $1.6 million and $3.4 million, respectively, and was recorded to other gains and charges in our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12 - Contingencies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Given the nature of our businesses and the heavily regulated industries in which we operate, we, along with our subsidiaries, are party to various legal proceedings and governmental inquiries and investigations. Certain legal proceedings and governmental inquiries and investigations involving us or our subsidiaries are described below. In addition to the matters described below, we are also party to other legal proceedings and governmental inquiries and investigations involving us or our subsidiaries that we believe, based on our current knowledge, will not have a material adverse effect on our business or our consolidated results of operations, financial condition or liquidity, including arbitrations, litigation, putative class actions and other matters alleging various types of claims, including those based on consumer regulatory, contract, labor and employment and other alleged claims. However, in light of the uncertainties involved in such matters, including the fact that some pending legal proceedings are at preliminary stages or seek an indeterminate amount of damages, penalties, fines or other relief, it is possible that the outcome of one or more legal proceedings could have a material adverse impact on our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monitor developments related to our legal proceedings and governmental inquiries and investigations,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these matters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we had estimated legal accruals of $61.3 million and $20.7 million, respectively, included in accrued liabilities in our Condensed Consolidated Balance Sheet for pending legal and regulatory matters for which we believe losses are probable and the amount of the loss can be reasonably estimated. However, as of the date of this Quarterly Report on Form 10-Q, other than with respect to the pending class settlement payment amount in the McBurnie litigation described below, we cannot predict the ultimate resolution of our pending legal proceedings, governmental inquiries and investigations (which include, but are not limited to, the matters discussed below) and, therefore, are unable to estimate a range of losses related to these matters that may be reasonably possible to occur. In addition to our estimated legal accruals, as of September 30, 2025 we have incurred legal and other related expenses, and expect to incur substantial additional legal and related expenses, associated with the litigation and investigations discussed below and other pending legal matters.</w:t>
      </w:r>
    </w:p>
    <w:p>
      <w:pPr>
        <w:pStyle w:val="TextBody"/>
        <w:bidi w:val="0"/>
        <w:spacing w:lineRule="auto" w:line="288" w:before="120" w:after="283"/>
        <w:jc w:val="both"/>
        <w:rPr/>
      </w:pPr>
      <w:r>
        <w:rPr>
          <w:rFonts w:ascii="Times New Roman;serif" w:hAnsi="Times New Roman;serif"/>
          <w:b w:val="false"/>
          <w:i/>
          <w:color w:val="000000"/>
          <w:sz w:val="20"/>
        </w:rPr>
        <w:t>Unclaimed Property.</w:t>
      </w:r>
      <w:r>
        <w:rPr>
          <w:color w:val="000000"/>
        </w:rPr>
        <w:t xml:space="preserve"> </w:t>
      </w:r>
      <w:r>
        <w:rPr>
          <w:rFonts w:ascii="Times New Roman;serif" w:hAnsi="Times New Roman;serif"/>
          <w:b w:val="false"/>
          <w:color w:val="000000"/>
          <w:sz w:val="20"/>
        </w:rPr>
        <w:t>We are subject to unclaimed property audits by states in the ordinary course of business. The property subject to review in the audit 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pStyle w:val="TextBody"/>
        <w:bidi w:val="0"/>
        <w:spacing w:lineRule="auto" w:line="288" w:before="120" w:after="283"/>
        <w:jc w:val="both"/>
        <w:rPr/>
      </w:pPr>
      <w:r>
        <w:rPr>
          <w:rFonts w:ascii="Times New Roman;serif" w:hAnsi="Times New Roman;serif"/>
          <w:b w:val="false"/>
          <w:i/>
          <w:color w:val="000000"/>
          <w:sz w:val="20"/>
        </w:rPr>
        <w:t>Multistate Attorneys’ General Investigation.</w:t>
      </w:r>
      <w:r>
        <w:rPr>
          <w:color w:val="000000"/>
        </w:rPr>
        <w:t xml:space="preserve"> </w:t>
      </w:r>
      <w:r>
        <w:rPr>
          <w:rFonts w:ascii="Times New Roman;serif" w:hAnsi="Times New Roman;serif"/>
          <w:b w:val="false"/>
          <w:color w:val="000000"/>
          <w:sz w:val="20"/>
        </w:rPr>
        <w:t>In November 2021, Acima received a letter from the Nebraska Attorney General’s office stating that the Attorney 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and attended meetings with officials at many of the applicable attorneys’ general offices, including members of the Executive Committee, which is leading the negotiations on behalf of the multistate group (the “Multistate”). Based on our engagement with the Multistate, it is our understanding that the investigation involves forty states. The District of Columbia was formerly a member of the Multistate and part of the Executive Committee, but withdrew from the Multistate and presented a separate settlement demand, and we are engaging in discussions with the District of Columbia Attorney General’s office in addition to the Multistate.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2022, we received a request for information and documents, and we have produced various records in response to the April 2022 request and other requests for information and documents by the Multistate during the multiple years of the investigation process. In March 2024, the Multistate presented their findings and allegations from their investigation to Acima. In May 2024, Acima submitted its response to the Multistate’s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2024, Acima received an initial settlement proposal from the Multistate. Since then, the parties have continued to engage in conversations regarding a potential resolution and Acima has responded to the Multistate’s and District of Columbia’s settlement proposals and monetary demands. In September 2025, we reached an agreement in principle with the District of Columbia’s Attorney General’s office regarding the primary monetary and injunctive terms of a potential settlement, although any final settlement remains subject to negotiation and execution of a definitive settlement agreement, which we cannot assure will be achieved. As of the date of this Quarterly Report on Form 10-Q, although we would not be willing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agree to the Multistate’s most recent monetary demands which we believe are unsupportable or agree to a number of the other terms presented, we expect to continue to discuss the potential resolution of this matter with the Multistate. We also expect to continue negotiations with the District of Columbia with the objective of finalizing a settlement agreement based on the terms agreed in principle. We are currently unable to predict whether or on what terms, including the amount of a monetary payment and specific business practice changes, any settlement with the Multistate, or individual members of the group, can be achieved. We are also unable to provide assurance that we will be able to finalize a definitive settlement agreement with the District of Columbia. If we are unable to reach agreement on terms acceptable to us and to the various states involved, some or all of such states may commence legal proceedings against Acima. We cannot provide any assurance that any settlement or adverse result in litigation will not require a monetary payment and/or changes to Acima’s business practices or operations that could materially and adversely affect our business, financial condition, results of operations or reputation.</w:t>
      </w:r>
    </w:p>
    <w:p>
      <w:pPr>
        <w:pStyle w:val="TextBody"/>
        <w:bidi w:val="0"/>
        <w:spacing w:lineRule="auto" w:line="288" w:before="120" w:after="283"/>
        <w:jc w:val="both"/>
        <w:rPr/>
      </w:pPr>
      <w:r>
        <w:rPr>
          <w:rFonts w:ascii="Times New Roman;serif" w:hAnsi="Times New Roman;serif"/>
          <w:b w:val="false"/>
          <w:i/>
          <w:color w:val="000000"/>
          <w:sz w:val="20"/>
        </w:rPr>
        <w:t xml:space="preserve">New York Attorney General Litigation. </w:t>
      </w:r>
      <w:r>
        <w:rPr>
          <w:rFonts w:ascii="Times New Roman;serif" w:hAnsi="Times New Roman;serif"/>
          <w:b w:val="false"/>
          <w:color w:val="000000"/>
          <w:sz w:val="20"/>
        </w:rPr>
        <w:t>The New York Attorney General (the “NYAG”) issued a subpoena to our Acima subsidiary in January 2020, prior to our acquisition of Acima, seeking information with respect to various business practices in connection with Acima’s lease-to-own transactions. Acima received additional subpoenas from the NYAG in August 2021 and July 2023. Acima cooperated with the NYAG throughout its investigation. In March 2023, the NYAG provided Acima with a proposed assurance of discontinuance alleging violations of certain consumer laws, seeking injunctive relief regarding certain business practices, and seeking payment of unspecified amounts for restitution and civil penalties. In April 2023, Acima submitted its response to the NYAG’s proposed assurance of discontinuance. In February 2024, Acima provided a settlement proposal to the NYAG. In March 2024, the NYAG presented Acima with an initial monetary demand for settlement purposes. On August 14, 2024, despite Acima’s cooperation with the investigation and its active engagement in settlement discussions with the NYAG, the NYAG filed a lawsuit against Acima in the Supreme Court of the State of New York, County of New York. The lawsuit alleges violations of various consumer financial protection laws and regulations similar to those set forth in the NYAG’s March 2023 proposed assurance of discontinuance. The lawsuit seeks injunctive relief, unspecified monetary relief and civil penalties and other relief. Acima filed a motion to dismiss the NYAG’s lawsuit. As of the date of filing this Quarterly Report on Form 10-Q, the trial court has not yet ruled on Acima’s motion to dismiss. Acima will continue to vigorously defend itself against the NYAG’s lawsuit. We cannot provide any assurance that Acima will be successful in defending against the NYAG’s litigation or that an adverse result in litigation will not require a monetary payment and/or changes to Acima’s business practices or operations that could materially and adversely affect our business, financial condition, results of operations or reputation.</w:t>
      </w:r>
    </w:p>
    <w:p>
      <w:pPr>
        <w:pStyle w:val="TextBody"/>
        <w:bidi w:val="0"/>
        <w:spacing w:lineRule="auto" w:line="288" w:before="120" w:after="283"/>
        <w:jc w:val="both"/>
        <w:rPr/>
      </w:pPr>
      <w:r>
        <w:rPr>
          <w:rFonts w:ascii="Times New Roman;serif" w:hAnsi="Times New Roman;serif"/>
          <w:b w:val="false"/>
          <w:i/>
          <w:color w:val="000000"/>
          <w:sz w:val="20"/>
        </w:rPr>
        <w:t xml:space="preserve">McBurnie Litigation Pending Settlement. </w:t>
      </w:r>
      <w:r>
        <w:rPr>
          <w:rFonts w:ascii="Times New Roman;serif" w:hAnsi="Times New Roman;serif"/>
          <w:b w:val="false"/>
          <w:color w:val="000000"/>
          <w:sz w:val="20"/>
        </w:rPr>
        <w:t xml:space="preserve">We are a defendant in a certified class action entitled </w:t>
      </w:r>
      <w:r>
        <w:rPr>
          <w:rFonts w:ascii="Times New Roman;serif" w:hAnsi="Times New Roman;serif"/>
          <w:b w:val="false"/>
          <w:i/>
          <w:color w:val="000000"/>
          <w:sz w:val="20"/>
        </w:rPr>
        <w:t>McBurnie, et al. v. Acceptance Now, LLC</w:t>
      </w:r>
      <w:r>
        <w:rPr>
          <w:rFonts w:ascii="Times New Roman;serif" w:hAnsi="Times New Roman;serif"/>
          <w:b w:val="false"/>
          <w:color w:val="000000"/>
          <w:sz w:val="20"/>
        </w:rPr>
        <w:t>, brought on behalf of individuals who entered into a rental purchase agreement with the Company’s Acceptance Now business in California and were charged a processing fee and/or an expedited fee. Plaintiffs alleged that the fees they were charged were neither “reasonable” nor “actually incurred” in violation of the Karnette Rental-Purchase Act and other California state consumer protection laws. Plaintiffs sought unspecified actual damages pursuant to the Karnette Rental-Purchase Act; statutory damages pursuant to the Karnette Rental-Purchase Act; attorneys’ fees and costs; exemplary damages; and public injunctions for alleged violations of the Karnette Rental-Purchase Act, the California Consumers Legal Remedies Act, and California unfair competition laws. The action is pending in the United States District Court for the Northern District of California. In November 2022, the District Court denied our motion to compel arbitration, and in December 2022, we filed an interlocutory appeal of that denial with the United States Court of Appeals for the Ninth Circuit, pending which the District Court proceedings were stayed. In March 2024, the Court of Appeals affirmed the District Court’s denial of our motion to compel arbitration and its finding that plaintiffs’ challenge to the processing fee was not moot, while remanding the action to the District Court to consider whether plaintiffs have standing to challenge the expedited payment fee. Plaintiffs notified the District Court that they did not intend to pursue their claims regarding the expedited payment fee. In June 2024, we filed a petition for certiorari with the U.S. Supreme Court, appealing the decision from the Court of Appeals. Our petition for certiorari was denied by the Supreme Court in October 2024. In June 2025, the District Court certified a class of consumers who were charged a processing fee in California within the class period, and scheduled a trial date for January 2026. In late July 2025, the parties reached an agreement in principle to settle the class action. We denied the allegations in the case and we did not admit to any violations of law or any wrongdoing. In addition, there has not been any adjudication regarding the claims and allegations in the lawsuit. However, to avoid additional expense, risk and distractions associated with further protracted litigation, the parties agreed to settle the litigation. In August 2025, the parties executed a definitive class-wide settlement agreement, which remains subject to court approval, completion of the class notice and opt-out process and other terms and conditions as set forth in the settlement agreement. The agreement provides a cash payment by the Company of $14.0 million, which was fully reserved for as of September 30, 2025, as an estimated loss contingency in our consolidated financial statements. The agreement remains subject to approval by the District Court of the class settlement, which cannot be assured. If the settlement is not finalized for any reason, we intend to continue to vigorously defend the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UPBOUND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pPr>
      <w:r>
        <w:rPr>
          <w:rFonts w:ascii="Times New Roman;serif" w:hAnsi="Times New Roman;serif"/>
          <w:b w:val="false"/>
          <w:i/>
          <w:color w:val="000000"/>
          <w:sz w:val="20"/>
        </w:rPr>
        <w:t xml:space="preserve">FlexShopper Litigation. </w:t>
      </w:r>
      <w:r>
        <w:rPr>
          <w:rFonts w:ascii="Times New Roman;serif" w:hAnsi="Times New Roman;serif"/>
          <w:b w:val="false"/>
          <w:color w:val="000000"/>
          <w:sz w:val="20"/>
        </w:rPr>
        <w:t>On September 30, 2024, FlexShopper, Inc. (“FlexShopper”) filed a patent infringement lawsuit against Upbound Group, Inc, Acima Holdings, LLC and Acima Digital, LLC in the United States District Court for the Eastern District of Texas. On October 1, 2024, FlexShopper issued a press release announcing the lawsuit and a similar lawsuit it filed against another lease-to-own company, Katapult Holdings, Inc. The lawsuit filed against our Company seeks damages and an injunction for alleged infringement of five patents assigned to FlexShopper. FlexShopper’s claims relate to certain technology allegedly used in connection with Acima’s e-commerce third-party retailer lease-to-own business. In February 2025, we filed a motion to dismiss all of FlexShopper’s claims. In April 2025, we filed a motion to transfer venue to the United States District Court for the District of Delaware. In August 2025, the Court denied Acima’s motion to dismiss. As of the date of filing this Quarterly Report on Form 10-Q, the District Court has not yet ruled on Acima’s motion to transfer venue. We will continue to vigorously defend the lawsuit. We are currently unable to predict the eventual outcome of this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Note 13 - Earnings Per Common Share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Summarized basic and diluted earnings per common share were calculated as follows:</w:t>
      </w:r>
    </w:p>
    <w:tbl>
      <w:tblPr>
        <w:tblW w:w="10205" w:type="dxa"/>
        <w:jc w:val="left"/>
        <w:tblInd w:w="0" w:type="dxa"/>
        <w:tblLayout w:type="fixed"/>
        <w:tblCellMar>
          <w:top w:w="28" w:type="dxa"/>
          <w:left w:w="28" w:type="dxa"/>
          <w:bottom w:w="28" w:type="dxa"/>
          <w:right w:w="28" w:type="dxa"/>
        </w:tblCellMar>
      </w:tblPr>
      <w:tblGrid>
        <w:gridCol w:w="1827"/>
        <w:gridCol w:w="1444"/>
        <w:gridCol w:w="1432"/>
        <w:gridCol w:w="227"/>
        <w:gridCol w:w="776"/>
        <w:gridCol w:w="117"/>
        <w:gridCol w:w="117"/>
        <w:gridCol w:w="117"/>
        <w:gridCol w:w="117"/>
        <w:gridCol w:w="227"/>
        <w:gridCol w:w="776"/>
        <w:gridCol w:w="117"/>
        <w:gridCol w:w="109"/>
        <w:gridCol w:w="109"/>
        <w:gridCol w:w="109"/>
        <w:gridCol w:w="221"/>
        <w:gridCol w:w="757"/>
        <w:gridCol w:w="114"/>
        <w:gridCol w:w="114"/>
        <w:gridCol w:w="114"/>
        <w:gridCol w:w="114"/>
        <w:gridCol w:w="221"/>
        <w:gridCol w:w="757"/>
        <w:gridCol w:w="172"/>
      </w:tblGrid>
      <w:tr>
        <w:trPr/>
        <w:tc>
          <w:tcPr>
            <w:tcW w:w="18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7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Effect of dilutive stock awards</w:t>
            </w:r>
            <w:r>
              <w:rPr>
                <w:rFonts w:ascii="Times New Roman;serif" w:hAnsi="Times New Roman;serif"/>
                <w:b w:val="false"/>
                <w:color w:val="000000"/>
                <w:sz w:val="13"/>
              </w:rPr>
              <w:t>(1)</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dilutive shares</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earnings per common share</w:t>
            </w:r>
            <w:r>
              <w:rPr>
                <w:rFonts w:ascii="Times New Roman;serif" w:hAnsi="Times New Roman;serif"/>
                <w:b w:val="false"/>
                <w:color w:val="000000"/>
                <w:sz w:val="13"/>
              </w:rPr>
              <w:t>(1)</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securities excluded from diluted earnings per common share:</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restricted share units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performance share units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Weighted-average dilutive shares outstanding for the three and nine months ended September 30, 2025 includes approximately 1.2 million and 1.3 million, respectively, common shares issued in connection with the acquisition of Brigit and subject to vesting conditions under restricted stock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as a whole (which includes Bridge IT, Inc. (“Brigit”) following the closing of our acquisition of Brigit (the “Merger”) on January 31, 2025) and our segments, our growth strategies, our expectations, plans and strategy relating to our capital structure and capital allocation, including any share repurchases under our share repurchase program, the potential impact of the matters discussed in Note 12 - “Contingencies” in this Quarterly Report on Form 10-Q, and other statements that are not historical facts. Unless expressly indicated or the context requires otherwise, the terms “Upbound Group, Inc.,” “Company,” “we,” “us,” and “our” in this document refer to Upbound Group, Inc. and, where appropriate, its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in our Annual Report on Form 10-K for the year ended December 31, 2024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possibility that costs, difficulties or disruptions related to the integration of Brigit operations into our other operations will be greater than expected;</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possibility that the anticipated benefits from the Brigit acquisition may not be fully realized or may take longer to realize than expected;</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(i) effectively adjust to changes in the composition of our offerings and product mix as a result of acquiring Brigit and continue to maintain the quality of existing offerings and (ii) successfully introduce other new product or service offerings on a timely and cost-effective basis;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changes in our future cash requirements as a result of the Brigit acquisition, whether caused by unanticipated increases in capital expenditures or working capital needs, unanticipated liabilities or otherwise;</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retain the talent and dedication of key employees of Brigit;</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general strength of the economy and other economic conditions affecting consumer preferences, spending and payment behaviors, including the availability of credit to our target consumers and to other consumers, impacts from continued or renewed inflation, central bank monetary policy initiatives to address inflation concerns, and a possible recession or slowdown in economic growth;</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factors affecting the disposable income available to our current and potential customers;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changes in the unemployment rate;</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capital market conditions, including changes in interest rates and availability of funding sources for us;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changes in our credit ratings;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difficulties encountered in managing the financial and operational performance of our multiple business segments;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risks associated with pricing, value proposition and other changes to our consumer offerings and strategies being deployed in our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 xml:space="preserve">our ability to continue to effectively execute our strategic initiatives, including mitigating risks associated with any potential additional mergers and acquisitions, or lease-to-own refranchising opportunities; </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identify potential acquisition candidates, complete acquisitions and successfully integrate acquired companies, including Brigit;</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failure to effectively manage our operating labor and non-labor operating expenses, including merchandise losses for our lease-to-own offerings;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disruptions caused by the operation of our information management systems or disruptions in the systems of our host retailers or other third parties with whom we do business;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risks related to our virtual lease-to-own business, including our ability to continue to develop and successfully implement the necessary technologies;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achieve the benefits expected from our integrated virtual and staffed third-party retailer offering and to successfully grow this business segment;</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exposure to potential operating margin degradation due to the higher cost of merchandise and higher merchandise losses in our Acima segment compared to our Rent-A-Center segment;</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 xml:space="preserve">additional risks associated with the Brigit business and its consumer products and services, including managing losses and payment defaults, regulatory, licensing and other compliance risks, risks associated with Brigit’s reliance on regulated banks and on providers of third party data, technology and other third-party service providers; and other new risks for our Company; </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litigation or administrative proceedings to which we are or may be a party to from time to time and changes in estimates relating to litigation reserves, including in each case in connection with the regulatory and litigation matters described in Note 12 to our condensed consolidated financial statements included in this Quarterly Report on Form 10-Q;</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compliance with applicable statutes and regulations governing our businesses, impacts from the enforcement of existing laws and regulations and the enactment of new laws and regulations adversely affecting our business, including in connection with the regulatory matters described in Note 12 to our condensed consolidated financial statements included in this Quarterly Report on Form 10-Q, and any legislative or other regulatory enforcement efforts or private party litigation or arbitration that seeks to re-characterize store-based or virtual lease-to-own transactions as credit sales and to apply consumer credit laws and regulations to our lease-to-own business or to apply credit laws to Brigit’s non-credit consumer offerings;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transition to more-readily scalable “cloud-based” solutions;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develop and successfully implement digital or e-commerce capabilities, including mobile applications;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protect our proprietary intellectual property and to defend against allegations by third parties that any of our products, services or business activities may infringe against their intellectual property rights;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or that of our host retailers or other third parties with whom we do business to protect the integrity and security of customer, employee, supplier and host retailer or other third party information, which may be adversely affected by hacking, computer viruses, cybersecurity attacks or similar disruptions;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impairment of our goodwill or other intangible assets;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disruptions in our supply chain;</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limitations of, or disruptions in, our distribution network;</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rapid inflation or deflation in the prices of our lease-to-own products and other related costs;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allegations of product safety and quality control issues, including recalls of goods we lease to customers;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execute, as well as the effectiveness of, lease-to-own store consolidations, including our ability to retain the revenue from customer accounts merged into another store location as a result of a store consolidation;</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available cash flow and our ability to generate sufficient cash flow to continue paying dividends;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increased competition from traditional competitors, virtual lease-to-own competitors, online retailers, Buy-Now-Pay-Later, earned wage access and financial health technology competitors and other fintech companies and other competitors, including subprime lenders;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identify and successfully market products and services that appeal to our current and future targeted customer segments and to accurately estimate the size of the total addressable market;</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consumer preferences and perceptions of our brands;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effectively provide consumers with additional products and services beyond lease-to-own and products and services currently offered by Brigit, including through third-party partnerships;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retain the revenue associated with acquired lease-to-own customer accounts and enhance the performance of acquired stores;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enter into new rental or lease purchase agreements and collect on our existing rental or lease purchase agreements;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ongoing changes in tariff policies, including impacts from tariffs imposed by the current Presidential Administration on the price of imported goods, or consumer prices overall or other financial impacts of such tariffs or retaliatory tariffs enacted by U.S. trading partners on our costs or target consumers;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adverse changes in the economic conditions of the industries, countries or markets that we serve;</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information technology and data security costs;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impact of breaches in data security or other disturbances to our information technology and other networks;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changes in estimates relating to self-insurance liabilities and income tax reserves;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changes in our effective tax rate;</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our ability to maintain an effective system of internal controls; and</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other risks detailed from time to time in our reports furnished or filed with the United States Securities and Exchange Commission (the “SEC”).</w:t>
      </w:r>
    </w:p>
    <w:p>
      <w:pPr>
        <w:pStyle w:val="TextBody"/>
        <w:bidi w:val="0"/>
        <w:spacing w:lineRule="auto" w:line="288" w:before="120" w:after="283"/>
        <w:jc w:val="both"/>
        <w:rPr/>
      </w:pPr>
      <w:r>
        <w:rPr>
          <w:rFonts w:ascii="Times New Roman;serif" w:hAnsi="Times New Roman;serif"/>
          <w:b w:val="false"/>
          <w:color w:val="000000"/>
          <w:sz w:val="20"/>
        </w:rPr>
        <w:t>Additional important factors that could cause our actual results to differ materially from our expectations are discussed under the section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year ended December 31, 2024 and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technology and data-driven leader in accessible and inclusive financial solutions that address the evolving needs and aspirations of underserved consumers. Through our Acima and Rent-A-Center segments, we are a leading lease-to-own provider with operations in the United States, Puerto Rico and Mexico. We provide a critical service for underserved consumers by providing them with access to, and the opportunity to obtain ownership of, high-quality, name brand durable products under a flexible lease-purchase agreement with no long-term debt obligation. Our Acima segment offers lease-to-own solutions through retailers in stores and online enabling such retailers to grow sales by expanding their customer base utilizing our differentiated offering and allowing customers to access our flexible lease-to-own solutions at thousands of retailers and to lease a wide range of durable products. Through our Rent-A-Center segment, we provide a fully integrated customer experience through our e-commerce platform and brick and mortar presence. </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31, 2025, we completed the acquisition of Brigit, a holistic financial health technology company that has helped millions of customers budget better, access their earned wages before their regularly scheduled payday, build their credit through savings, protect themselves from identity theft, and find ways to earn and save money. Its mission is to help customers build a better financial future. See Note 2 in our condensed consolidated financial statements included in this Quarterly Report on Form 10-Q for additional information.</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We were incorporated in the State of Delaware in 1986, and our common stock is traded on the Nasdaq Global Select Market under the ticker symbol “UPBD.”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8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Our Strategy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strategy is focused on achieving our mission to elevate financial opportunity for all and growing our business through emphasis on the following key initiatives: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Leverage data analytics capabilities to attract new customers, approve more customers and mitigate risk across business segments;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Upgrade and integrate technology platforms to allow for a more simplified and seamless consumer experience, third-party retailer and waterfall integration and consumer transaction process and coworker efficiency;</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Execute on market opportunities and enhance our competitive position across both traditional and virtual lease-to-own solutions, and implement complementary products and services that supplement our current offerings and provide our customers more financial alternatives;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Develop centers of excellence that will be leveraged across the organization to support our various business segments, utilizing best practices to drive efficiency and growth;</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Grow penetration with current Acima third-party retailers and build on our strength with small to medium size businesses while also adding new national and regional third-party retailers to our platform and expanding our direct-to-consumer channels; and</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At Rent-A-Center, accelerate the shift to e-commerce, improve the fully integrated omni-channel customer experience and expand product categories, which we expect will increase brand awareness and customer loyalty.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we pursue our strategy, we have taken, and may in the future take, advantage of joint venture, partnership, or merger and acquisition opportunities from time to time that advance our key initiatives and elevate the financial mobility of underserved consumers.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lineRule="auto" w:line="288" w:before="120" w:after="283"/>
        <w:jc w:val="both"/>
        <w:rPr/>
      </w:pPr>
      <w:r>
        <w:rPr>
          <w:rFonts w:ascii="Times New Roman;serif" w:hAnsi="Times New Roman;serif"/>
          <w:b w:val="false"/>
          <w:i/>
          <w:color w:val="000000"/>
          <w:sz w:val="20"/>
        </w:rPr>
        <w:t>Dividend.</w:t>
      </w:r>
      <w:r>
        <w:rPr>
          <w:color w:val="000000"/>
        </w:rPr>
        <w:t xml:space="preserve"> </w:t>
      </w:r>
      <w:r>
        <w:rPr>
          <w:rFonts w:ascii="Times New Roman;serif" w:hAnsi="Times New Roman;serif"/>
          <w:b w:val="false"/>
          <w:color w:val="000000"/>
          <w:sz w:val="20"/>
        </w:rPr>
        <w:t>On September 17, 2025, we announced that our board of directors approved a quarterly cash dividend of $0.39 per share for the fourth quarter of 2025. The dividend was paid on October 21, 2025 to our common stockholders of record as of the close of business on September 30, 2025.</w:t>
      </w:r>
    </w:p>
    <w:p>
      <w:pPr>
        <w:pStyle w:val="TextBody"/>
        <w:bidi w:val="0"/>
        <w:spacing w:lineRule="auto" w:line="288" w:before="120" w:after="283"/>
        <w:jc w:val="both"/>
        <w:rPr/>
      </w:pPr>
      <w:r>
        <w:rPr>
          <w:rFonts w:ascii="Times New Roman;serif" w:hAnsi="Times New Roman;serif"/>
          <w:b w:val="false"/>
          <w:i/>
          <w:color w:val="000000"/>
          <w:sz w:val="20"/>
        </w:rPr>
        <w:t xml:space="preserve">Term Loan Facility Amendment. </w:t>
      </w:r>
      <w:r>
        <w:rPr>
          <w:rFonts w:ascii="Times New Roman;serif" w:hAnsi="Times New Roman;serif"/>
          <w:b w:val="false"/>
          <w:color w:val="000000"/>
          <w:sz w:val="20"/>
        </w:rPr>
        <w:t>On August 19, 2025 we entered into a Fourth Amendment to the Term Loan Facility, effective as of August 19, 2025. The amendment, in addition to certain other changes, (i) extended the maturity date for the loans outstanding under the Term Loan Facility to August 19, 2032 (subject to certain springing maturity provisions) and (ii) provided approximately $77 million of incremental commitments under the Term Loan Facility, all of which were drawn at the closing of the amendment, resulting in total aggregate borrowings under the Credit Agreement on such date of $875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Executive Management Changes.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On October 30, 2025, we announced that Mr. Hal Khouri will join Upbound Group, Inc. as Executive Vice President, Chief Financial Officer effective November 10, 2025. Mr. Khouri has over 30 years of experience in consumer-based banking, financial services, leasing, retail, consulting and government service.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Effective September 18, 2025 Rebecca Wooters joined Upbound Group, Inc. as Executive Vice President, Chief Growth Officer. Ms. Wooters brings more than 30 years of executive leadership in digital transformation, product innovation, technology, and customer engagement. Under the leadership of Ms. Wooters, we will consolidate Upbound’s marketing, data, analytics, customer experience, and product development teams into a single integrated group.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Business and Operational Trends</w:t>
      </w:r>
    </w:p>
    <w:p>
      <w:pPr>
        <w:pStyle w:val="TextBody"/>
        <w:bidi w:val="0"/>
        <w:spacing w:lineRule="auto" w:line="288" w:before="120" w:after="120"/>
        <w:jc w:val="both"/>
        <w:rPr/>
      </w:pPr>
      <w:r>
        <w:rPr>
          <w:rFonts w:ascii="Times New Roman;serif" w:hAnsi="Times New Roman;serif"/>
          <w:b w:val="false"/>
          <w:i/>
          <w:color w:val="000000"/>
          <w:sz w:val="20"/>
        </w:rPr>
        <w:t xml:space="preserve">Macroeconomic Conditions. </w:t>
      </w:r>
      <w:r>
        <w:rPr>
          <w:rFonts w:ascii="Times New Roman;serif" w:hAnsi="Times New Roman;serif"/>
          <w:b w:val="false"/>
          <w:color w:val="000000"/>
          <w:sz w:val="20"/>
        </w:rPr>
        <w:t>In recent years, we have experienced significant change in business and operational trends driven by macroeconomic conditions, which have directly impacted our customers as well as our operations, including significant changes in the U.S. consumer price index, changes in demand for certain consumer retail categories, changes in consumer payment behaviors, a condensed labor market, which has also contributed to wage inflation, rapid increases in interest rates, changes in tariff and trade policies, and global supply chain disruptions resulting in reduced product availability and rising product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While our businesses have historically remained resilient through various economic cycles, the full extent to which our risk management strategy and these macroeconomic trends (including consumer spending and payment behavior) may impact the Company in future periods is uncertain. The continuation of volatile macroeconomic trends may have a material adverse impact on our financial statements, including our results of operations, operating cash flows, liquidity and 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See “Risk Factors” in Part I, Item 1A in our Annual Report on Form 10-K for the year ended December 31, 2024, for additional discussion of impacts to our business and additional risks associated with macroeconomic conditions.</w:t>
      </w:r>
    </w:p>
    <w:p>
      <w:pPr>
        <w:pStyle w:val="TextBody"/>
        <w:bidi w:val="0"/>
        <w:spacing w:lineRule="auto" w:line="288" w:before="120" w:after="120"/>
        <w:jc w:val="both"/>
        <w:rPr/>
      </w:pPr>
      <w:r>
        <w:rPr>
          <w:rFonts w:ascii="Times New Roman;serif" w:hAnsi="Times New Roman;serif"/>
          <w:b w:val="false"/>
          <w:i/>
          <w:color w:val="000000"/>
          <w:sz w:val="20"/>
        </w:rPr>
        <w:t xml:space="preserve">Rent-A-Center e-commerce revenue. </w:t>
      </w:r>
      <w:r>
        <w:rPr>
          <w:rFonts w:ascii="Times New Roman;serif" w:hAnsi="Times New Roman;serif"/>
          <w:b w:val="false"/>
          <w:color w:val="000000"/>
          <w:sz w:val="20"/>
        </w:rPr>
        <w:t xml:space="preserve">In recent years, e-commerce revenues have continued to increase as a percentage of total rentals and fees revenue in our Rent-A-Center segment. For the nine months ended September 30, 2025 and 2024, e-commerce revenues represented approximately 27% and 26% of total lease-to-own revenues, respectively.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e-commerce transactions will have a significant impact to our financial statements in future periods or be ultimately favorable or unfavorable to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focuses on our results of operations and our liquidity and capital resources. You should read this discussion in conjunction with the condensed consolidated financial statements and notes thereto for the nine months ended September 30, 2025 included in Part I, Item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Key Metrics</w:t>
      </w:r>
    </w:p>
    <w:p>
      <w:pPr>
        <w:pStyle w:val="TextBody"/>
        <w:bidi w:val="0"/>
        <w:spacing w:lineRule="auto" w:line="268" w:before="120" w:after="120"/>
        <w:jc w:val="both"/>
        <w:rPr/>
      </w:pPr>
      <w:r>
        <w:rPr>
          <w:rFonts w:ascii="Times New Roman;serif" w:hAnsi="Times New Roman;serif"/>
          <w:b w:val="false"/>
          <w:i/>
          <w:color w:val="000000"/>
          <w:sz w:val="20"/>
        </w:rPr>
        <w:t xml:space="preserve">Gross Merchandise Volume (“GMV”): </w:t>
      </w:r>
      <w:r>
        <w:rPr>
          <w:rFonts w:ascii="Times New Roman;serif" w:hAnsi="Times New Roman;serif"/>
          <w:b w:val="false"/>
          <w:color w:val="000000"/>
          <w:sz w:val="20"/>
        </w:rPr>
        <w:t xml:space="preserve">The Company defines Gross Merchandise Volume as the retail value in U.S. dollars of merchandise acquired by the Acima segment that is leased to customers through a transaction that occurs within a defined period, net of estimated cancellations as of the measurement date. </w:t>
      </w:r>
    </w:p>
    <w:p>
      <w:pPr>
        <w:pStyle w:val="TextBody"/>
        <w:bidi w:val="0"/>
        <w:spacing w:lineRule="auto" w:line="268" w:before="120" w:after="283"/>
        <w:jc w:val="both"/>
        <w:rPr/>
      </w:pPr>
      <w:r>
        <w:rPr>
          <w:rFonts w:ascii="Times New Roman;serif" w:hAnsi="Times New Roman;serif"/>
          <w:b w:val="false"/>
          <w:i/>
          <w:color w:val="000000"/>
          <w:sz w:val="20"/>
        </w:rPr>
        <w:t>Lease Portfolio Value:</w:t>
      </w:r>
      <w:r>
        <w:rPr>
          <w:color w:val="000000"/>
        </w:rPr>
        <w:t xml:space="preserve"> </w:t>
      </w:r>
      <w:r>
        <w:rPr>
          <w:rFonts w:ascii="Times New Roman;serif" w:hAnsi="Times New Roman;serif"/>
          <w:b w:val="false"/>
          <w:color w:val="000000"/>
          <w:sz w:val="20"/>
        </w:rPr>
        <w:t>Represents the aggregate dollar value of the expected monthly rental income associated with current active lease agreements from our Company-owned Rent-A-Center lease-to-own stores and e-commerce platform at the end of any given period.</w:t>
      </w:r>
    </w:p>
    <w:p>
      <w:pPr>
        <w:pStyle w:val="TextBody"/>
        <w:bidi w:val="0"/>
        <w:spacing w:lineRule="auto" w:line="268" w:before="120" w:after="283"/>
        <w:jc w:val="both"/>
        <w:rPr/>
      </w:pPr>
      <w:r>
        <w:rPr>
          <w:rFonts w:ascii="Times New Roman;serif" w:hAnsi="Times New Roman;serif"/>
          <w:b w:val="false"/>
          <w:i/>
          <w:color w:val="000000"/>
          <w:sz w:val="20"/>
        </w:rPr>
        <w:t>Same Store Lease Portfolio Value</w:t>
      </w:r>
      <w:r>
        <w:rPr>
          <w:rFonts w:ascii="Times New Roman;serif" w:hAnsi="Times New Roman;serif"/>
          <w:b w:val="false"/>
          <w:color w:val="000000"/>
          <w:sz w:val="20"/>
        </w:rPr>
        <w:t>: Represents the aggregate dollar value of the expected monthly rental income associated with current active lease agreements from our Company-owned Rent-A-Center lease-to-own stores that were operated by us for 13 months or more at the end of any given period. The Company excludes from the same store base any store that receives a certain level of customer accounts from closed stores or acquisitions. The receiving store will be eligible for inclusion in the same store base in the 30th full month following account transfer.</w:t>
      </w:r>
    </w:p>
    <w:p>
      <w:pPr>
        <w:pStyle w:val="TextBody"/>
        <w:bidi w:val="0"/>
        <w:spacing w:lineRule="auto" w:line="268" w:before="120" w:after="283"/>
        <w:jc w:val="both"/>
        <w:rPr/>
      </w:pPr>
      <w:r>
        <w:rPr>
          <w:rFonts w:ascii="Times New Roman;serif" w:hAnsi="Times New Roman;serif"/>
          <w:b w:val="false"/>
          <w:i/>
          <w:color w:val="000000"/>
          <w:sz w:val="20"/>
        </w:rPr>
        <w:t>Same Store Sales:</w:t>
      </w:r>
      <w:r>
        <w:rPr>
          <w:color w:val="000000"/>
        </w:rPr>
        <w:t xml:space="preserve"> </w:t>
      </w:r>
      <w:r>
        <w:rPr>
          <w:rFonts w:ascii="Times New Roman;serif" w:hAnsi="Times New Roman;serif"/>
          <w:b w:val="false"/>
          <w:color w:val="000000"/>
          <w:sz w:val="20"/>
        </w:rPr>
        <w:t>Same store sales generally represents revenue earned in Company-owned Rent-A-Center stores that were operated by us for 13 months or more and are 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pStyle w:val="TextBody"/>
        <w:bidi w:val="0"/>
        <w:spacing w:lineRule="auto" w:line="268" w:before="120" w:after="283"/>
        <w:jc w:val="both"/>
        <w:rPr/>
      </w:pPr>
      <w:r>
        <w:rPr>
          <w:rFonts w:ascii="Times New Roman;serif" w:hAnsi="Times New Roman;serif"/>
          <w:b w:val="false"/>
          <w:i/>
          <w:color w:val="000000"/>
          <w:sz w:val="20"/>
        </w:rPr>
        <w:t>Lease Charge-Offs (“LCOs”) (previously referred to as “skip / stolen losses”):</w:t>
      </w:r>
      <w:r>
        <w:rPr>
          <w:color w:val="000000"/>
        </w:rPr>
        <w:t xml:space="preserve"> </w:t>
      </w:r>
      <w:r>
        <w:rPr>
          <w:rFonts w:ascii="Times New Roman;serif" w:hAnsi="Times New Roman;serif"/>
          <w:b w:val="false"/>
          <w:color w:val="000000"/>
          <w:sz w:val="20"/>
        </w:rPr>
        <w:t>Represents charge-offs of the net book value of unrecoverable on-rent merchandise with lease-to-own customers who are past due. This is typically expressed as a percentage of revenues for the applicable period. For the Rent-A-Center segment, LCOs exclude Get It Now, Home Choice and franchise-owned Rent-A-Center locations.</w:t>
      </w:r>
    </w:p>
    <w:p>
      <w:pPr>
        <w:pStyle w:val="TextBody"/>
        <w:bidi w:val="0"/>
        <w:spacing w:lineRule="auto" w:line="268" w:before="120" w:after="283"/>
        <w:jc w:val="both"/>
        <w:rPr/>
      </w:pPr>
      <w:r>
        <w:rPr>
          <w:rFonts w:ascii="Times New Roman;serif" w:hAnsi="Times New Roman;serif"/>
          <w:b w:val="false"/>
          <w:i/>
          <w:color w:val="000000"/>
          <w:sz w:val="20"/>
        </w:rPr>
        <w:t>Brigit Paying Users:</w:t>
      </w:r>
      <w:r>
        <w:rPr>
          <w:color w:val="000000"/>
        </w:rPr>
        <w:t xml:space="preserve"> </w:t>
      </w:r>
      <w:r>
        <w:rPr>
          <w:rFonts w:ascii="Times New Roman;serif" w:hAnsi="Times New Roman;serif"/>
          <w:b w:val="false"/>
          <w:color w:val="000000"/>
          <w:sz w:val="20"/>
        </w:rPr>
        <w:t>Represents Brigit customers who have an active Plus or Premium subscription account, are not delinquent (not 45 days past due) on a cash advance, and have made at least one of their last two subscription payments.</w:t>
      </w:r>
    </w:p>
    <w:p>
      <w:pPr>
        <w:pStyle w:val="TextBody"/>
        <w:bidi w:val="0"/>
        <w:spacing w:lineRule="auto" w:line="268" w:before="120" w:after="283"/>
        <w:jc w:val="both"/>
        <w:rPr/>
      </w:pPr>
      <w:r>
        <w:rPr>
          <w:rFonts w:ascii="Times New Roman;serif" w:hAnsi="Times New Roman;serif"/>
          <w:b w:val="false"/>
          <w:i/>
          <w:color w:val="000000"/>
          <w:sz w:val="20"/>
        </w:rPr>
        <w:t>Brigit Net Advance Losses:</w:t>
      </w:r>
      <w:r>
        <w:rPr>
          <w:color w:val="000000"/>
        </w:rPr>
        <w:t xml:space="preserve"> </w:t>
      </w:r>
      <w:r>
        <w:rPr>
          <w:rFonts w:ascii="Times New Roman;serif" w:hAnsi="Times New Roman;serif"/>
          <w:b w:val="false"/>
          <w:color w:val="000000"/>
          <w:sz w:val="20"/>
        </w:rPr>
        <w:t>Represents charge-offs of Brigit uncollectible customer cash advances that are more than 45 days past due. This is typically expressed as a percentage of total cash advances originated in the applicable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31, 2025 we established a new operating segment following the acquisition of Brigit. Please reference Note 2 for additional discussion of the acquisition. In addition we combined our Franchising segment with our Rent-A-Center segment. Financial information disclosed within this report has been recast for the related prior year period to reflect this change. We report four operating segments: Acima, Rent-A-Center, Brigit and Mexico. The following briefly summarizes our financial performance for the nine months ended September 30, 2025 as compared to the nine months ended September 30, 2024 on a consolidated basis and for our operating segments.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nine months of 2025, consolidated revenues and gross profit increased by approximately $257.3 million and $112.9 million, respectively, primarily due to the addition of Brigit segment revenues and an increase in the Acima segment revenues, partially offset by a decrease in Rent-A-Center segment revenues described below. Operating profit decreased by approximately $46.4 million, primarily due to increases in other gains and charges, non-labor operating expenses, and general and administrative expenses of $82.2 million, $77.4 million, and $17.2 million, respectively, partially offset by the increase in gross profit noted above and a decrease in operating labor expenses of $17.0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Acima segment revenues increased approximately $201.2 million for the nine months ended September 30, 2025, due to increases in rentals and fees revenues and merchandise sales of $150.5 million and $50.7 million, respectively, primarily resulting from higher GMV. Growth in GMV was primarily due to an increase in third-party retailer locations and productivity, which resulted in more leases per retailer, and expanded direct-to-consumer offerings. Operating profit increased approximately $33.5 million for the nine months ended September 30, 2025, primarily due to an increase in gross profit of $41.8 million and decreases in operating labor costs and other gains and charges of $5.2 million and $1.7 million, respectively, partially offset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erif" w:hAnsi="Times New Roman;serif"/>
          <w:b w:val="false"/>
          <w:color w:val="000000"/>
          <w:sz w:val="20"/>
        </w:rPr>
        <w:t xml:space="preserve">an increase in non-labor operating expenses of $14.8 million. See </w:t>
      </w:r>
      <w:r>
        <w:rPr>
          <w:color w:val="000000"/>
        </w:rPr>
        <w:t>“</w:t>
      </w:r>
      <w:r>
        <w:rPr>
          <w:rFonts w:ascii="Times New Roman;serif" w:hAnsi="Times New Roman;serif"/>
          <w:b w:val="false"/>
          <w:color w:val="000000"/>
          <w:sz w:val="20"/>
        </w:rPr>
        <w:t>Segment Performance</w:t>
      </w:r>
      <w:r>
        <w:rPr>
          <w:color w:val="000000"/>
        </w:rPr>
        <w:t xml:space="preserve">” </w:t>
      </w:r>
      <w:r>
        <w:rPr>
          <w:rFonts w:ascii="Times New Roman;serif" w:hAnsi="Times New Roman;serif"/>
          <w:b w:val="false"/>
          <w:color w:val="000000"/>
          <w:sz w:val="20"/>
        </w:rPr>
        <w:t>below for further discussion of Acima segment operating results for the nine months ended September 30, 2025.</w:t>
      </w:r>
    </w:p>
    <w:p>
      <w:pPr>
        <w:pStyle w:val="TextBody"/>
        <w:bidi w:val="0"/>
        <w:spacing w:lineRule="auto" w:line="288" w:before="120" w:after="283"/>
        <w:jc w:val="both"/>
        <w:rPr/>
      </w:pPr>
      <w:r>
        <w:rPr>
          <w:rFonts w:ascii="Times New Roman;serif" w:hAnsi="Times New Roman;serif"/>
          <w:b w:val="false"/>
          <w:color w:val="000000"/>
          <w:sz w:val="20"/>
        </w:rPr>
        <w:t xml:space="preserve">Revenues in our Rent-A-Center segment decreased approximately $83.3 million for the nine months ended September 30, 2025, due to a decreases in same store sales of 3.2% and lower corporate-owned store count as a result of prior year store closures, resulting in decreases in rentals and fees revenues and merchandise sales of $79.9 million and $5.3 million, respectively. Operating profit decreased approximately $37.1 million for the nine months ended September 30, 2025, primarily due to a decrease in gross profit of approximately $52.0 million driven by lower revenues, in addition to higher general and administrative expenses and other gains and charges of approximately $10.6 million and $6.5 million, respectively, partially offset by decreases in non-labor operating expenses and operating labor expense of $18.6 million and $14.1 million, respectively. See </w:t>
      </w:r>
      <w:r>
        <w:rPr>
          <w:color w:val="000000"/>
        </w:rPr>
        <w:t>“</w:t>
      </w:r>
      <w:r>
        <w:rPr>
          <w:rFonts w:ascii="Times New Roman;serif" w:hAnsi="Times New Roman;serif"/>
          <w:b w:val="false"/>
          <w:color w:val="000000"/>
          <w:sz w:val="20"/>
        </w:rPr>
        <w:t>Segment Performance</w:t>
      </w:r>
      <w:r>
        <w:rPr>
          <w:color w:val="000000"/>
        </w:rPr>
        <w:t xml:space="preserve">” </w:t>
      </w:r>
      <w:r>
        <w:rPr>
          <w:rFonts w:ascii="Times New Roman;serif" w:hAnsi="Times New Roman;serif"/>
          <w:b w:val="false"/>
          <w:color w:val="000000"/>
          <w:sz w:val="20"/>
        </w:rPr>
        <w:t>below for further discussion of Rent-A-Center segment operating results for the nine months ended September 30, 2025.</w:t>
      </w:r>
    </w:p>
    <w:p>
      <w:pPr>
        <w:pStyle w:val="TextBody"/>
        <w:bidi w:val="0"/>
        <w:spacing w:lineRule="auto" w:line="288" w:before="120" w:after="283"/>
        <w:jc w:val="both"/>
        <w:rPr/>
      </w:pPr>
      <w:r>
        <w:rPr>
          <w:rFonts w:ascii="Times New Roman;serif" w:hAnsi="Times New Roman;serif"/>
          <w:b w:val="false"/>
          <w:color w:val="000000"/>
          <w:sz w:val="20"/>
        </w:rPr>
        <w:t xml:space="preserve">The Brigit segment had revenues and operating profit of $141.4 million and $23.9 million, respectively, since the Closing Date. See </w:t>
      </w:r>
      <w:r>
        <w:rPr>
          <w:color w:val="000000"/>
        </w:rPr>
        <w:t>“</w:t>
      </w:r>
      <w:r>
        <w:rPr>
          <w:rFonts w:ascii="Times New Roman;serif" w:hAnsi="Times New Roman;serif"/>
          <w:b w:val="false"/>
          <w:color w:val="000000"/>
          <w:sz w:val="20"/>
        </w:rPr>
        <w:t>Segment Performance</w:t>
      </w:r>
      <w:r>
        <w:rPr>
          <w:color w:val="000000"/>
        </w:rPr>
        <w:t xml:space="preserve">” </w:t>
      </w:r>
      <w:r>
        <w:rPr>
          <w:rFonts w:ascii="Times New Roman;serif" w:hAnsi="Times New Roman;serif"/>
          <w:b w:val="false"/>
          <w:color w:val="000000"/>
          <w:sz w:val="20"/>
        </w:rPr>
        <w:t xml:space="preserve">below for further discussion of Brigit segment operating results for the nine months ended September 30, 2025. </w:t>
      </w:r>
    </w:p>
    <w:p>
      <w:pPr>
        <w:pStyle w:val="TextBody"/>
        <w:bidi w:val="0"/>
        <w:spacing w:lineRule="auto" w:line="288" w:before="120" w:after="283"/>
        <w:jc w:val="both"/>
        <w:rPr/>
      </w:pPr>
      <w:r>
        <w:rPr>
          <w:rFonts w:ascii="Times New Roman;serif" w:hAnsi="Times New Roman;serif"/>
          <w:b w:val="false"/>
          <w:color w:val="000000"/>
          <w:sz w:val="20"/>
        </w:rPr>
        <w:t xml:space="preserve">The Mexico segment revenues and gross profit decreased by 3.3% and 4.0% for the nine months ended September 30, 2025, respectively, primarily due to negative impacts of exchange rate fluctuations. Operating profit increased 8.1%, primarily due to lower operating expenses, partially offset by negative impacts of exchange rate fluctuations. See </w:t>
      </w:r>
      <w:r>
        <w:rPr>
          <w:color w:val="000000"/>
        </w:rPr>
        <w:t>“</w:t>
      </w:r>
      <w:r>
        <w:rPr>
          <w:rFonts w:ascii="Times New Roman;serif" w:hAnsi="Times New Roman;serif"/>
          <w:b w:val="false"/>
          <w:color w:val="000000"/>
          <w:sz w:val="20"/>
        </w:rPr>
        <w:t>Segment Performance</w:t>
      </w:r>
      <w:r>
        <w:rPr>
          <w:color w:val="000000"/>
        </w:rPr>
        <w:t xml:space="preserve">” </w:t>
      </w:r>
      <w:r>
        <w:rPr>
          <w:rFonts w:ascii="Times New Roman;serif" w:hAnsi="Times New Roman;serif"/>
          <w:b w:val="false"/>
          <w:color w:val="000000"/>
          <w:sz w:val="20"/>
        </w:rPr>
        <w:t>below for further discussion of Mexico segment operating results for the nine months ended September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flow from operations was $264.0 million for the nine months ended September 30, 2025. As of September 30, 2025, we held $107.0 million of cash and cash equivalents and had outstanding indebtedness of $1.6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reference for the discussion that follows.</w:t>
      </w:r>
    </w:p>
    <w:tbl>
      <w:tblPr>
        <w:tblW w:w="11360" w:type="dxa"/>
        <w:jc w:val="left"/>
        <w:tblInd w:w="0" w:type="dxa"/>
        <w:tblLayout w:type="fixed"/>
        <w:tblCellMar>
          <w:top w:w="28" w:type="dxa"/>
          <w:left w:w="28" w:type="dxa"/>
          <w:bottom w:w="28" w:type="dxa"/>
          <w:right w:w="28" w:type="dxa"/>
        </w:tblCellMar>
      </w:tblPr>
      <w:tblGrid>
        <w:gridCol w:w="584"/>
        <w:gridCol w:w="263"/>
        <w:gridCol w:w="264"/>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39"/>
        <w:gridCol w:w="242"/>
        <w:gridCol w:w="256"/>
        <w:gridCol w:w="109"/>
        <w:gridCol w:w="109"/>
        <w:gridCol w:w="109"/>
        <w:gridCol w:w="196"/>
        <w:gridCol w:w="871"/>
        <w:gridCol w:w="109"/>
        <w:gridCol w:w="109"/>
        <w:gridCol w:w="109"/>
        <w:gridCol w:w="109"/>
        <w:gridCol w:w="196"/>
        <w:gridCol w:w="871"/>
        <w:gridCol w:w="109"/>
        <w:gridCol w:w="109"/>
        <w:gridCol w:w="109"/>
        <w:gridCol w:w="109"/>
        <w:gridCol w:w="196"/>
        <w:gridCol w:w="661"/>
        <w:gridCol w:w="109"/>
        <w:gridCol w:w="109"/>
        <w:gridCol w:w="109"/>
        <w:gridCol w:w="109"/>
        <w:gridCol w:w="276"/>
        <w:gridCol w:w="280"/>
        <w:gridCol w:w="301"/>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Rentals and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Merchandise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Subscriptions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rentals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merchandise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subscriptions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labor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Non-labor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gains and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refinancing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nm - percent change is not meaningful for comparison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Three Months Ended September 30, 2025, compared to Three Months Ended September 30, 2024 </w:t>
      </w:r>
    </w:p>
    <w:p>
      <w:pPr>
        <w:pStyle w:val="TextBody"/>
        <w:bidi w:val="0"/>
        <w:spacing w:lineRule="auto" w:line="288" w:before="120" w:after="283"/>
        <w:jc w:val="both"/>
        <w:rPr/>
      </w:pPr>
      <w:r>
        <w:rPr>
          <w:rFonts w:ascii="Times New Roman;serif" w:hAnsi="Times New Roman;serif"/>
          <w:b w:val="false"/>
          <w:i/>
          <w:color w:val="000000"/>
          <w:sz w:val="20"/>
        </w:rPr>
        <w:t>Revenue.</w:t>
      </w:r>
      <w:r>
        <w:rPr>
          <w:color w:val="000000"/>
        </w:rPr>
        <w:t> </w:t>
      </w:r>
      <w:r>
        <w:rPr>
          <w:rFonts w:ascii="Times New Roman;serif" w:hAnsi="Times New Roman;serif"/>
          <w:b w:val="false"/>
          <w:color w:val="000000"/>
          <w:sz w:val="20"/>
        </w:rPr>
        <w:t xml:space="preserve">Total revenues increased by $95.8 million, or 9.0%, to $1,164.7 million for the three months ended September 30, 2025, from $1,068.9 million for the three months ended September 30, 2024. This increase was primarily due to an increase of approximately $59.1 million in the Acima segment and the addition of the Brigit segment with $57.7 million in revenues, partially offset by a decrease of approximately $22.6 million in the Rent-A-Center segment, as discussed further in the “Segment Performance” section below. </w:t>
      </w:r>
    </w:p>
    <w:p>
      <w:pPr>
        <w:pStyle w:val="TextBody"/>
        <w:bidi w:val="0"/>
        <w:spacing w:lineRule="auto" w:line="288" w:before="120" w:after="283"/>
        <w:jc w:val="both"/>
        <w:rPr/>
      </w:pPr>
      <w:r>
        <w:rPr>
          <w:rFonts w:ascii="Times New Roman;serif" w:hAnsi="Times New Roman;serif"/>
          <w:b w:val="false"/>
          <w:i/>
          <w:color w:val="000000"/>
          <w:sz w:val="20"/>
        </w:rPr>
        <w:t>Cost of Rentals and Fees.</w:t>
      </w:r>
      <w:r>
        <w:rPr>
          <w:color w:val="000000"/>
        </w:rPr>
        <w:t> </w:t>
      </w:r>
      <w:r>
        <w:rPr>
          <w:rFonts w:ascii="Times New Roman;serif" w:hAnsi="Times New Roman;serif"/>
          <w:b w:val="false"/>
          <w:color w:val="000000"/>
          <w:sz w:val="20"/>
        </w:rPr>
        <w:t>Cost of rentals and fees consists primarily of depreciation of rental merchandise. Cost of rentals and fees for the three months ended September 30, 2025 increased by $21.7 million, or 6.4%, to $364.1 million as compared to $342.4 million for the three months ended September 30, 2024. The increase was primarily attributable to an increase of approximately $31.8 million in the Acima segment, driven by an increase in rentals and fees revenues, partially offset by a decrease of approximately $10.6 million in the Rent-A-Center segment. Cost of rentals and fees expressed as a percentage of rentals and fees revenue increase to 40.4% for the three months ended September 30, 2025, as compared to 39.0% for the three months ended September 30, 2024, primarily due to the continued growth of the Acima segment as a percent of total rentals and fees revenue.</w:t>
      </w:r>
    </w:p>
    <w:p>
      <w:pPr>
        <w:pStyle w:val="TextBody"/>
        <w:bidi w:val="0"/>
        <w:spacing w:lineRule="auto" w:line="288" w:before="120" w:after="283"/>
        <w:jc w:val="both"/>
        <w:rPr/>
      </w:pPr>
      <w:r>
        <w:rPr>
          <w:rFonts w:ascii="Times New Roman;serif" w:hAnsi="Times New Roman;serif"/>
          <w:b w:val="false"/>
          <w:i/>
          <w:color w:val="000000"/>
          <w:sz w:val="20"/>
        </w:rPr>
        <w:t>Cost of Merchandise Sold.</w:t>
      </w:r>
      <w:r>
        <w:rPr>
          <w:color w:val="000000"/>
        </w:rPr>
        <w:t> </w:t>
      </w:r>
      <w:r>
        <w:rPr>
          <w:rFonts w:ascii="Times New Roman;serif" w:hAnsi="Times New Roman;serif"/>
          <w:b w:val="false"/>
          <w:color w:val="000000"/>
          <w:sz w:val="20"/>
        </w:rPr>
        <w:t xml:space="preserve">Cost of merchandise sold represents the net book value of rental merchandise at time of sale. Cost of merchandise sold increased by $15.5 million, or 7.2%, to $230.9 million for the three months ended September 30, 2025, from $215.4 million for the three months ended September 30, 2024, primarily attributable to an increase of $18.0 million in the Acima segment, driven primarily by higher merchandise sales, partially offset by a decrease of approximately $2.6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Rent-A-Center segment. The gross margin percent of merchandise sales increased to (16.5)% for the three months ended September 30, 2025, from (17.5)% for the three months ended September 30, 2024.</w:t>
      </w:r>
    </w:p>
    <w:p>
      <w:pPr>
        <w:pStyle w:val="TextBody"/>
        <w:bidi w:val="0"/>
        <w:spacing w:lineRule="auto" w:line="288" w:before="120" w:after="283"/>
        <w:jc w:val="both"/>
        <w:rPr/>
      </w:pPr>
      <w:r>
        <w:rPr>
          <w:rFonts w:ascii="Times New Roman;serif" w:hAnsi="Times New Roman;serif"/>
          <w:b w:val="false"/>
          <w:i/>
          <w:color w:val="000000"/>
          <w:sz w:val="20"/>
        </w:rPr>
        <w:t>Gross Profit.</w:t>
      </w:r>
      <w:r>
        <w:rPr>
          <w:color w:val="000000"/>
        </w:rPr>
        <w:t> </w:t>
      </w:r>
      <w:r>
        <w:rPr>
          <w:rFonts w:ascii="Times New Roman;serif" w:hAnsi="Times New Roman;serif"/>
          <w:b w:val="false"/>
          <w:color w:val="000000"/>
          <w:sz w:val="20"/>
        </w:rPr>
        <w:t xml:space="preserve">Gross profit increased by $52.0 million, or 10.2%, to $563.1 million for the three months ended September 30, 2025, from $511.1 million for the three months ended September 30, 2024, primarily due to the addition of the Brigit segment with $51.0 million in gross profit and an increase of $9.3 million in the Acima segment, partially offset by a decrease of $9.4 million in the Rent-A-Center segment, as discussed further in the section “Segment Performance” below. Gross profit as a percentage of total revenue increased to 48.3% for the three months ended September 30, 2025, from 47.8% for both the three months ended September 30, 2024. </w:t>
      </w:r>
    </w:p>
    <w:p>
      <w:pPr>
        <w:pStyle w:val="TextBody"/>
        <w:bidi w:val="0"/>
        <w:spacing w:lineRule="auto" w:line="288" w:before="120" w:after="283"/>
        <w:jc w:val="both"/>
        <w:rPr/>
      </w:pPr>
      <w:r>
        <w:rPr>
          <w:rFonts w:ascii="Times New Roman;serif" w:hAnsi="Times New Roman;serif"/>
          <w:b w:val="false"/>
          <w:i/>
          <w:color w:val="000000"/>
          <w:sz w:val="20"/>
        </w:rPr>
        <w:t>Operating Labor.</w:t>
      </w:r>
      <w:r>
        <w:rPr>
          <w:color w:val="000000"/>
        </w:rPr>
        <w:t xml:space="preserve"> </w:t>
      </w:r>
      <w:r>
        <w:rPr>
          <w:rFonts w:ascii="Times New Roman;serif" w:hAnsi="Times New Roman;serif"/>
          <w:b w:val="false"/>
          <w:color w:val="000000"/>
          <w:sz w:val="20"/>
        </w:rPr>
        <w:t>Operating labor includes all salaries and wages paid to operational employees and district managers, together with payroll taxes and benefits. Operating labor decreased by $0.9 million, or 0.6%, to $151.7 million for the three months ended September 30, 2025, as compared to $152.6 million for the three months ended September 30, 2024, primarily due to decreases of $1.4 million and $1.0 million in the Rent-A-Center and Acima segments, respectively, partially offset by $1.2 million attributable to the addition of the Brigit segment. Operating labor expressed as a percentage of total revenue was 13.0% for the three months ended September 30, 2025, as compared to 14.3% for the three months ended September 30, 2024.</w:t>
      </w:r>
    </w:p>
    <w:p>
      <w:pPr>
        <w:pStyle w:val="TextBody"/>
        <w:bidi w:val="0"/>
        <w:spacing w:lineRule="auto" w:line="288" w:before="120" w:after="283"/>
        <w:jc w:val="both"/>
        <w:rPr/>
      </w:pPr>
      <w:r>
        <w:rPr>
          <w:rFonts w:ascii="Times New Roman;serif" w:hAnsi="Times New Roman;serif"/>
          <w:b w:val="false"/>
          <w:i/>
          <w:color w:val="000000"/>
          <w:sz w:val="20"/>
        </w:rPr>
        <w:t>Non-Labor Operating Expenses.</w:t>
      </w:r>
      <w:r>
        <w:rPr>
          <w:color w:val="000000"/>
        </w:rPr>
        <w:t> </w:t>
      </w:r>
      <w:r>
        <w:rPr>
          <w:rFonts w:ascii="Times New Roman;serif" w:hAnsi="Times New Roman;serif"/>
          <w:b w:val="false"/>
          <w:color w:val="000000"/>
          <w:sz w:val="20"/>
        </w:rPr>
        <w:t>Non-labor operating expenses include LCOs, occupancy, delivery, advertising, selling, insurance, travel and other operating expenses. Non-labor operating expenses increased by $46.1 million, or 23.5%, to $242.1 million for the three months ended September 30, 2025, as compared to $196.0 million for the three months ended September 30, 2024, primarily due to the addition of the Brigit segment with $38.8 million in non-labor operating expenses and an increase in non-labor operating expense of approximately $10.6 million in the Acima segment, driven primarily by an increase of $8.9 million in lease charge-off expense, partially offset by a decrease in non-labor operating expenses of $4.0 million in the Rent-A-Center segment, primarily attributable to a decrease of $2.2 million in lease charge-off expense. Non-labor operating expenses expressed as a percentage of total revenue was 20.8% for the three months ended September 30, 2025, compared to 18.3% for the three months ended September 30, 2024.</w:t>
      </w:r>
    </w:p>
    <w:p>
      <w:pPr>
        <w:pStyle w:val="TextBody"/>
        <w:bidi w:val="0"/>
        <w:spacing w:lineRule="auto" w:line="288" w:before="120" w:after="283"/>
        <w:jc w:val="both"/>
        <w:rPr/>
      </w:pPr>
      <w:r>
        <w:rPr>
          <w:rFonts w:ascii="Times New Roman;serif" w:hAnsi="Times New Roman;serif"/>
          <w:b w:val="false"/>
          <w:i/>
          <w:color w:val="000000"/>
          <w:sz w:val="20"/>
        </w:rPr>
        <w:t>General and Administrative Expenses.</w:t>
      </w:r>
      <w:r>
        <w:rPr>
          <w:color w:val="000000"/>
        </w:rPr>
        <w:t> </w:t>
      </w:r>
      <w:r>
        <w:rPr>
          <w:rFonts w:ascii="Times New Roman;serif" w:hAnsi="Times New Roman;serif"/>
          <w:b w:val="false"/>
          <w:color w:val="000000"/>
          <w:sz w:val="20"/>
        </w:rPr>
        <w:t>General and administrative expenses include all corporate overhead expenses related to our headquarters such as salaries, payroll taxes and benefits, stock-based compensation, occupancy, administrative and other expenses, as well as salaries and labor costs for our regional directors, divisional vice presidents and executive vice presidents. General and administrative expenses decreased by $1.3 million, or 2.4%, to $50.2 million for the three months ended September 30, 2025, as compared to $51.5 million for the three months ended September 30, 2024. General and administrative expenses expressed as a percentage of total revenue was 4.3% for the three months ended September 30, 2025, compared to 4.8% for the three months ended September 30, 2024.</w:t>
      </w:r>
    </w:p>
    <w:p>
      <w:pPr>
        <w:pStyle w:val="TextBody"/>
        <w:bidi w:val="0"/>
        <w:spacing w:lineRule="auto" w:line="288" w:before="120" w:after="283"/>
        <w:jc w:val="both"/>
        <w:rPr/>
      </w:pPr>
      <w:r>
        <w:rPr>
          <w:rFonts w:ascii="Times New Roman;serif" w:hAnsi="Times New Roman;serif"/>
          <w:b w:val="false"/>
          <w:i/>
          <w:color w:val="000000"/>
          <w:sz w:val="20"/>
        </w:rPr>
        <w:t xml:space="preserve">Other Gains and Charges. </w:t>
      </w:r>
      <w:r>
        <w:rPr>
          <w:rFonts w:ascii="Times New Roman;serif" w:hAnsi="Times New Roman;serif"/>
          <w:b w:val="false"/>
          <w:color w:val="000000"/>
          <w:sz w:val="20"/>
        </w:rPr>
        <w:t>Other gains and charges increased by $25.3 million to $53.4 million for the three months ended September 30, 2025, as compared to $28.1 million for the three months ended September 30, 2024. The increase in other gains and charges was driven primarily by an increase of $16.4 million related to the Brigit acquisition, including depreciation and amortization of the fair value of acquired software and intangible assets, stock compensation expense related to the vesting of a portion of the equity consideration, and other compensation and transaction costs, and an increase of $11.7 million in asset impairments related to the closure of approximately 50 franchise store locations.</w:t>
      </w:r>
    </w:p>
    <w:p>
      <w:pPr>
        <w:pStyle w:val="TextBody"/>
        <w:bidi w:val="0"/>
        <w:spacing w:lineRule="auto" w:line="288" w:before="120" w:after="283"/>
        <w:jc w:val="both"/>
        <w:rPr/>
      </w:pPr>
      <w:r>
        <w:rPr>
          <w:rFonts w:ascii="Times New Roman;serif" w:hAnsi="Times New Roman;serif"/>
          <w:b w:val="false"/>
          <w:i/>
          <w:color w:val="000000"/>
          <w:sz w:val="20"/>
        </w:rPr>
        <w:t>Operating Profit.</w:t>
      </w:r>
      <w:r>
        <w:rPr>
          <w:color w:val="000000"/>
        </w:rPr>
        <w:t> </w:t>
      </w:r>
      <w:r>
        <w:rPr>
          <w:rFonts w:ascii="Times New Roman;serif" w:hAnsi="Times New Roman;serif"/>
          <w:b w:val="false"/>
          <w:color w:val="000000"/>
          <w:sz w:val="20"/>
        </w:rPr>
        <w:t>Operating profit decreased by $17.3 million, or 24.7%, to $52.8 million for the three months ended September 30, 2025, as compared to $70.1 million for the three months ended September 30, 2024, primarily due to increases in non-labor operating expenses and other gains and charges, partially offset by an increase in gross profit and decreases in general and administrative expenses and operating labor, as described above. Operating profit expressed as a percentage of total revenue was 4.5% for the three months ended September 30, 2025, compared to 6.6% for the three months ended September 30, 2024.</w:t>
      </w:r>
    </w:p>
    <w:p>
      <w:pPr>
        <w:pStyle w:val="TextBody"/>
        <w:bidi w:val="0"/>
        <w:spacing w:lineRule="auto" w:line="288" w:before="120" w:after="283"/>
        <w:jc w:val="both"/>
        <w:rPr/>
      </w:pPr>
      <w:r>
        <w:rPr>
          <w:rFonts w:ascii="Times New Roman;serif" w:hAnsi="Times New Roman;serif"/>
          <w:b w:val="false"/>
          <w:i/>
          <w:color w:val="000000"/>
          <w:sz w:val="20"/>
        </w:rPr>
        <w:t>Income Tax Expense. </w:t>
      </w:r>
      <w:r>
        <w:rPr>
          <w:rFonts w:ascii="Times New Roman;serif" w:hAnsi="Times New Roman;serif"/>
          <w:b w:val="false"/>
          <w:color w:val="000000"/>
          <w:sz w:val="20"/>
        </w:rPr>
        <w:t>Income tax expense decreased by $6.7 million to $6.6 million for the three months ended September 30, 2025, as compared to $13.3 million for the three months ended September 30, 2024, primarily due to the decrease in earnings before income taxes for the three months ended September 30, 2025 compared to the three months ended September 30, 2024, partially offset by a higher effective tax rate for the three months ended September 30, 2025, attributable to the tax impact on non-deductible expenses related to the Brigit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pPr>
      <w:r>
        <w:rPr>
          <w:rFonts w:ascii="Times New Roman;serif" w:hAnsi="Times New Roman;serif"/>
          <w:b/>
          <w:i/>
          <w:color w:val="000000"/>
          <w:sz w:val="20"/>
        </w:rPr>
        <w:t>Nine Months Ended September 30, 2025, compared to Nine Months Ended September 30, 2024</w:t>
      </w:r>
      <w:r>
        <w:rPr>
          <w:color w:val="000000"/>
        </w:rPr>
        <w:t xml:space="preserve"> </w:t>
      </w:r>
    </w:p>
    <w:p>
      <w:pPr>
        <w:pStyle w:val="TextBody"/>
        <w:bidi w:val="0"/>
        <w:spacing w:lineRule="auto" w:line="288" w:before="120" w:after="283"/>
        <w:jc w:val="both"/>
        <w:rPr/>
      </w:pPr>
      <w:r>
        <w:rPr>
          <w:rFonts w:ascii="Times New Roman;serif" w:hAnsi="Times New Roman;serif"/>
          <w:b w:val="false"/>
          <w:i/>
          <w:color w:val="000000"/>
          <w:sz w:val="20"/>
        </w:rPr>
        <w:t>Revenue.</w:t>
      </w:r>
      <w:r>
        <w:rPr>
          <w:color w:val="000000"/>
        </w:rPr>
        <w:t> </w:t>
      </w:r>
      <w:r>
        <w:rPr>
          <w:rFonts w:ascii="Times New Roman;serif" w:hAnsi="Times New Roman;serif"/>
          <w:b w:val="false"/>
          <w:color w:val="000000"/>
          <w:sz w:val="20"/>
        </w:rPr>
        <w:t>Total revenue increased by $257.3 million, or 7.9%, to $3,498.6 million for the nine months ended September 30, 2025, from $3,241.3 million for the nine months ended September 30, 2024, primarily due to an increase of approximately $201.2 million in the Acima segment and the addition of the Brigit segment with $141.4 million in revenue, partially offset by a decrease of approximately $83.3 million in the Rent-A-Center segment, as discussed further in the “Segment Performance” section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erif" w:hAnsi="Times New Roman;serif"/>
          <w:b w:val="false"/>
          <w:i/>
          <w:color w:val="000000"/>
          <w:sz w:val="20"/>
        </w:rPr>
        <w:t>Cost of Rentals and Fees.</w:t>
      </w:r>
      <w:r>
        <w:rPr>
          <w:color w:val="000000"/>
        </w:rPr>
        <w:t> </w:t>
      </w:r>
      <w:r>
        <w:rPr>
          <w:rFonts w:ascii="Times New Roman;serif" w:hAnsi="Times New Roman;serif"/>
          <w:b w:val="false"/>
          <w:color w:val="000000"/>
          <w:sz w:val="20"/>
        </w:rPr>
        <w:t>Cost of rentals and fees for the nine months ended September 30, 2025 increased by $66.7 million, or 6.6%, to $1,074.8 million, as compared to $1,008.1 million for the nine months ended September 30, 2024. The increase was primarily attributable to an increase of approximately $93.7 million in the Acima segment driven by an increase in rentals and fees revenues, partially offset by a decrease of approximately $26.8 million in the Rent-A-Center segment. Cost of rentals and fees expressed as a percentage of rentals and fees revenue increased to 39.7% for the nine months ended September 30, 2025, as compared to 38.2% for the nine months ended September 30, 2024, primarily due to the continued growth of the Acima segment as a percent of total rentals and fees revenue.</w:t>
      </w:r>
    </w:p>
    <w:p>
      <w:pPr>
        <w:pStyle w:val="TextBody"/>
        <w:bidi w:val="0"/>
        <w:spacing w:lineRule="auto" w:line="288" w:before="120" w:after="283"/>
        <w:jc w:val="both"/>
        <w:rPr/>
      </w:pPr>
      <w:r>
        <w:rPr>
          <w:rFonts w:ascii="Times New Roman;serif" w:hAnsi="Times New Roman;serif"/>
          <w:b w:val="false"/>
          <w:i/>
          <w:color w:val="000000"/>
          <w:sz w:val="20"/>
        </w:rPr>
        <w:t>Cost of Merchandise Sold. </w:t>
      </w:r>
      <w:r>
        <w:rPr>
          <w:rFonts w:ascii="Times New Roman;serif" w:hAnsi="Times New Roman;serif"/>
          <w:b w:val="false"/>
          <w:color w:val="000000"/>
          <w:sz w:val="20"/>
        </w:rPr>
        <w:t xml:space="preserve">Cost of merchandise sold increased by $61.1 million, or 9.2%, to $722.2 million for the nine months ended September 30, 2025, from $661.1 million for the nine months ended September 30, 2024, primarily attributable to an increase of $65.6 million in the Acima segment driven primarily by higher merchandise sales. The gross margin percent of merchandise sales decreased to (15.3)% for the nine months ended September 30, 2025, from (13.8)% for the nine months ended September 30, 2024. </w:t>
      </w:r>
    </w:p>
    <w:p>
      <w:pPr>
        <w:pStyle w:val="TextBody"/>
        <w:bidi w:val="0"/>
        <w:spacing w:lineRule="auto" w:line="288" w:before="120" w:after="283"/>
        <w:jc w:val="both"/>
        <w:rPr/>
      </w:pPr>
      <w:r>
        <w:rPr>
          <w:rFonts w:ascii="Times New Roman;serif" w:hAnsi="Times New Roman;serif"/>
          <w:b w:val="false"/>
          <w:i/>
          <w:color w:val="000000"/>
          <w:sz w:val="20"/>
        </w:rPr>
        <w:t>Gross Profit.</w:t>
      </w:r>
      <w:r>
        <w:rPr>
          <w:color w:val="000000"/>
        </w:rPr>
        <w:t> </w:t>
      </w:r>
      <w:r>
        <w:rPr>
          <w:rFonts w:ascii="Times New Roman;serif" w:hAnsi="Times New Roman;serif"/>
          <w:b w:val="false"/>
          <w:color w:val="000000"/>
          <w:sz w:val="20"/>
        </w:rPr>
        <w:t>Gross profit increased by $112.9 million, or 7.2%, to $1,685.0 million for the nine months ended September 30, 2025, from $1,572.1 million for the nine months ended September 30, 2024, primarily due to the addition of the Brigit segment with $124.8 million in gross profit and an increase of $41.8 million in the Acima segment, partially offset by a decrease of approximately $52.0 million in the Rent-A-Center segment, as discussed further in the “Segment Performance” section below. Gross profit as a percentage of total revenue decreased to 48.2% for the nine months ended September 30, 2025, as compared to 48.5% for the nine months ended September 30, 2024.</w:t>
      </w:r>
    </w:p>
    <w:p>
      <w:pPr>
        <w:pStyle w:val="TextBody"/>
        <w:bidi w:val="0"/>
        <w:spacing w:lineRule="auto" w:line="288" w:before="120" w:after="283"/>
        <w:jc w:val="both"/>
        <w:rPr/>
      </w:pPr>
      <w:r>
        <w:rPr>
          <w:rFonts w:ascii="Times New Roman;serif" w:hAnsi="Times New Roman;serif"/>
          <w:b w:val="false"/>
          <w:i/>
          <w:color w:val="000000"/>
          <w:sz w:val="20"/>
        </w:rPr>
        <w:t xml:space="preserve">Operating Labor. </w:t>
      </w:r>
      <w:r>
        <w:rPr>
          <w:rFonts w:ascii="Times New Roman;serif" w:hAnsi="Times New Roman;serif"/>
          <w:b w:val="false"/>
          <w:color w:val="000000"/>
          <w:sz w:val="20"/>
        </w:rPr>
        <w:t>Operating labor decreased by $17.0 million, or 3.6%, to $450.0 million for the nine months ended September 30, 2025, as compared to $467.0 million for the nine months ended September 30, 2024, primarily due to decreases of $14.1 million and $5.2 million in the Rent-A-Center and Acima segments, respectively. The decrease in Rent-A-Center operating labor was primarily attributable to a decrease in corporate-owned store count, resulting from prior year store closures and refranchising. Operating labor expressed as a percentage of total revenue was 12.9% for the nine months ended September 30, 2025, as compared to 14.4% for the nine months ended September 30, 2024.</w:t>
      </w:r>
    </w:p>
    <w:p>
      <w:pPr>
        <w:pStyle w:val="TextBody"/>
        <w:bidi w:val="0"/>
        <w:spacing w:lineRule="auto" w:line="288" w:before="120" w:after="283"/>
        <w:jc w:val="both"/>
        <w:rPr/>
      </w:pPr>
      <w:r>
        <w:rPr>
          <w:rFonts w:ascii="Times New Roman;serif" w:hAnsi="Times New Roman;serif"/>
          <w:b w:val="false"/>
          <w:i/>
          <w:color w:val="000000"/>
          <w:sz w:val="20"/>
        </w:rPr>
        <w:t>Non-Labor Operating Expenses.</w:t>
      </w:r>
      <w:r>
        <w:rPr>
          <w:color w:val="000000"/>
        </w:rPr>
        <w:t> </w:t>
      </w:r>
      <w:r>
        <w:rPr>
          <w:rFonts w:ascii="Times New Roman;serif" w:hAnsi="Times New Roman;serif"/>
          <w:b w:val="false"/>
          <w:color w:val="000000"/>
          <w:sz w:val="20"/>
        </w:rPr>
        <w:t>Non-labor operating expenses increased by $77.4 million, or 12.6%, to $691.2 million for the nine months ended September 30, 2025, as compared to $613.8 million for the nine months ended September 30, 2024, primarily due to the addition of the Brigit segment with $81.5 million in non-labor operating expenses and increase of approximately $14.8 million in the Acima segment primarily related to an increase of $16.0 million in lease charge-off expense, partially offset by a decrease of approximately $18.6 million in the Rent-A-Center segment, primarily attributable to decreases of $9.0 million in lease-to-own store merchandise losses and $5.9 million in store occupancy and vehicle expenses driven by lower corporate-owned store count due to prior year store closures. Non-labor operating expenses expressed as a percentage of total revenue was 19.8% for the nine months ended September 30, 2025, as compared to 18.9% for the nine months ended September 30, 2024.</w:t>
      </w:r>
    </w:p>
    <w:p>
      <w:pPr>
        <w:pStyle w:val="TextBody"/>
        <w:bidi w:val="0"/>
        <w:spacing w:lineRule="auto" w:line="288" w:before="120" w:after="283"/>
        <w:jc w:val="both"/>
        <w:rPr/>
      </w:pPr>
      <w:r>
        <w:rPr>
          <w:rFonts w:ascii="Times New Roman;serif" w:hAnsi="Times New Roman;serif"/>
          <w:b w:val="false"/>
          <w:i/>
          <w:color w:val="000000"/>
          <w:sz w:val="20"/>
        </w:rPr>
        <w:t>General and Administrative Expenses. </w:t>
      </w:r>
      <w:r>
        <w:rPr>
          <w:rFonts w:ascii="Times New Roman;serif" w:hAnsi="Times New Roman;serif"/>
          <w:b w:val="false"/>
          <w:color w:val="000000"/>
          <w:sz w:val="20"/>
        </w:rPr>
        <w:t>General and administrative expenses increased by $17.2 million, or 10.8%, to $177.4 million for the nine months ended September 30, 2025, as compared to $160.2 million for the nine months ended September 30, 2024, primarily due to an increase in the allowance for doubtful accounts of $10.6 million related to franchising trade receivables and the addition of the Brigit segment with $9.5 million in general and administrative expenses. General and administrative expenses expressed as a percentage of total revenue were 5.1% for the nine months ended September 30, 2025, compared to 4.9% for the nine months ended September 30, 2024.</w:t>
      </w:r>
    </w:p>
    <w:p>
      <w:pPr>
        <w:pStyle w:val="TextBody"/>
        <w:bidi w:val="0"/>
        <w:spacing w:lineRule="auto" w:line="288" w:before="120" w:after="283"/>
        <w:jc w:val="both"/>
        <w:rPr/>
      </w:pPr>
      <w:r>
        <w:rPr>
          <w:rFonts w:ascii="Times New Roman;serif" w:hAnsi="Times New Roman;serif"/>
          <w:b w:val="false"/>
          <w:i/>
          <w:color w:val="000000"/>
          <w:sz w:val="20"/>
        </w:rPr>
        <w:t xml:space="preserve">Other Gains and Charges. </w:t>
      </w:r>
      <w:r>
        <w:rPr>
          <w:rFonts w:ascii="Times New Roman;serif" w:hAnsi="Times New Roman;serif"/>
          <w:b w:val="false"/>
          <w:color w:val="000000"/>
          <w:sz w:val="20"/>
        </w:rPr>
        <w:t>Other gains and charges increased by $82.2 million to $162.1 million for the nine months ended September 30, 2025, as compared to $79.9 million for the nine months ended September 30, 2024. The increase in other gains and charges was driven primarily by increases of $49.5 million related to the Brigit acquisition, including depreciation and amortization of the fair value of acquired software and intangible assets, stock compensation expense related to the vesting of a portion of the equity consideration, other compensation and transaction costs, $44.0 million in estimated legal accruals and related litigation and defense expenses described further in Note 9 of our Condensed Consolidated Financial Statements and $5.8 million in lease impairment charges and fixed asset disposals, partially offset by decreases of $6.1 million in accelerated software depreciation, $4.9 million in stock compensation expense related to restricted stock issued in connection with the Acima Holdings acquisition and $1.7 million in depreciation and amortization of acquired software and intangible assets in connection with the Acima Holdings acquisition for the nine months ended September 30, 2025.</w:t>
      </w:r>
    </w:p>
    <w:p>
      <w:pPr>
        <w:pStyle w:val="TextBody"/>
        <w:bidi w:val="0"/>
        <w:spacing w:lineRule="auto" w:line="288" w:before="120" w:after="283"/>
        <w:jc w:val="both"/>
        <w:rPr/>
      </w:pPr>
      <w:r>
        <w:rPr>
          <w:rFonts w:ascii="Times New Roman;serif" w:hAnsi="Times New Roman;serif"/>
          <w:b w:val="false"/>
          <w:i/>
          <w:color w:val="000000"/>
          <w:sz w:val="20"/>
        </w:rPr>
        <w:t>Operating Profit.</w:t>
      </w:r>
      <w:r>
        <w:rPr>
          <w:color w:val="000000"/>
        </w:rPr>
        <w:t> </w:t>
      </w:r>
      <w:r>
        <w:rPr>
          <w:rFonts w:ascii="Times New Roman;serif" w:hAnsi="Times New Roman;serif"/>
          <w:b w:val="false"/>
          <w:color w:val="000000"/>
          <w:sz w:val="20"/>
        </w:rPr>
        <w:t xml:space="preserve">Operating profit decreased by $46.4 million, or 21.8%, to $166.1 million for the nine months ended September 30, 2025, as compared to $212.5 million for the nine months ended September 30, 2024, primarily due to the increases in other gains and charges, non-labor operating expenses and general and administrative expenses, partially offset by an increase in gross profit and decrease in operating labor, as described above. Operating profit expressed as a percentage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revenue was 4.7% for the nine months ended September 30, 2025, compared to 6.6% for the nine months ended September 30, 2024.</w:t>
      </w:r>
    </w:p>
    <w:p>
      <w:pPr>
        <w:pStyle w:val="TextBody"/>
        <w:bidi w:val="0"/>
        <w:spacing w:lineRule="auto" w:line="288" w:before="120" w:after="283"/>
        <w:jc w:val="both"/>
        <w:rPr/>
      </w:pPr>
      <w:r>
        <w:rPr>
          <w:rFonts w:ascii="Times New Roman;serif" w:hAnsi="Times New Roman;serif"/>
          <w:b w:val="false"/>
          <w:i/>
          <w:color w:val="000000"/>
          <w:sz w:val="20"/>
        </w:rPr>
        <w:t>Income Tax Expense. </w:t>
      </w:r>
      <w:r>
        <w:rPr>
          <w:rFonts w:ascii="Times New Roman;serif" w:hAnsi="Times New Roman;serif"/>
          <w:b w:val="false"/>
          <w:color w:val="000000"/>
          <w:sz w:val="20"/>
        </w:rPr>
        <w:t>Income tax expense decreased by $6.0 million to $24.7 million for the nine months ended September 30, 2025, as compared to $30.7 million for the nine months ended September 30, 2024, primarily due to the decrease in earnings before income taxes for the nine months ended September 30, 2025 compared to the nine months ended September 30, 2024, partially offset by a higher effective tax rate for the nine months ended September 30, 2025 attributable to the tax impact on non-deductible expenses related to the Brigit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Segment Performance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Acima segment</w:t>
      </w:r>
    </w:p>
    <w:tbl>
      <w:tblPr>
        <w:tblW w:w="11319" w:type="dxa"/>
        <w:jc w:val="left"/>
        <w:tblInd w:w="0" w:type="dxa"/>
        <w:tblLayout w:type="fixed"/>
        <w:tblCellMar>
          <w:top w:w="28" w:type="dxa"/>
          <w:left w:w="28" w:type="dxa"/>
          <w:bottom w:w="28" w:type="dxa"/>
          <w:right w:w="28" w:type="dxa"/>
        </w:tblCellMar>
      </w:tblPr>
      <w:tblGrid>
        <w:gridCol w:w="479"/>
        <w:gridCol w:w="263"/>
        <w:gridCol w:w="26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256"/>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33"/>
        <w:gridCol w:w="233"/>
        <w:gridCol w:w="25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Gross merchandise volume</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See Key Metrics described above for additional information.</w:t>
      </w:r>
    </w:p>
    <w:p>
      <w:pPr>
        <w:pStyle w:val="TextBody"/>
        <w:bidi w:val="0"/>
        <w:spacing w:lineRule="auto" w:line="288" w:before="120" w:after="283"/>
        <w:jc w:val="both"/>
        <w:rPr/>
      </w:pPr>
      <w:r>
        <w:rPr>
          <w:rFonts w:ascii="Times New Roman;serif" w:hAnsi="Times New Roman;serif"/>
          <w:b w:val="false"/>
          <w:i/>
          <w:color w:val="000000"/>
          <w:sz w:val="20"/>
        </w:rPr>
        <w:t>Revenues</w:t>
      </w:r>
      <w:r>
        <w:rPr>
          <w:rFonts w:ascii="Times New Roman;serif" w:hAnsi="Times New Roman;serif"/>
          <w:b w:val="false"/>
          <w:color w:val="000000"/>
          <w:sz w:val="20"/>
        </w:rPr>
        <w:t>. The increase in revenues for the three and nine months ended September 30, 2025, as compared to the three and nine months ended September 30, 2024, were primarily due to increases in rentals and fees revenues of $46.1 million and $150.5 million, respectively, and increases in merchandise sales revenue of $13.2 million and $50.7 million, respectively, resulting from higher GMV. Growth in GMV was primarily due to an increase in new third-party retailer locations and productivity, which resulted in more leases per retailer, in addition to expanded direct-to-consumer offerings.</w:t>
      </w:r>
    </w:p>
    <w:p>
      <w:pPr>
        <w:pStyle w:val="TextBody"/>
        <w:bidi w:val="0"/>
        <w:spacing w:lineRule="auto" w:line="288" w:before="120" w:after="283"/>
        <w:jc w:val="both"/>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Gross profit increased for the three and nine months ended September 30, 2025, as compared to the three and nine months ended September 30, 2024, driven primarily by the increase in revenues described above. Gross profit as a percentage of segment revenues decreased to 29.3% and 30.0% for the three and nine months ended September 30, 2025, compared to 30.7% and 31.1% for the three and nine months ended September 30, 2024, primarily due to the conversion of Acceptance Now locations to the Acima Holdings Lease Management platform</w:t>
      </w:r>
      <w:r>
        <w:rPr>
          <w:rFonts w:ascii="Times New Roman;serif" w:hAnsi="Times New Roman;serif"/>
          <w:b w:val="false"/>
          <w:color w:val="161619"/>
          <w:sz w:val="20"/>
        </w:rPr>
        <w:t>.</w:t>
      </w:r>
    </w:p>
    <w:p>
      <w:pPr>
        <w:pStyle w:val="TextBody"/>
        <w:bidi w:val="0"/>
        <w:spacing w:lineRule="auto" w:line="288" w:before="120" w:after="283"/>
        <w:jc w:val="both"/>
        <w:rPr/>
      </w:pPr>
      <w:r>
        <w:rPr>
          <w:rFonts w:ascii="Times New Roman;serif" w:hAnsi="Times New Roman;serif"/>
          <w:b w:val="false"/>
          <w:i/>
          <w:color w:val="000000"/>
          <w:sz w:val="20"/>
        </w:rPr>
        <w:t xml:space="preserve">Operating Profit. </w:t>
      </w:r>
      <w:r>
        <w:rPr>
          <w:rFonts w:ascii="Times New Roman;serif" w:hAnsi="Times New Roman;serif"/>
          <w:b w:val="false"/>
          <w:color w:val="000000"/>
          <w:sz w:val="20"/>
        </w:rPr>
        <w:t>Operating profit as a percentage of segment revenues was 10.2% and 11.7% for the three and nine months ended September 30, 2025, compared to 11.3% and 11.1% for the three and nine months ended September 30, 2024. The decreases in operating profit margin were primarily due to decreases in gross profit as a percentage of segment revenues as described above and increases in merchandise losses. Merchandise losses in our Acima locations due to LCOs, expressed as a percentage of revenues, were approximately 9.7% and 9.3% for the three and nine months ended September 30, 2025, respectively, compared to 9.2% and 9.5% for the three and nine months ended September 30, 2024, respectively. Merchandise losses in our Acima locations due to other merchandise losses, expressed as a percentage of revenues, were 0.4% for both the three and nine months ended September 30, 2025, and were 0.3% and 0.2% for the three and nine months ended September 30, 2024, respectively. Other merchandise losses include unrepairable and missing merchandise and loss/damage waiver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Rent-A-Center segment</w:t>
      </w:r>
    </w:p>
    <w:tbl>
      <w:tblPr>
        <w:tblW w:w="11304" w:type="dxa"/>
        <w:jc w:val="left"/>
        <w:tblInd w:w="0" w:type="dxa"/>
        <w:tblLayout w:type="fixed"/>
        <w:tblCellMar>
          <w:top w:w="28" w:type="dxa"/>
          <w:left w:w="28" w:type="dxa"/>
          <w:bottom w:w="28" w:type="dxa"/>
          <w:right w:w="28" w:type="dxa"/>
        </w:tblCellMar>
      </w:tblPr>
      <w:tblGrid>
        <w:gridCol w:w="344"/>
        <w:gridCol w:w="263"/>
        <w:gridCol w:w="264"/>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76"/>
        <w:gridCol w:w="280"/>
        <w:gridCol w:w="256"/>
        <w:gridCol w:w="109"/>
        <w:gridCol w:w="109"/>
        <w:gridCol w:w="109"/>
        <w:gridCol w:w="196"/>
        <w:gridCol w:w="871"/>
        <w:gridCol w:w="109"/>
        <w:gridCol w:w="109"/>
        <w:gridCol w:w="109"/>
        <w:gridCol w:w="109"/>
        <w:gridCol w:w="196"/>
        <w:gridCol w:w="871"/>
        <w:gridCol w:w="109"/>
        <w:gridCol w:w="109"/>
        <w:gridCol w:w="109"/>
        <w:gridCol w:w="109"/>
        <w:gridCol w:w="196"/>
        <w:gridCol w:w="661"/>
        <w:gridCol w:w="109"/>
        <w:gridCol w:w="109"/>
        <w:gridCol w:w="109"/>
        <w:gridCol w:w="109"/>
        <w:gridCol w:w="276"/>
        <w:gridCol w:w="280"/>
        <w:gridCol w:w="256"/>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Lease portfolio value</w:t>
            </w:r>
            <w:r>
              <w:rPr>
                <w:rFonts w:ascii="Times New Roman;serif" w:hAnsi="Times New Roman;serif"/>
                <w:b w:val="false"/>
                <w:color w:val="000000"/>
                <w:sz w:val="12"/>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Same store lease portfolio value</w:t>
            </w:r>
            <w:r>
              <w:rPr>
                <w:rFonts w:ascii="Times New Roman;serif" w:hAnsi="Times New Roman;serif"/>
                <w:b w:val="false"/>
                <w:color w:val="000000"/>
                <w:sz w:val="12"/>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Change in same store revenue</w:t>
            </w:r>
            <w:r>
              <w:rPr>
                <w:rFonts w:ascii="Times New Roman;serif" w:hAnsi="Times New Roman;serif"/>
                <w:b w:val="false"/>
                <w:color w:val="000000"/>
                <w:sz w:val="12"/>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Stores in same store revenue calculation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See Key Metrics described above for additional information.</w:t>
      </w:r>
    </w:p>
    <w:p>
      <w:pPr>
        <w:pStyle w:val="TextBody"/>
        <w:bidi w:val="0"/>
        <w:spacing w:lineRule="auto" w:line="288" w:before="120" w:after="283"/>
        <w:jc w:val="both"/>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The decrease in revenues for the three and nine months ended September 30, 2025, as compared to the three and nine months ended September 30, 2024, was primarily due to decreases in same store sales of 3.6% and 3.2%, respectively, resulting from certain underwriting adjustments implemented in prior periods. In addition, the decrease in revenue for the nine months ended September 30, 2025 was also driven by lower corporate-owned store count due to prior year store closures.</w:t>
      </w:r>
    </w:p>
    <w:p>
      <w:pPr>
        <w:pStyle w:val="TextBody"/>
        <w:bidi w:val="0"/>
        <w:spacing w:lineRule="auto" w:line="288" w:before="120" w:after="283"/>
        <w:jc w:val="both"/>
        <w:rPr/>
      </w:pPr>
      <w:r>
        <w:rPr>
          <w:rFonts w:ascii="Times New Roman;serif" w:hAnsi="Times New Roman;serif"/>
          <w:b w:val="false"/>
          <w:i/>
          <w:color w:val="000000"/>
          <w:sz w:val="20"/>
        </w:rPr>
        <w:t>Gross Profit.</w:t>
      </w:r>
      <w:r>
        <w:rPr>
          <w:color w:val="000000"/>
        </w:rPr>
        <w:t> </w:t>
      </w:r>
      <w:r>
        <w:rPr>
          <w:rFonts w:ascii="Times New Roman;serif" w:hAnsi="Times New Roman;serif"/>
          <w:b w:val="false"/>
          <w:color w:val="000000"/>
          <w:sz w:val="20"/>
        </w:rPr>
        <w:t>Gross profit decreased for the three and nine months ended September 30, 2025, as compared to the three and nine months ended September 30, 2024, driven primarily by the decrease in revenues described above. Gross profit as a percentage of segment revenues was 68.1% and 67.3% for the three and nine months ended September 30, 2025, respectively, as compared to 66.9% and 67.0% for the three and nine months ended September 30, 2024, respectively. Higher gross profit as a percentage of revenues for the three months ended September 30, 2025 was primarily due to mix-shift changes between lease merchandise product categories.</w:t>
      </w:r>
    </w:p>
    <w:p>
      <w:pPr>
        <w:pStyle w:val="TextBody"/>
        <w:bidi w:val="0"/>
        <w:spacing w:lineRule="auto" w:line="288" w:before="120" w:after="283"/>
        <w:jc w:val="both"/>
        <w:rPr/>
      </w:pPr>
      <w:r>
        <w:rPr>
          <w:rFonts w:ascii="Times New Roman;serif" w:hAnsi="Times New Roman;serif"/>
          <w:b w:val="false"/>
          <w:i/>
          <w:color w:val="000000"/>
          <w:sz w:val="20"/>
        </w:rPr>
        <w:t>Operating Profit.</w:t>
      </w:r>
      <w:r>
        <w:rPr>
          <w:color w:val="000000"/>
        </w:rPr>
        <w:t> </w:t>
      </w:r>
      <w:r>
        <w:rPr>
          <w:rFonts w:ascii="Times New Roman;serif" w:hAnsi="Times New Roman;serif"/>
          <w:b w:val="false"/>
          <w:color w:val="000000"/>
          <w:sz w:val="20"/>
        </w:rPr>
        <w:t>Operating profit as a percentage of segment revenues was 12.2% and 13.1% for the three and nine months ended September 30, 2025, respectively, compared to 15.1% and 14.9% for the three and nine months ended September 30, 2024, respectively. The decrease in operating profit margin for the three and nine months ended September 30, 2025, as compared to the three and nine months ended September 30, 2024, was primarily due to an increase in other gains and charges of $12.5 million and $6.5 million for the three and nine months ended September 30, 2025, respectively, primarily due to impairment charges and shutdown costs related to closure of refranchised locations. The decrease in operating profit margin for the nine months ended September 30, 2025 was also attributable to an increase in general and administrative expenses of $10.6 million, primarily driven by increases in the allowance for doubtful accounts related to franchising trade receivables. Merchandise losses in our Rent-A-Center lease-to-own stores due to LCOs, expressed as a percentage of Rent-A-Center lease-to-own revenues, were approximately 4.7% for both the three and nine months ended September 30, 2025, compared to 4.9% and 4.6% for the three and nine months ended September 30, 2024, respectively. Merchandise losses in our Rent-A-Center lease-to-own stores due to other merchandise losses, expressed as a percentage of Rent-A-Center lease-to-own revenues, were approximately 1.0% and 0.9% for the three and nine months ended September 30, 2025, respectively, compared to approximately 1.3% for both the three and nine months ended September 30, 2024. Other merchandise losses include unrepairable and missing merchandise and loss/damage waiver claims.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Brigit segment</w:t>
      </w:r>
    </w:p>
    <w:tbl>
      <w:tblPr>
        <w:tblW w:w="10205" w:type="dxa"/>
        <w:jc w:val="left"/>
        <w:tblInd w:w="0" w:type="dxa"/>
        <w:tblLayout w:type="fixed"/>
        <w:tblCellMar>
          <w:top w:w="28" w:type="dxa"/>
          <w:left w:w="28" w:type="dxa"/>
          <w:bottom w:w="28" w:type="dxa"/>
          <w:right w:w="28" w:type="dxa"/>
        </w:tblCellMar>
      </w:tblPr>
      <w:tblGrid>
        <w:gridCol w:w="652"/>
        <w:gridCol w:w="574"/>
        <w:gridCol w:w="576"/>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10"/>
        <w:gridCol w:w="110"/>
        <w:gridCol w:w="111"/>
        <w:gridCol w:w="109"/>
        <w:gridCol w:w="109"/>
        <w:gridCol w:w="109"/>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110"/>
        <w:gridCol w:w="110"/>
        <w:gridCol w:w="157"/>
      </w:tblGrid>
      <w:tr>
        <w:trPr/>
        <w:tc>
          <w:tcPr>
            <w:tcW w:w="6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 amounts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Brigit paying users</w:t>
            </w:r>
            <w:r>
              <w:rPr>
                <w:rFonts w:ascii="Times New Roman;serif" w:hAnsi="Times New Roman;serif"/>
                <w:b w:val="false"/>
                <w:color w:val="000000"/>
                <w:sz w:val="12"/>
              </w:rPr>
              <w:t>(1)</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See Key Metrics described above for additional information.</w:t>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nm - percent change is not meaningful for comparison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Revenues for the three and nine months ended September 30, 2025 included $39.2 million and $99.5 million in subscription revenue, $12.4 million and $29.0 million in transfer fee revenue and $6.1 million and $12.9 million in marketplace revenue, respectively.</w:t>
      </w:r>
    </w:p>
    <w:p>
      <w:pPr>
        <w:pStyle w:val="TextBody"/>
        <w:bidi w:val="0"/>
        <w:spacing w:lineRule="auto" w:line="288" w:before="120" w:after="283"/>
        <w:jc w:val="both"/>
        <w:rPr/>
      </w:pPr>
      <w:r>
        <w:rPr>
          <w:rFonts w:ascii="Times New Roman;serif" w:hAnsi="Times New Roman;serif"/>
          <w:b w:val="false"/>
          <w:i/>
          <w:color w:val="000000"/>
          <w:sz w:val="20"/>
        </w:rPr>
        <w:t>Gross Profit.</w:t>
      </w:r>
      <w:r>
        <w:rPr>
          <w:color w:val="000000"/>
        </w:rPr>
        <w:t> </w:t>
      </w:r>
      <w:r>
        <w:rPr>
          <w:rFonts w:ascii="Times New Roman;serif" w:hAnsi="Times New Roman;serif"/>
          <w:b w:val="false"/>
          <w:color w:val="000000"/>
          <w:sz w:val="20"/>
        </w:rPr>
        <w:t>Gross profit as a percentage of segment revenues was 88.5% and 88.2% for the three and nine months ended September 30, 2025, respectively.</w:t>
      </w:r>
    </w:p>
    <w:p>
      <w:pPr>
        <w:pStyle w:val="TextBody"/>
        <w:bidi w:val="0"/>
        <w:spacing w:lineRule="auto" w:line="288" w:before="120" w:after="283"/>
        <w:jc w:val="both"/>
        <w:rPr/>
      </w:pPr>
      <w:r>
        <w:rPr>
          <w:rFonts w:ascii="Times New Roman;serif" w:hAnsi="Times New Roman;serif"/>
          <w:b w:val="false"/>
          <w:i/>
          <w:color w:val="000000"/>
          <w:sz w:val="20"/>
        </w:rPr>
        <w:t>Operating Profit.</w:t>
      </w:r>
      <w:r>
        <w:rPr>
          <w:color w:val="000000"/>
        </w:rPr>
        <w:t> </w:t>
      </w:r>
      <w:r>
        <w:rPr>
          <w:rFonts w:ascii="Times New Roman;serif" w:hAnsi="Times New Roman;serif"/>
          <w:b w:val="false"/>
          <w:color w:val="000000"/>
          <w:sz w:val="20"/>
        </w:rPr>
        <w:t xml:space="preserve">Operating profit as a percentage of segment revenues was 7.9% and 16.9% for the three and nine months ended September 30, 2025. The decrease in operating profit as a percentage of segment revenues for the three months ended September 30, 2025 compared to the nine months ended September 30, 2025 was primarily due to higher marketing and customer acquisition expenses during the three months ended September 30, 2025. Net advance losses expressed as a percentage of total cash advances originated was approximately 3.3% and 2.8% for the three and nine months ended September 30,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Please refer to Note 2 to our condensed consolidated financial statements included in this Quarterly Report on Form 10-Q for information about the acquisition of Brigit that was completed on January 31,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Mexico segment</w:t>
      </w:r>
    </w:p>
    <w:tbl>
      <w:tblPr>
        <w:tblW w:w="10205" w:type="dxa"/>
        <w:jc w:val="left"/>
        <w:tblInd w:w="0" w:type="dxa"/>
        <w:tblLayout w:type="fixed"/>
        <w:tblCellMar>
          <w:top w:w="28" w:type="dxa"/>
          <w:left w:w="28" w:type="dxa"/>
          <w:bottom w:w="28" w:type="dxa"/>
          <w:right w:w="28" w:type="dxa"/>
        </w:tblCellMar>
      </w:tblPr>
      <w:tblGrid>
        <w:gridCol w:w="364"/>
        <w:gridCol w:w="281"/>
        <w:gridCol w:w="282"/>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3"/>
        <w:gridCol w:w="233"/>
        <w:gridCol w:w="256"/>
        <w:gridCol w:w="109"/>
        <w:gridCol w:w="109"/>
        <w:gridCol w:w="109"/>
        <w:gridCol w:w="196"/>
        <w:gridCol w:w="646"/>
        <w:gridCol w:w="109"/>
        <w:gridCol w:w="109"/>
        <w:gridCol w:w="109"/>
        <w:gridCol w:w="109"/>
        <w:gridCol w:w="196"/>
        <w:gridCol w:w="646"/>
        <w:gridCol w:w="109"/>
        <w:gridCol w:w="109"/>
        <w:gridCol w:w="109"/>
        <w:gridCol w:w="109"/>
        <w:gridCol w:w="196"/>
        <w:gridCol w:w="572"/>
        <w:gridCol w:w="109"/>
        <w:gridCol w:w="109"/>
        <w:gridCol w:w="109"/>
        <w:gridCol w:w="109"/>
        <w:gridCol w:w="224"/>
        <w:gridCol w:w="197"/>
        <w:gridCol w:w="304"/>
      </w:tblGrid>
      <w:tr>
        <w:trPr/>
        <w:tc>
          <w:tcPr>
            <w:tcW w:w="36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 amounts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Change in same store revenue</w:t>
            </w:r>
            <w:r>
              <w:rPr>
                <w:rFonts w:ascii="Times New Roman;serif" w:hAnsi="Times New Roman;serif"/>
                <w:b w:val="false"/>
                <w:color w:val="000000"/>
                <w:sz w:val="12"/>
              </w:rPr>
              <w:t>(1)</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Stores in same store revenue calculation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See Key Metrics described above for additional information.</w:t>
      </w:r>
    </w:p>
    <w:p>
      <w:pPr>
        <w:pStyle w:val="TextBody"/>
        <w:bidi w:val="0"/>
        <w:spacing w:lineRule="auto" w:line="288" w:before="120" w:after="283"/>
        <w:jc w:val="both"/>
        <w:rPr/>
      </w:pPr>
      <w:r>
        <w:rPr>
          <w:rFonts w:ascii="Times New Roman;serif" w:hAnsi="Times New Roman;serif"/>
          <w:b w:val="false"/>
          <w:i/>
          <w:color w:val="000000"/>
          <w:sz w:val="20"/>
        </w:rPr>
        <w:t>Revenues.</w:t>
      </w:r>
      <w:r>
        <w:rPr>
          <w:color w:val="000000"/>
        </w:rPr>
        <w:t> </w:t>
      </w:r>
      <w:r>
        <w:rPr>
          <w:rFonts w:ascii="Times New Roman;serif" w:hAnsi="Times New Roman;serif"/>
          <w:b w:val="false"/>
          <w:color w:val="000000"/>
          <w:sz w:val="20"/>
        </w:rPr>
        <w:t>Exchange rate fluctuations positively impacted revenues by approximately $0.3 million for the three months ended September 30, 2025 and negatively impacted revenues by approximately $6.1 million for the nine months ended September 30, 2025, as compared to the three and nine months ended September 30, 2024. On a constant currency basis, revenues for the three and nine months ended September 30, 2025 increased approximately $1.4 million and $4.1 million, respectively, compared to the three and nine months ended September 30, 2024.</w:t>
      </w:r>
    </w:p>
    <w:p>
      <w:pPr>
        <w:pStyle w:val="TextBody"/>
        <w:bidi w:val="0"/>
        <w:spacing w:lineRule="auto" w:line="288" w:before="120" w:after="283"/>
        <w:jc w:val="both"/>
        <w:rPr/>
      </w:pPr>
      <w:r>
        <w:rPr>
          <w:rFonts w:ascii="Times New Roman;serif" w:hAnsi="Times New Roman;serif"/>
          <w:b w:val="false"/>
          <w:i/>
          <w:color w:val="000000"/>
          <w:sz w:val="20"/>
        </w:rPr>
        <w:t>Gross Profit.</w:t>
      </w:r>
      <w:r>
        <w:rPr>
          <w:color w:val="000000"/>
        </w:rPr>
        <w:t> </w:t>
      </w:r>
      <w:r>
        <w:rPr>
          <w:rFonts w:ascii="Times New Roman;serif" w:hAnsi="Times New Roman;serif"/>
          <w:b w:val="false"/>
          <w:color w:val="000000"/>
          <w:sz w:val="20"/>
        </w:rPr>
        <w:t>Exchange rate fluctuations positively impacted gross profit by approximately $0.1 million for the three months ended September 30, 2025 and negatively impacted gross profit by approximately $4.4 million for the nine months ended September 30, 2025, as compared to the three and nine months ended September 30, 2024. On a constant currency basis, gross profit for the three and nine months ended September 30, 2025 increased by approximately $0.9 million and $2.7 million, respectively, as compared to the three and nine months ended September 30, 2024. Gross profit as a percentage of segment revenues was 71.2% and 71.4% for the three and nine months ended September 30, 2025, respectively, compared to 72.1% and 71.8% for the three and nine months ended September 30, 2024, respectively.</w:t>
      </w:r>
    </w:p>
    <w:p>
      <w:pPr>
        <w:pStyle w:val="TextBody"/>
        <w:bidi w:val="0"/>
        <w:spacing w:lineRule="auto" w:line="288" w:before="120" w:after="283"/>
        <w:jc w:val="both"/>
        <w:rPr/>
      </w:pPr>
      <w:r>
        <w:rPr>
          <w:rFonts w:ascii="Times New Roman;serif" w:hAnsi="Times New Roman;serif"/>
          <w:b w:val="false"/>
          <w:i/>
          <w:color w:val="000000"/>
          <w:sz w:val="20"/>
        </w:rPr>
        <w:t>Operating Profit.</w:t>
      </w:r>
      <w:r>
        <w:rPr>
          <w:color w:val="000000"/>
        </w:rPr>
        <w:t> </w:t>
      </w:r>
      <w:r>
        <w:rPr>
          <w:rFonts w:ascii="Times New Roman;serif" w:hAnsi="Times New Roman;serif"/>
          <w:b w:val="false"/>
          <w:color w:val="000000"/>
          <w:sz w:val="20"/>
        </w:rPr>
        <w:t>Exchange rate fluctuations minimally impacted operating profit for the three months ended September 30, 2025 and negatively impacted operating profit by approximately $0.5 million for the nine months ended September 30, 2025, as compared to the three and nine months ended September 30, 2024. On a constant currency basis, operating profit for the three and nine months ended September 30, 2025 increased by approximately $0.4 million and $0.8 million, respectively, as compared to the three and nine months ended September 30, 2024. Operating profit as a percentage of segment revenues increased to 6.4% and 7.7% for the three and nine months ended September 30, 2025, respectively, compared to 4.6% and 6.8% for the three and nine months ended September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pPr>
      <w:r>
        <w:rPr>
          <w:rFonts w:ascii="Times New Roman;serif" w:hAnsi="Times New Roman;serif"/>
          <w:b w:val="false"/>
          <w:i/>
          <w:color w:val="000000"/>
          <w:sz w:val="20"/>
        </w:rPr>
        <w:t>Overview.</w:t>
      </w:r>
      <w:r>
        <w:rPr>
          <w:color w:val="000000"/>
        </w:rPr>
        <w:t xml:space="preserve"> </w:t>
      </w:r>
      <w:r>
        <w:rPr>
          <w:rFonts w:ascii="Times New Roman;serif" w:hAnsi="Times New Roman;serif"/>
          <w:b w:val="false"/>
          <w:color w:val="000000"/>
          <w:sz w:val="20"/>
        </w:rPr>
        <w:t>For the nine months ended September 30, 2025, we generated $264.0 million in operating cash flow, used cash in the amount of $444.4 million for debt repayments, $278.0 million for acquisitions, $65.7 million for dividends, $49.3 million for capital expenditures, and $47.7 million for customer cash advance originations net of collections, and had cash proceeds from indebtedness of $681.0 million. We ended the third quarter of 2025 with $107.0 million of cash and cash equivalents and outstanding indebtedness of $1.6 billion.</w:t>
      </w:r>
    </w:p>
    <w:p>
      <w:pPr>
        <w:pStyle w:val="TextBody"/>
        <w:bidi w:val="0"/>
        <w:spacing w:lineRule="auto" w:line="288" w:before="120" w:after="283"/>
        <w:jc w:val="both"/>
        <w:rPr/>
      </w:pPr>
      <w:r>
        <w:rPr>
          <w:rFonts w:ascii="Times New Roman;serif" w:hAnsi="Times New Roman;serif"/>
          <w:b w:val="false"/>
          <w:i/>
          <w:color w:val="000000"/>
          <w:sz w:val="20"/>
        </w:rPr>
        <w:t>Analysis of Cash Flow.</w:t>
      </w:r>
      <w:r>
        <w:rPr>
          <w:color w:val="000000"/>
        </w:rPr>
        <w:t xml:space="preserve"> </w:t>
      </w:r>
      <w:r>
        <w:rPr>
          <w:rFonts w:ascii="Times New Roman;serif" w:hAnsi="Times New Roman;serif"/>
          <w:b w:val="false"/>
          <w:color w:val="000000"/>
          <w:sz w:val="20"/>
        </w:rPr>
        <w:t>Cash provided by operating activities increased by $97.3 million to $264.0 million for the nine months ended September 30, 2025, from $166.7 million for the nine months ended September 30, 2024, primarily due to an increase of approximately $153.0 million in cash provided by net earnings (net earnings less adjustments to reconcile net earnings to net cash provided by operating activities), which was benefited by $23.9 million in operating income generated by the Brigit operating segment following the acquisition; a year-over-year decrease of approximately $67.9 million in payments of outstanding inventory and trade payables primarily due to higher payments of outstanding inventory payables made in early 2024; and a decrease in legal settlement payments due to the 2024 settlement payment of approximately $8.8 million related to the Massachusetts Attorney General matter. These impacts were partially offset by higher inventory purchases of approximately $186.0 million, net of approximately $70.9 million of customer lease buyouts through early purchase options, lease charge-offs, and other merchandise losses, driven by increased consumer demand.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increased by $347.6 million to $374.9 million for the nine months ended September 30, 2025, compared to $27.3 million for the nine months ended September 30, 2024, primarily due to payment of cash consideration for the acquisition of Brigit of $275.9 million and $47.7 million for customer cash advance originations net of collections, in addition to higher proceeds from sale of property assets of $18.3 million for the nine months ended September 30, 2024 resulting from the sale of 55 Rent-A-Center stores in the states of New York and New Jersey to a franchisee.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(used in) financing activities increased by $301.9 million to $156.0 million for the nine months ended September 30, 2025, compared to $(145.9) million for the nine months ended September 30, 2024, primarily due to an increase in borrowings under the ABL Credit Facility of $466.0 million, used to facilitate the Brigit acquisition, partially offset by an increase in debt repayments of $152.8 million for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val="false"/>
          <w:i/>
          <w:color w:val="000000"/>
          <w:sz w:val="20"/>
        </w:rPr>
        <w:t>Liquidity Requirements</w:t>
      </w:r>
      <w:r>
        <w:rPr>
          <w:rFonts w:ascii="Times New Roman;serif" w:hAnsi="Times New Roman;serif"/>
          <w:b w:val="false"/>
          <w:color w:val="000000"/>
          <w:sz w:val="20"/>
        </w:rPr>
        <w:t>. Our primary liquidity requirements are for rental merchandise purchases in our Rent-A-Center and Acima segments, which are impacted by consumer demand for our lease-to-own solutions, and customer advances in our Brigit segment. Other capital requirements include expenditures for technology and property assets, and debt service. Our primary source of liquidity has been cash provided by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generally utilize our ABL Credit Facility for the issuance of letters of credit, to manage normal fluctuations in operational cash flow caused by the timing of cash payments vs cash receipts, and to potentially fund strategic initiatives including acquisitions.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October 23, 2025, we had approximately $76.0 million in cash on hand, and $222.0 million available under our ABL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val="false"/>
          <w:i/>
          <w:color w:val="000000"/>
          <w:sz w:val="20"/>
        </w:rPr>
        <w:t>Merchandise Losses</w:t>
      </w:r>
      <w:r>
        <w:rPr>
          <w:rFonts w:ascii="Times New Roman;serif" w:hAnsi="Times New Roman;serif"/>
          <w:b w:val="false"/>
          <w:color w:val="000000"/>
          <w:sz w:val="20"/>
        </w:rPr>
        <w:t>. Merchandise losses consist of the following:</w:t>
      </w:r>
    </w:p>
    <w:tbl>
      <w:tblPr>
        <w:tblW w:w="7997" w:type="dxa"/>
        <w:jc w:val="left"/>
        <w:tblInd w:w="0" w:type="dxa"/>
        <w:tblLayout w:type="fixed"/>
        <w:tblCellMar>
          <w:top w:w="28" w:type="dxa"/>
          <w:left w:w="28" w:type="dxa"/>
          <w:bottom w:w="28" w:type="dxa"/>
          <w:right w:w="28" w:type="dxa"/>
        </w:tblCellMar>
      </w:tblPr>
      <w:tblGrid>
        <w:gridCol w:w="842"/>
        <w:gridCol w:w="740"/>
        <w:gridCol w:w="743"/>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charge-offs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merchandise losses</w:t>
            </w:r>
            <w:r>
              <w:rPr>
                <w:rFonts w:ascii="Times New Roman;serif" w:hAnsi="Times New Roman;serif"/>
                <w:b w:val="false"/>
                <w:color w:val="000000"/>
                <w:sz w:val="13"/>
              </w:rPr>
              <w:t>(1)</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merchandise losses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Arial;sans-serif" w:hAnsi="Arial;sans-serif"/>
          <w:b w:val="false"/>
          <w:color w:val="000000"/>
          <w:sz w:val="9"/>
        </w:rPr>
        <w:t>(1)</w:t>
      </w:r>
      <w:r>
        <w:rPr>
          <w:rFonts w:ascii="Times New Roman;serif" w:hAnsi="Times New Roman;serif"/>
          <w:b w:val="false"/>
          <w:color w:val="000000"/>
          <w:sz w:val="14"/>
        </w:rPr>
        <w:t>Other merchandise losses include unrepairable and missing merchandise, and loss/damage waiver claims.</w:t>
      </w:r>
    </w:p>
    <w:p>
      <w:pPr>
        <w:pStyle w:val="TextBody"/>
        <w:bidi w:val="0"/>
        <w:spacing w:lineRule="auto" w:line="288" w:before="120" w:after="283"/>
        <w:jc w:val="both"/>
        <w:rPr/>
      </w:pPr>
      <w:r>
        <w:rPr>
          <w:rFonts w:ascii="Times New Roman;serif" w:hAnsi="Times New Roman;serif"/>
          <w:b w:val="false"/>
          <w:i/>
          <w:color w:val="000000"/>
          <w:sz w:val="20"/>
        </w:rPr>
        <w:t>Capital Expenditures</w:t>
      </w:r>
      <w:r>
        <w:rPr>
          <w:rFonts w:ascii="Times New Roman;serif" w:hAnsi="Times New Roman;serif"/>
          <w:b w:val="false"/>
          <w:color w:val="000000"/>
          <w:sz w:val="20"/>
        </w:rPr>
        <w:t>. We make capital expenditures in order to maintain our existing operations, acquire new capital assets in new and acquired stores and invest in information technology. We spent $49.3 million and $44.2 million on capital expenditures during the nine months ended September 30, 2025 and 2024, respectively. The increase of $5.1 million is primarily due to higher investment in software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val="false"/>
          <w:i/>
          <w:color w:val="000000"/>
          <w:sz w:val="20"/>
        </w:rPr>
        <w:t>Acquisitions and New Location Openings.</w:t>
      </w:r>
      <w:r>
        <w:rPr>
          <w:color w:val="000000"/>
        </w:rPr>
        <w:t xml:space="preserve"> </w:t>
      </w:r>
      <w:r>
        <w:rPr>
          <w:rFonts w:ascii="Times New Roman;serif" w:hAnsi="Times New Roman;serif"/>
          <w:b w:val="false"/>
          <w:color w:val="000000"/>
          <w:sz w:val="20"/>
        </w:rPr>
        <w:t>During the nine months ended September 30, 2025, we acquired four lease-to-own store locations and customer accounts for an aggregate purchase price of approximately $2.2 million. One store location was closed upon acquisition and consolidated into existing store operations in our Rent-A-Center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store location activity for the nine-month period ended September 30, 2025 for our Rent-A-Center and Mexico operating segments.</w:t>
      </w:r>
    </w:p>
    <w:tbl>
      <w:tblPr>
        <w:tblW w:w="9659" w:type="dxa"/>
        <w:jc w:val="left"/>
        <w:tblInd w:w="0" w:type="dxa"/>
        <w:tblLayout w:type="fixed"/>
        <w:tblCellMar>
          <w:top w:w="28" w:type="dxa"/>
          <w:left w:w="28" w:type="dxa"/>
          <w:bottom w:w="28" w:type="dxa"/>
          <w:right w:w="28" w:type="dxa"/>
        </w:tblCellMar>
      </w:tblPr>
      <w:tblGrid>
        <w:gridCol w:w="2135"/>
        <w:gridCol w:w="1876"/>
        <w:gridCol w:w="1883"/>
        <w:gridCol w:w="267"/>
        <w:gridCol w:w="780"/>
        <w:gridCol w:w="139"/>
        <w:gridCol w:w="109"/>
        <w:gridCol w:w="109"/>
        <w:gridCol w:w="109"/>
        <w:gridCol w:w="211"/>
        <w:gridCol w:w="406"/>
        <w:gridCol w:w="109"/>
        <w:gridCol w:w="109"/>
        <w:gridCol w:w="109"/>
        <w:gridCol w:w="109"/>
        <w:gridCol w:w="109"/>
        <w:gridCol w:w="109"/>
        <w:gridCol w:w="211"/>
        <w:gridCol w:w="616"/>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Rent-A-Center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Locations at beginning of period</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location openings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locations remaining open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Closed locations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Merged with existing locations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Sold or closed with no surviving location</w:t>
            </w:r>
            <w:r>
              <w:rPr>
                <w:rFonts w:ascii="Times New Roman;serif" w:hAnsi="Times New Roman;serif"/>
                <w:b w:val="false"/>
                <w:color w:val="000000"/>
                <w:sz w:val="13"/>
              </w:rPr>
              <w:t>(1)</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Locations at end of period</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Acquired locations closed and accounts merged with existing locations</w:t>
            </w:r>
          </w:p>
        </w:tc>
        <w:tc>
          <w:tcPr>
            <w:tcW w:w="10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Total approximate purchase price of acquired stores</w:t>
            </w:r>
            <w:r>
              <w:rPr>
                <w:color w:val="000000"/>
              </w:rPr>
              <w:t xml:space="preserve"> </w:t>
            </w:r>
            <w:r>
              <w:rPr>
                <w:rFonts w:ascii="Times New Roman;serif" w:hAnsi="Times New Roman;serif"/>
                <w:b w:val="false"/>
                <w:i/>
                <w:color w:val="000000"/>
                <w:sz w:val="20"/>
              </w:rPr>
              <w:t>(in thousands)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6"/>
        </w:rPr>
        <w:t>Represents closure of Rent-A-Center franchisee store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val="false"/>
          <w:i/>
          <w:color w:val="000000"/>
          <w:sz w:val="20"/>
        </w:rPr>
        <w:t>Senior Debt.</w:t>
      </w:r>
      <w:r>
        <w:rPr>
          <w:color w:val="000000"/>
        </w:rPr>
        <w:t xml:space="preserve"> </w:t>
      </w:r>
      <w:r>
        <w:rPr>
          <w:rFonts w:ascii="Times New Roman;serif" w:hAnsi="Times New Roman;serif"/>
          <w:b w:val="false"/>
          <w:color w:val="000000"/>
          <w:sz w:val="20"/>
        </w:rPr>
        <w:t>On February 17, 2021, we entered into a credit agreement with JPMorgan Chase Bank, N.A., as administrative agent, and lenders party 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amended on August 29, 2025,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The ABL Credit Facility bears interest at a fluctuating rate determined by reference to an adjusted Term SOFR rate plus an applicable margin of 1.50% to 2.00%, which, as of October 23, 2025, was 6.23%.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June 7, 2029 (subject to certain springing maturity provisions), at which time all amounts borrowed must be repaid.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17, 2021, we also entered into a term loan credit agreement with JPMorgan Chase Bank, N.A., as administrative agent, and lenders party thereto, that provides for a seven-year $875 million senior secured term loan facility (as amended on August 19, 2025, the “Term Loan Facility”). Subject in each case to certain restrictions and conditions, we may add up to $625 million (plus additional amounts subject to satisfaction of certain financial ratios)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2.75%, subject to a 0.50% Term SOFR floor, which, as of October 23, 2025 was 6.88%.</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Term Loan Facility amortize in equal quarterly installments in an amount equal to 1.000% per annum of the original aggregate principal amount thereof, with the remaining balance due at final maturity on August 19, 2032.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October 23, 2025, we had outstanding borrowings of $875.0 million under the Term Loan Facility and available commitments of $222.0 million under our ABL Credit Facility, net of letters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6 of our condensed consolidated financial statements included in this Quarterly Report on Form 10-Q for additional information regarding our senior debt.</w:t>
      </w:r>
    </w:p>
    <w:p>
      <w:pPr>
        <w:pStyle w:val="TextBody"/>
        <w:bidi w:val="0"/>
        <w:spacing w:lineRule="auto" w:line="288" w:before="120" w:after="283"/>
        <w:jc w:val="both"/>
        <w:rPr/>
      </w:pPr>
      <w:r>
        <w:rPr>
          <w:rFonts w:ascii="Times New Roman;serif" w:hAnsi="Times New Roman;serif"/>
          <w:b w:val="false"/>
          <w:i/>
          <w:color w:val="000000"/>
          <w:sz w:val="20"/>
        </w:rPr>
        <w:t>Senior Notes</w:t>
      </w:r>
      <w:r>
        <w:rPr>
          <w:rFonts w:ascii="Times New Roman;serif" w:hAnsi="Times New Roman;serif"/>
          <w:b w:val="false"/>
          <w:color w:val="000000"/>
          <w:sz w:val="20"/>
        </w:rPr>
        <w:t>. On February 17, 2021, we issued $450 million in senior unsecured notes due February 15, 2029, at par value, bearing interest at 6.375% (the “Notes”). Interest on the Notes is payable 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7 of our condensed consolidated financial statements included in this Quarterly Report on Form 10-Q for additional information regarding our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val="false"/>
          <w:i/>
          <w:color w:val="000000"/>
          <w:sz w:val="20"/>
        </w:rPr>
        <w:t>Operating Leases</w:t>
      </w:r>
      <w:r>
        <w:rPr>
          <w:rFonts w:ascii="Times New Roman;serif" w:hAnsi="Times New Roman;serif"/>
          <w:b w:val="false"/>
          <w:color w:val="000000"/>
          <w:sz w:val="20"/>
        </w:rPr>
        <w:t>. We lease space for all of our Rent-A-Center and Mexico stores under operating leases expiring at various times through 2036. In 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agreed-upon formulas. As of September 30, 2025, our total remaining obligation for existing store lease contracts was approximately $338.0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September 30, 2025, our total remaining minimum obligation for existing Rent-A-Center vehicle lease contracts was approximately $3.5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lease vehicles for all of our Mexico stores which have terms expiring at various times through 2029 with rental rates adjusted periodically for inflation. As of September 30, 2025, our total remaining obligation for existing Mexico vehicle lease contracts was approximately $3.4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val="false"/>
          <w:i/>
          <w:color w:val="000000"/>
          <w:sz w:val="20"/>
        </w:rPr>
        <w:t>Uncertain Tax Position.</w:t>
      </w:r>
      <w:r>
        <w:rPr>
          <w:color w:val="000000"/>
        </w:rPr>
        <w:t xml:space="preserve"> </w:t>
      </w:r>
      <w:r>
        <w:rPr>
          <w:rFonts w:ascii="Times New Roman;serif" w:hAnsi="Times New Roman;serif"/>
          <w:b w:val="false"/>
          <w:color w:val="000000"/>
          <w:sz w:val="20"/>
        </w:rPr>
        <w:t>As of September 30, 2025, we have recorded $0.4 million in uncertain tax positions. Although these positions represent a potential future cash liability to us, the amounts and timing of such payments are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val="false"/>
          <w:i/>
          <w:color w:val="000000"/>
          <w:sz w:val="20"/>
        </w:rPr>
        <w:t>Seasonality.</w:t>
      </w:r>
      <w:r>
        <w:rPr>
          <w:color w:val="000000"/>
        </w:rPr>
        <w:t xml:space="preserve"> </w:t>
      </w:r>
      <w:r>
        <w:rPr>
          <w:rFonts w:ascii="Times New Roman;serif" w:hAnsi="Times New Roman;serif"/>
          <w:b w:val="false"/>
          <w:color w:val="000000"/>
          <w:sz w:val="20"/>
        </w:rPr>
        <w:t>Our revenue mix is moderately seasonal, with the first quarter of each fiscal year generally providing higher sales than any other quarter during a fiscal year. Generally, our customers will 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new tabular disclosures disaggregating prescribed expense categories within relevant income statement captions. In January 2025, the FASB issued ASU 2025-01, which clarifies the effective date for ASU No. 2024-03. The adoption of ASU 2024-03 will be required for us for annual reporting periods beginning after December 15, 2026 and interim reporting periods beginning after December 15, 2027. We are currently in the preliminary stages of assessing this ASU and the impact it will have on our financial statements following adoption.</w:t>
      </w:r>
    </w:p>
    <w:p>
      <w:pPr>
        <w:pStyle w:val="TextBody"/>
        <w:bidi w:val="0"/>
        <w:spacing w:lineRule="auto" w:line="288" w:before="120" w:after="283"/>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w:t>
      </w:r>
      <w:r>
        <w:rPr>
          <w:rFonts w:ascii="Times New Roman;serif" w:hAnsi="Times New Roman;serif"/>
          <w:b w:val="false"/>
          <w:color w:val="000000"/>
          <w:sz w:val="20"/>
        </w:rPr>
        <w:t>, which amends the existing standard that refers to estimating expected credit losses on current accounts receivables and current contract assets arising from transactions under Topic 606. Under the new standard, public business entities may elect a practical expedient that assumes the current conditions as of the balance sheet date do not change for the remaining life of the asset when estimating expected credit losses. The adoption of ASU 2025-05 will be required for us for annual reporting periods beginning after December 15, 2025 and interim reporting periods within those annual reporting periods. We are currently in the preliminary stages of assessing this ASU and the impact it will have on our financial statements following adoption.</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w:t>
      </w:r>
      <w:r>
        <w:rPr>
          <w:rFonts w:ascii="Times New Roman;serif" w:hAnsi="Times New Roman;serif"/>
          <w:b w:val="false"/>
          <w:color w:val="000000"/>
          <w:sz w:val="20"/>
        </w:rPr>
        <w:t xml:space="preserve">, which amends the existing standard that refers to various stages of a software development. Under the new standard, entities will start capitalizing eligible costs when management has authorized and committed to funding the software project, and it is probable that the project will be completed and the software will be used to perform the function intended. The adoption of ASU 2025-06 will be required for us for annual reporting periods beginning after December 15, 2027 and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reporting periods within those annual reporting periods. We are currently in the preliminary stages of assessing this ASU and the impact it will have on our financial statements following adoption.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or other standards setting bodies that we adopt as of the specified effective date. As of September 30, 2025, unless otherwise discussed (including with respect to ASU 2023-07), we believe the impact of any other recently issued standards that are not yet effective are either not applicable to us at this time, or will not have a material impact on our consolidated financial statements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$450 million in Notes outstanding at a fixed interest rate of 6.375%. We also had $875.0 million outstanding under the Term Loan Facility and $239.0 million outstanding under our ABL Credit Facility, each at interest rates indexed to the Term SOFR rate or the prime rate. Carrying value of the Term Loan Facility and ABL Credit Facility approximates fair value for such indebtedness. Based on our overall interest rate exposure at September 30, 2025, a hypothetical 1.0% increase or decrease in market interest rates would have the effect of causing an additional $11.1 million annualized pre-tax charge or credit to our Condensed Consolidated Statements of Operations. We have not entered into any interest rate swap agreements as of September 30, 2025.</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Foreign Currency Translation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also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4.</w:t>
      </w:r>
      <w:r>
        <w:rPr>
          <w:color w:val="000000"/>
        </w:rPr>
        <w:t> </w:t>
      </w:r>
      <w:r>
        <w:rPr>
          <w:rFonts w:ascii="Times New Roman;serif" w:hAnsi="Times New Roman;serif"/>
          <w:b/>
          <w:color w:val="000000"/>
          <w:sz w:val="20"/>
        </w:rPr>
        <w:t>Controls and Procedures.</w:t>
      </w:r>
    </w:p>
    <w:p>
      <w:pPr>
        <w:pStyle w:val="TextBody"/>
        <w:bidi w:val="0"/>
        <w:spacing w:lineRule="auto" w:line="288" w:before="120" w:after="283"/>
        <w:jc w:val="both"/>
        <w:rPr/>
      </w:pPr>
      <w:r>
        <w:rPr>
          <w:rFonts w:ascii="Times New Roman;serif" w:hAnsi="Times New Roman;serif"/>
          <w:b w:val="false"/>
          <w:i/>
          <w:color w:val="000000"/>
          <w:sz w:val="20"/>
        </w:rPr>
        <w:t>Disclosure Controls and Procedures</w:t>
      </w:r>
      <w:r>
        <w:rPr>
          <w:rFonts w:ascii="Times New Roman;serif" w:hAnsi="Times New Roman;serif"/>
          <w:b w:val="false"/>
          <w:color w:val="000000"/>
          <w:sz w:val="20"/>
        </w:rPr>
        <w:t>. 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September 30, 2025, our disclosure controls and procedures (as defined in Rules 13a–15(e) and 15d–15(e) under the Securities Exchange Act of 1934) were effective.</w:t>
      </w:r>
    </w:p>
    <w:p>
      <w:pPr>
        <w:pStyle w:val="TextBody"/>
        <w:bidi w:val="0"/>
        <w:spacing w:lineRule="auto" w:line="288" w:before="120" w:after="283"/>
        <w:jc w:val="both"/>
        <w:rPr/>
      </w:pPr>
      <w:r>
        <w:rPr>
          <w:rFonts w:ascii="Times New Roman;serif" w:hAnsi="Times New Roman;serif"/>
          <w:b w:val="false"/>
          <w:i/>
          <w:color w:val="000000"/>
          <w:sz w:val="20"/>
        </w:rPr>
        <w:t>Changes in Internal Controls over Financial Reporting</w:t>
      </w:r>
      <w:r>
        <w:rPr>
          <w:rFonts w:ascii="Times New Roman;serif" w:hAnsi="Times New Roman;serif"/>
          <w:b w:val="false"/>
          <w:color w:val="000000"/>
          <w:sz w:val="20"/>
        </w:rPr>
        <w:t>. On January 31 2025, we acquired Brigit. We are currently in the process of integrating Brigit into our assessment of our internal control over financial reporting. Management’s assessment and conclusions on the effectiveness of our disclosure controls and procedures as of September 30, 2025 excludes an assessment of the internal control over financial reporting of Brigit.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quarter ended September 30, 2025,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Given the nature of our businesses and the heavily regulated industries in which we operate, we, along with our subsidiaries, are party to various legal proceedings and governmental inquiries and investigations. Certain legal proceedings and governmental inquiries and investigations involving us or our subsidiaries are described herein. In addition to the matters described herein, we are also party to other legal proceedings and governmental inquiries and investigations involving us or our subsidiaries that we believe, based on our current knowledge, will not have a material adverse effect on our business or our consolidated results of operations, financial condition or liquidity, including arbitrations, litigation, putative class actions and other matters alleging various types of claims, including those based on consumer regulatory, contract, labor and employment and other alleged claims. However, in light of the uncertainties involved in such matters, including the fact that some pending legal proceedings are at preliminary stages or seek an indeterminate amount of damages, penalties, fines or other relief, it is possible that the outcome of one or more legal proceedings could have a material adverse impact on our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monitor developments related to our legal proceedings and governmental inquiries and investigations,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these matters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cannot predict the ultimate resolution of our pending legal proceedings, governmental inquiries and investigations (which include, but are not limited to, the matters discussed herein) and, therefore, other than with respect to the pending class settlement payment amount for the McBurnie litigation described herein, are unable to estimate a range of losses related to these matters that may be reasonably possible to occur. Please see Note 12 of our condensed consolidated financial statements included in this Quarterly Report on Form 10-Q for additional discussion of certain of our legal proceedings and governmental inquiries.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Item 1A of Part 1, “Risk Factors”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intended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Item 6.</w:t>
      </w:r>
      <w:r>
        <w:rPr>
          <w:color w:val="000000"/>
        </w:rPr>
        <w:t> </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353"/>
        <w:gridCol w:w="310"/>
        <w:gridCol w:w="311"/>
        <w:gridCol w:w="3097"/>
        <w:gridCol w:w="2877"/>
        <w:gridCol w:w="2882"/>
        <w:gridCol w:w="109"/>
        <w:gridCol w:w="109"/>
        <w:gridCol w:w="157"/>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Articles of Incorporation and Bylaws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Restated Certificate of Incorporation of the registrant, dated as of December 5, 2024 (incorporated herein by reference to Exhibit 3.1 to the registrant’s Registration Statement on Form S-3 dated as of February 20,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the registrant (incorporated herein by reference to Exhibit 10.3 to the registrant’s Current Report on Form 8-K dated as of June 4,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Correction to the Certificate of Elimination of the Series A Preferred Stock of the registrant, dated June 4, 2024 (incorporated herein by reference to Exhibit 10.2 to the registrant’s Current Report on Form 8-K dated as of June 5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Instruments Defining the Rights of Security Holders, Including Indentures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Description of the registrant’s Common Stock (incorporated herein by reference to Exhibit 4.1 to the registrant’s Registration Statement on Form S-3 dated as of February 20,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Form of Certificate evidencing Common Stock (incorporated herein by reference to Exhibit 4.6 to the registrant’s Registration Statement on Form S-8 dated as of June 7,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Indenture, dated as of February 17, 2021, by and between Radiant Funding SPV, LLC and Truist Bank (incorporated herein by reference to Exhibit 4.1 to the registrant’s Current Report on Form 8-K dated as of February 17,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Material Contracts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Fourth Amendment to Term Loan Credit Agreement, dated as of August 19, 2025, by and among Upbound Group, Inc., the other Loan Parties party thereto, the Lenders party thereto and JPMorgan Chase Bank, N.A., as administrative agent (incorporated herein by reference to Exhibit 10.1 to the registrant’s Current Report on Form 8-K dated as of August 19,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2_thirdamendmenttoa.htm">
              <w:r>
                <w:rPr>
                  <w:rStyle w:val="InternetLink"/>
                  <w:rFonts w:ascii="Times New Roman;serif" w:hAnsi="Times New Roman;serif"/>
                  <w:b w:val="false"/>
                  <w:color w:val="0000FF"/>
                  <w:sz w:val="20"/>
                  <w:u w:val="single"/>
                </w:rPr>
                <w:t xml:space="preserve">Third Amendment to ABL Credit Agreement, dated as of August 29, 2025, by and among Upbound Group, Inc., the other Loan Parties party thereto, JPMorgan Chase Bank, N.A., as administrative agent, and the Lenders party thereto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8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Exhibits and Certifications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_q3x2025.htm">
              <w:r>
                <w:rPr>
                  <w:rStyle w:val="InternetLink"/>
                  <w:rFonts w:ascii="Times New Roman;serif" w:hAnsi="Times New Roman;serif"/>
                  <w:b w:val="false"/>
                  <w:color w:val="0000FF"/>
                  <w:sz w:val="20"/>
                  <w:u w:val="single"/>
                </w:rPr>
                <w:t>Certification pursuant to Rule 13a-14(a) of the Securities Exchange Act of 1934 implementing Section 302 of the Sarbanes-Oxley Act of 2002 by Fahmi Karam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_q3x2025.htm">
              <w:r>
                <w:rPr>
                  <w:rStyle w:val="InternetLink"/>
                  <w:rFonts w:ascii="Times New Roman;serif" w:hAnsi="Times New Roman;serif"/>
                  <w:b w:val="false"/>
                  <w:color w:val="0000FF"/>
                  <w:sz w:val="20"/>
                  <w:u w:val="single"/>
                </w:rPr>
                <w:t>Certification pursuant to Rule 13a-14(a) of the Securities Exchange Act of 1934 implementing Section 302 of the Sarbanes-Oxley Act of 2002 by Fahmi Karam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_q3x2025.htm">
              <w:r>
                <w:rPr>
                  <w:rStyle w:val="InternetLink"/>
                  <w:rFonts w:ascii="Times New Roman;serif" w:hAnsi="Times New Roman;serif"/>
                  <w:b w:val="false"/>
                  <w:color w:val="0000FF"/>
                  <w:sz w:val="20"/>
                  <w:u w:val="single"/>
                </w:rPr>
                <w:t>Certification pursuant to 18 U.S.C. Section 1350 as adopted pursuant to Section 906 of the Sarbanes-Oxley Act of 2002 by Fahmi Karam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2_q3x2025.htm">
              <w:r>
                <w:rPr>
                  <w:rStyle w:val="InternetLink"/>
                  <w:rFonts w:ascii="Times New Roman;serif" w:hAnsi="Times New Roman;serif"/>
                  <w:b w:val="false"/>
                  <w:color w:val="0000FF"/>
                  <w:sz w:val="20"/>
                  <w:u w:val="single"/>
                </w:rPr>
                <w:t>Certification pursuant to 18 U.S.C. Section 1350 as adopted pursuant to Section 906 of the Sarbanes-Oxley Act of 2002 by Fahmi Karam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files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Filed herewith.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756" w:type="dxa"/>
        <w:jc w:val="left"/>
        <w:tblInd w:w="0" w:type="dxa"/>
        <w:tblLayout w:type="fixed"/>
        <w:tblCellMar>
          <w:top w:w="28" w:type="dxa"/>
          <w:left w:w="28" w:type="dxa"/>
          <w:bottom w:w="28" w:type="dxa"/>
          <w:right w:w="28" w:type="dxa"/>
        </w:tblCellMar>
      </w:tblPr>
      <w:tblGrid>
        <w:gridCol w:w="124"/>
        <w:gridCol w:w="109"/>
        <w:gridCol w:w="109"/>
        <w:gridCol w:w="345"/>
        <w:gridCol w:w="345"/>
        <w:gridCol w:w="345"/>
        <w:gridCol w:w="1279"/>
        <w:gridCol w:w="1279"/>
        <w:gridCol w:w="1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UPBOUND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FAHMI W. KARAM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Fahmi W. Karam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Chief Financial Officer</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October 30, 2025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102_thirdamendmenttoa.htm"/>
      <w:bookmarkStart w:id="1" w:name="ksex102_thirdamendmenttoa"/>
      <w:bookmarkEnd w:id="0"/>
      <w:bookmarkEnd w:id="1"/>
      <w:r>
        <w:rPr/>
        <w:drawing>
          <wp:inline distT="0" distB="0" distL="0" distR="0">
            <wp:extent cx="10048875" cy="13001625"/>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21945"/>
                <wp:effectExtent l="0" t="0" r="0" b="0"/>
                <wp:wrapNone/>
                <wp:docPr id="48"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jc w:val="center"/>
        <w:rPr>
          <w:color w:val="FFFFFF"/>
          <w:sz w:val="2"/>
        </w:rPr>
      </w:pPr>
      <w:r>
        <w:rPr>
          <w:color w:val="FFFFFF"/>
          <w:sz w:val="2"/>
        </w:rPr>
        <w:t xml:space="preserve">EXECUTION VERSION THIRD AMENDMENT TO ABL CREDIT AGREEMENT THIRD AMENDMENT TO ABL CREDIT AGREEMENT (this “Third Amendment”), dated as of August 29, 2025, is among UPBOUND GROUP, INC. (f/k/a Rent-A-Center, Inc.) (the “Borrower”), the other Loan Parties party hereto, JPMORGAN CHASE BANK, N.A., as administrative agent for the Lenders (in such capacity, the “Administrative Agent”) and each of the Lenders party hereto. RECITALS: WHEREAS, the Borrower, the other Loan Parties, the Administrative Agent and each of the lenders from time to time party thereto (each a “Lender” and collectively, the “Lenders”) are parties to that certain ABL Credit Agreement, dated as of February 17, 2021 (as amended by that certain First Amendment to ABL Credit Agreement, dated as of August 10, 2022, as amended by that certain Second Amendment to ABL Credit Agreement, dated as of June 7, 2024, as the same may have been amended, restated, amended and restated, supplemented or otherwise modified to date, the “Existing Credit Agreement” and as so amended by this Third Amendment, the “Credit Agreement”) pursuant to which the Lenders have made certain credit available to and on behalf of the Borrower; WHEREAS, the Borrower, the Administrative Agent and the Lenders party hereto desire to amend the Existing Credit Agreement as set forth in this Third Amendment; NOW, THEREFORE, in consideration of the foregoing and the agreements, promises and covenants set forth below, and for other good and valuable consideration, the receipt and sufficiency of which are hereby acknowledged, the parties hereto agree as follows: SECTION 1: Definitions. Capitalized terms used in this Third Amendment, to the extent not otherwise defined herein, shall have the same meaning as in the Credit Agreement. Section 1.3 of the Credit Agreement is incorporated herein by reference mutatis mutandis as if fully set forth herein. Unless otherwise indicated herein, section references in this Third Amendment refer to sections in the Existing Credit Agreement. SECTION 2: Amendments to Existing Credit Agreement. On, and subject to the occurrence of, the Third Amendment Effective Date, the Existing Credit Agreement (excluding the Annexes, Schedules and Exhibits thereto) is hereby amended to delete the stricken text (indicated textually in the same manner as the following example: stricken text) and to add the double-underlined text (indicated textually in the same manner as the following example: double- underlined text) as set forth on Exhibit A hereto. SECTION 3: Representations and Warranties. The Borrower hereby represents and warrants to the Administrative Agent and the Lenders that (a) the representations and warranties set forth in each Loan Document are true and correct in all material respects (or, if qualified by materiality, in all respects) on and as of the date hereof, except to the extent expressly made as of an earlier date, in which case they are true and correct in all material respects (or, if qualified by materiality, in all respects) as of such earlier date and (b) no Default or Event of Default has occurred and is continuing as of the date hereof. EXHIBIT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SECTION 4: Conditions Precedent. This Third Amendment shall be effective on the date (such date, “Third Amendment Effective Date”) when each of the following conditions precedent is satisfied (or waived in accordance with Section 10.1 of the Existing Credit Agreement): (a) Third Amendment. The Administrative Agent shall have received duly executed counterparts to this Third Amendment from the Borrower, the other Loan Parties, and each Lender party hereto (constituting at least the Required Lenders). (b) Representations and Warranties. At the time of and immediately after giving effect to this Third Amendment, (a) no Default or Event of Default shall have occurred and be continuing and (b) the representations and warranties contained in Section 4 of the Credit Agreement shall be true and correct in all material respects (or, if qualified by materiality, in all respects) on and as of the Third Amendment Effective Date, except to the extent expressly made as of an earlier date, in which case they are true and correct in all material respects (or, if qualified by materiality, in all respects) as of such earlier date. (c) Payment of Fees and Expenses. The Administrative Agent shall have received all fees due and payable on or prior to the Third Amendment Effective Date and reimbursement or payment of all out-of-pocket expenses required to be reimbursed or paid by the Borrower hereunder, including all reasonable and documented out-of-pocket costs and expenses of counsel for the Administrative Agent. (d) Officer’s Certificate. The Administrative Agent shall have received a certificate of the Borrower, dated the Closing Date certifying that the conditions in Section 4(b) have been met. (e) Patriot Act. The Administrative Agent shall have received, at least three Business Days prior to the Third Amendment Effective Date, all documentation and other customary information about any Loan Party to the extent reasonable and customary and requested by the Administrative Agent in writing at least 10 Business Days prior to the Third Amendment Effective Date that is reasonably required by United States bank regulatory authorities under applicable “know your customer”, beneficial ownership and anti-money laundering rules and regulations, including the Patriot Act. Each party hereto hereby authorizes and directs the Administrative Agent to declare this Third Amendment to be effective (and the Third Amendment Effective Date shall occur) when it has received documents confirming or certifying, to the reasonable satisfaction of the Administrative Agent, compliance with the conditions set forth in this Section 4. Such declaration shall be final, conclusive and binding upon all parties to the Credit Agreement for all purposes. SECTION 5: No Waiver. Nothing contained in this Third Amendment shall be construed as a waiver by Administrative Agent or any Lender of any covenant or provision of the Existing Credit Agreement, the other Loan Documents, this Third Amendment, or of any other contract or instrument between any Loan Party and the Administrative Agent and any Lender, and the failure of the Administrative Agent or Lenders at any time or times hereafter to require strict performance by any Loan Party of any provision thereof shall not waive, affect or diminish any rights of the Administrative Agent or Lenders to thereafter demand strict compliance therewith.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Administrative Agent and Lenders hereby reserve all rights granted under the Credit Agreement, the other Loan Documents, this Third Amendment and any other contract or instrument between any Loan Party and the Administrative Agent or any Lender. SECTION 6: Ratification and Reaffirmation; Reference to and Effect on Loan Documents. (a) Ratification and Reaffirmation. Except as specifically amended above, the Existing Credit Agreement and the other Loan Documents shall remain in full force and effect. Notwithstanding anything contained herein, the terms of this Third Amendment are not intended to and do not effect a novation of the Existing Credit Agreement or any other Loan Document. The Borrower and each of the other Loan Parties hereby acknowledge and agree to the terms of this Third Amendment and ratify and reaffirm each of the terms and conditions of the Loan Documents to which they are a party and all of their respective obligations thereunder. The Borrower and each of the other Loan Parties confirm that all of their respective obligations under the Loan Documents (as amended by this Third Amendment) are in full force and effect and are performable in accordance with their respective terms without setoff, defense, counter-claim or claims in recoupment. Each Loan Party hereby agrees, with respect to each Loan Document to which it is a party, that all of its obligations, liabilities and indebtedness under such Loan Document shall remain in full force and effect on a continuous basis after giving effect to this Third Amendment and all of the Liens and security interests created and arising under such Loan Document remain in full force and effect on a continuous basis, and the perfected status and priority of each such Lien and security interest continues in full force and effect on a continuous basis, unimpaired, uninterrupted and undischarged, after giving effect to this Third Amendment, as collateral security for its obligations, liabilities and indebtedness under the Credit Agreement and the other Loan Documents. (b) References. Upon the Third Amendment Effective Date, each of the Loan Documents, including the Credit Agreement, and any and all other agreements, documents or instruments now or hereafter executed and delivered pursuant to the terms hereof or pursuant to the terms of the Existing Credit Agreement are hereby amended so that any reference in such Loan Documents to the Existing Credit Agreement shall mean a reference to the Credit Agreement. SECTION 7: Miscellaneous. (a) Successors and Assigns. This Third Amendment shall be binding on and shall inure to the benefit of Loan Parties, the Administrative Agent, the Lenders and their respective successors and assigns permitted by the terms of the Credit Agreement. (b) Integration; Loan Document. This Third Amendment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This Third Amendment is a Loan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 Severability. Any provision of this Third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(d) Payment of Expenses. Pursuant to Section 10.5 of the Credit Agreement, the Borrower agrees to pay all reasonable and documented out-of-pocket costs and expenses incurred by the Administrative Agent in connection with the development, preparation and execution of this Third Amendment and any other documents prepared in connection herewith, and the consummation and administration of the transactions contemplated hereby, including the reasonable and documented fees, disbursements and other charges of one primary counsel to the Administrative Agent. (e) Counterparts. This Third Amendment may be executed by one or more of the parties hereto in any number of separate counterparts, and all of such counterparts taken together shall be deemed to constitute one and the same instrument. Delivery of an executed counterpart of a signature page of this Third Amendment, and/or any Ancillary Document that is an Electronic Signature transmitted by telecopy, emailed pdf or any other electronic means that reproduces an image of an actual executed signature page shall be effective as delivery of a manually executed counterpart of this Third Amendment or such Ancillary Document, as applicable. The words “execution,” “signed,” “signature,” “delivery,” and words of like import in or relating to this Third Amendment and/or any Ancillary Document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(f) GOVERNING LAW. THIS THIRD AMENDMENT AND THE RIGHTS AND OBLIGATIONS OF THE PARTIES UNDER THIS THIRD AMENDMENT SHALL BE GOVERNED BY, AND CONSTRUED AND INTERPRETED IN ACCORDANCE WITH, THE LAW OF THE STATE OF NEW YORK. (g) Incorporation of Credit Agreement Provisions. The provisions contained in Section 10.12 (Submission to Jurisdiction; Waivers) and Section 10.16 (WAIVERS OF JURY TRIAL) of the Credit Agreement are hereby incorporated by reference, mutatis mutandis. (h) No Waiver. The execution, delivery and effectiveness of this Third Amendment shall not operate as a waiver of any right, power or remedy of the Administrative Agent or any Lender under the Credit Agreement or any Loan Document, or, except as expressly provided herein, constitute a waiver or amendment of any other provision of the Credit Agreement or any Loan Document. Section 10.3 of the Credit Agreement remains in full force and effect and is hereby ratified and confirmed by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Amendment] IN WITNESS WHEREOF, this Third Amendment has been executed on the date first written above, to be effective upon satisfaction of the conditions set forth herein. BORROWER: UPBOUND GROUP, INC. By: Name: Fahmi Karam Title: Chief Executive Officer and Chief Financial Officer LOAN PARTIES: BRAVEHEART ACQUISITION, LLC By: Name: Fahmi Karam Title: President and Treasurer GET IT NOW, LLC By: Name: Fahmi Karam Title: President and Treasurer RAC ACCEPTANCE EAST, LLC By: Name: Fahmi Karam Title: President and Treasurer RAC MEXICO HOLDINGS I, LLC By: Name: Fahmi Karam Title: President and Treasurer Docusign Envelope ID: 966AA0E1-9192-48BE-A53E-BFCC0D55FDDE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Amendment] RAC MEXICO HOLDINGS II, LLC By: Name: Fahmi Karam Title: President and Treasurer RENT-A-CENTER, LLC By: Name: Fahmi Karam Title: President and Treasurer RENT-A-CENTER EAST, INC. By: Name: Fahmi Karam Title: President and Treasurer RENT-A-CENTER FRANCHISING INTERNATIONAL, INC. By: Name: Fahmi Karam Title: President and Treasurer RENT-A-CENTER INTERNATIONAL, INC. By: Name: Fahmi Karam Title: President and Treasurer RENT-A-CENTER TEXAS, L.P. By: Name: Fahmi Karam Title: Chief Executive Officer and Chief Financial Officer Docusign Envelope ID: 966AA0E1-9192-48BE-A53E-BFCC0D55FDDE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7"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Amendment] RENT-A-CENTER TEXAS, L.L.C. By: Name: Fahmi Karam Title: President and Treasurer RENT-A-CENTER WEST, INC. By: Name: Fahmi Karam Title: President and Treasurer ACIMA HOLDINGS, LLC By: Name: Fahmi Karam Title: President and Treasurer ACIMA DIGITAL, LLC By: Name: Fahmi Karam Title: President and Treasurer ACIMA CREDIT SOLUTIONS HOLDCO, LLC By: Name: Fahmi Karam Title: President ACIMA CREDIT SOLUTIONS, LLC By: Name: Fahmi Karam Title: President Docusign Envelope ID: 966AA0E1-9192-48BE-A53E-BFCC0D55FDDE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8"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Amendment] BRIDGE IT, INC. By: Name: Zuben Mathews Title: Chief Executive Officer and Secretary Docusign Envelope ID: 2B5ED8B2-F8BD-4339-B52B-3695B5884263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9"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Amendment] JPMORGAN CHASE BANK, N.A., as Administrative Agent and Lender By: Name: Rohan Bhatia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58400" cy="13001625"/>
            <wp:effectExtent l="0" t="0" r="0" b="0"/>
            <wp:docPr id="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0" descr=""/>
                    <pic:cNvPicPr>
                      <a:picLocks noChangeAspect="1" noChangeArrowheads="1"/>
                    </pic:cNvPicPr>
                  </pic:nvPicPr>
                  <pic:blipFill>
                    <a:blip r:embed="rId18"/>
                    <a:stretch>
                      <a:fillRect/>
                    </a:stretch>
                  </pic:blipFill>
                  <pic:spPr bwMode="auto">
                    <a:xfrm>
                      <a:off x="0" y="0"/>
                      <a:ext cx="100584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Amendment] By: Name: Wadie C Habd5y Title: Managing HSBC Bank USA, N.A., as a Lender INTERNAL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1"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3"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Amendment] MIZUHO BANK, LTD., as a Lender By: Name: Edward Sacks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4"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Amendment] MUFG Bank, Ltd., as a Lender By: Name: Title: Erick Moore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58400" cy="13001625"/>
            <wp:effectExtent l="0" t="0" r="0" b="0"/>
            <wp:docPr id="6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5" descr=""/>
                    <pic:cNvPicPr>
                      <a:picLocks noChangeAspect="1" noChangeArrowheads="1"/>
                    </pic:cNvPicPr>
                  </pic:nvPicPr>
                  <pic:blipFill>
                    <a:blip r:embed="rId23"/>
                    <a:stretch>
                      <a:fillRect/>
                    </a:stretch>
                  </pic:blipFill>
                  <pic:spPr bwMode="auto">
                    <a:xfrm>
                      <a:off x="0" y="0"/>
                      <a:ext cx="100584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6"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7"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8"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9"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0"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ABL CREDIT AGREEMENT among UPBOUND GROUP, INC. (f/k/a Rent-A-Center, Inc.) as Borrower, The Several Lenders from Time to Time Parties Hereto, and JPMORGAN CHASE BANK, N.A. as Administrative Agent, Dated as of February 17, 2021 ______________________________________________________________ JPMORGAN CHASE BANK, N.A., HSBC SECURITIES (USA) INC. CITIZENS BANK, N.A., and TRUIST SECURITIES, INC. as Joint Lead Arrangers and Joint Bookrunners HSBC SECURITIES (USA) INC., as Syndication Agent CITIZENS BANK, N.A. and TRUIST SECURITIES, INC., as Co-Documentation Agents 509265-2489-20547-ACTIVE.64852796.272949895.4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1"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SECTION 1. DEFINITIONS 1 1.1 Defined Terms 1 1.2 Classification of Loans and Borrowings 61 1.3 Other Definitional Provisions 61 1.4 Interest Rate; Benchmark Notification 62 1.5 Letter of Credit Amounts 63 1.6 Divisions 63 1.7 Limited Condition Transactions 63 1.8 Calculations 64 1.9 Discontinued Operations 65 1.10 Bridge Loans and Escrow Indebtedness 66 SECTION 2. AMOUNT AND TERMS OF COMMITMENTS 66 2.1 Commitments 66 2.2 Procedure for Revolving Loan Borrowing 66 2.3 Protective Advances 67 2.4 [Reserved] 68 2.5 [Reserved] 68 2.6 [Reserved] 68 2.7 [Reserved] 68 2.8 Fees, etc. 68 2.9 Termination or Reduction of Commitments 68 2.10 Optional Prepayments 68 2.11 Mandatory Prepayment of Loans 69 2.12 Conversion and Continuation Options 69 2.13 Limitations on Term SOFR Borrowings 70 2.14 Interest Rates and Payment Dates 70 2.15 Computation of Interest and Fees 71 2.16 Alternate Rate of Interest 71 2.17 Pro Rata Treatment and Payments 73 2.18 Requirements of Law 75 2.19 Taxes 77 2.20 Indemnity 81 2.21 Change of Lending Office 82 2.22 Replacement of Lenders 82 2.23 Defaulting Lenders 82 2.24 Incremental Facilities 84 SECTION 3. LETTERS OF CREDIT 85 3.1 L/C Commitment 85 3.2 Procedure for Issuance of Letter of Credit 86 3.3 Fees and Other Charges 86 3.4 L/C Participations 87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2"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Reimbursement Obligation of the Borrower 88 3.6 Obligations Absolute 88 3.7 Letter of Credit Payments 89 3.8 Applications 89 3.9 Replacement and Resignation of Issuing Lenders 89 3.10 International Standby Practices 89 SECTION 4. REPRESENTATIONS AND WARRANTIES 90 4.1 Financial Condition 90 4.2 No Change 91 4.3 Existence; Compliance with Law 91 4.4 Power; Authorization; Enforceable Obligations 91 4.5 No Legal Bar 91 4.6 Litigation 92 4.7 No Default 92 4.8 Ownership of Property; Liens 92 4.9 Intellectual Property 92 4.10 Taxes 92 4.11 Federal Regulations 92 4.12 Labor Matters 93 4.13 ERISA 93 4.14 Investment Company Act; Other Regulations 94 4.15 Subsidiaries; Capital Stock 94 4.16 Use of Proceeds 94 4.17 Environmental Matters 94 4.18 Accuracy of Information, etc. 95 4.19 Security Documents 95 4.20 Solvency 96 4.21 Senior Indebtedness 96 4.22 [Reserved] 96 4.23 Anti-Corruption Laws, Anti-Money Laundering and Sanctions 96 4.24 Affected Financial Institutions. 96 4.25 Subject Agreements 96 SECTION 5. CONDITIONS PRECEDENT 96 5.1 Conditions to Initial Extension of Credit 96 5.2 Conditions to Each Extension of Credit 100 SECTION 6. AFFIRMATIVE COVENANTS 101 6.1 Financial Statements 101 6.2 Certificates; Borrowing Base; Other Information 102 6.3 Payment of Taxes 105 6.4 Maintenance of Existence; Compliance 105 6.5 Maintenance of Insurance 105 6.6 Books and Records; Inspection of Property; Discussions; Appraisals; Field Examinations 105 6.7 Notices 106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3"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Environmental Laws 107 6.9 Post-Closing Actions 107 6.10 Additional Collateral, etc. 108 6.11 Designation of Subsidiaries 109 6.12 Deposit Account Control Agreements; Controlled Accounts 110 6.13 Rental and Sales Agreements 111 SECTION 7. NEGATIVE COVENANTS 111 7.1 Consolidated Fixed Charge Coverage Ratio 111 7.2 Indebtedness 112 7.3 Liens 116 7.4 Fundamental Changes 120 7.5 Disposition of Property 120 7.6 Restricted Payments 123 7.7 Investments 125 7.8 Optional Payments and Modifications of Certain Debt Instruments 128 7.9 Transactions with Affiliates 129 7.10 Sales and Leasebacks 130 7.11 Swap Agreements 130 7.12 Changes in Fiscal Periods 130 7.13 Negative Pledge Clauses 130 7.14 Clauses Restricting Subsidiary Distributions 131 7.15 Lines of Business 132 7.16 Use of Proceeds 133 7.17 Subject Agreements 133 SECTION 8. EVENTS OF DEFAULT 133 SECTION 9. THE AGENTS 137 9.1 Appointment 137 9.2 Administrative Agent’s Reliance, Indemnification, Etc. 139 9.3 Posting of Communications 140 9.4 The Administrative Agent Individually 141 9.5 Successor Administrative Agent 142 9.6 Acknowledgements of Lenders and Issuing Lenders 143 9.7 Collateral Matters 143 9.8 Credit Bidding 144 9.9 Certain ERISA Matters 145 SECTION 10. MISCELLANEOUS 146 10.1 Amendments and Waivers 146 10.2 Notices 147 10.3 No Waiver; Cumulative Remedies 148 10.4 Survival of Representations and Warranties 148 10.5 Payment of Expenses and Taxes; Indemnification; Limitation of Liability 148 10.6 Successors and Assigns; Participations and Assignments 151 10.7 Adjustments; Set-off 155 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Counterparts; Electronic Execution 156 10.9 Severability 157 10.10 Integration 157 10.11 GOVERNING LAW 157 10.12 Submission To Jurisdiction; Waivers 158 10.13 Acknowledgements 158 10.14 Releases of Guarantees and Liens 159 10.15 Confidentiality 159 10.16 WAIVERS OF JURY TRIAL 161 10.17 USA Patriot Act 161 10.18 Intercreditor Agreement 161 10.19 Acknowledgement and Consent to Bail-In of Affected Financial Institutions 162 10.20 Acknowledgement Regarding Any Supported QFCs 162 iv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1.1 Commitments 3.1 Existing Letters of Credit 4.13 Pension Plans 4.15 Subsidiaries 4.19 UCC Filing Jurisdictions 7.2(e) Existing Indebtedness 7.2(s) Acquired Indebtedness 7.3(f) Existing Liens 7.5(l) Scheduled Dispositions 7.7(k) Existing Investments 7.13 Negative Pledge Clauses 7.14 Clauses Restricting Subsidiary Distributions EXHIBITS: A Form of Borrowing Request B Form of Interest Election Request C Form of Officer’s Certificate D Form of Guarantee and Collateral Agreement E Form of Assignment and Assumption F Form of Compliance Certificate G Form of Collateral Monitoring Template H-1 U.S. Tax Compliance Certificate (For Non-U.S. Lenders that are not Partnerships for U.S. Federal Income Tax Purposes) H-2 U.S. Tax Compliance Certificate (For Non-U.S. Participants that are not Partnerships for U.S. Federal Income Tax Purposes) H-3 U.S. Tax Compliance Certificate (For Non-U.S. Participants that are Partnerships for U.S. Federal Income Tax Purposes) H-4 U.S. Tax Compliance Certificate (For Non-U.S. Lenders that are Partnerships for U.S. Federal Income Tax Purposes) I-1 Form of Increased Facility Activation Notice—Incremental Revolving Commitments I-2 Form of New Lender Supplement J Form of Borrowing Base Certificate K Form of Intercreditor Agreement L Form of Solvency Certificate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6"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ABL CREDIT AGREEMENT (this “Agreement”), dated as of February 17, 2021, among Upbound Group, Inc. (f/k/a Rent-A-Center, Inc.), a Delaware corporation (the “Borrower”), the several banks and other financial institutions or entities from time to time parties to this Agreement, JPMorgan Chase Bank, N.A., as administrative agent, and the other agents from time to time parties hereto. The parties hereto hereby agree as follows: SECTION 1. DEFINITIONS 1.1 Defined Terms. As used in this Agreement, the terms listed in this Section 1.1 shall have the respective meanings set forth in this Section 1.1. “ABL Priority Collateral” has the meaning set forth in the Intercreditor Agreement. “ABR” means, when used in reference to any Loan or Borrowing, refers to whether such Loan, or the Loans comprising such Borrowing, bear interest at a rate determined by reference to the Alternate Base Rate. “Acima” means Acima Holdings, LLC. “Acima Acquisition” means the Borrower’s direct or indirect acquisition of the Acquired Business from the existing equityholders of Acima in all material respects in accordance with the terms of the Acquisition Agreement, pursuant to which Merger Sub (as defined in the Acquisition Agreement) will merge with and into Acima, with Acima continuing as the surviving person. “Acquired Business” means Acima, together with its Subsidiaries. “Acquisition Agreement” means that certain Agreement and Plan of Merger, dated as of December 20, 2020, by and among the Borrower, Merger Sub (as defined therein), Acima and Aaron Allred, as the Member Representative (as defined therein). “Account” has the meaning set forth in the Guarantee and Collateral Agreement. “Account Debtor” has the meaning set forth in the Guarantee and Collateral Agreement. “Additional Permitted Amount” has the meaning set forth in the definition of Permitted Refinancing Indebtedness. “Adjusted Daily Simple SOFR” means, for any Interest Period, an interest rate per annum equal to (a) Daily Simple SOFR, plus (b) a percentage per annum equal to 0.10%; provided that if Adjusted Daily Simple SOFR as so determined would be less than the Floor, such rate shall be deemed to be equal to the Floor for the purposes of this Agreement. 509265-2489-20547-ACTIVE.64852796.272949895.4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7"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Adjusted Term SOFR” means, for any Interest Period, an interest rate per annum equal to (a) Term SOFR, plus (b) a percentage per annum equal to 0.10%; provided that if Adjusted Term SOFR as so determined would be less than the Floor, such rate shall be deemed to be equal to the Floor for the purposes of this Agreement. “Adjustment Date” has the meaning set forth in the definition of Applicable Pricing Grid. “Administrative Agent” means JPMorgan Chase Bank, N.A., together with its affiliates, as the administrative agent for the Lenders under this Agreement and the other Loan Documents, together with any of its successors. “Advisory Fees” has the meaning set forth in the definition of Consolidated EBITDA. “Affected Financial Institution” means (a) any EEA Financial Institution or (b) any UK Financial Institution. “Affiliate” means, as to any Person, any other Person that,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by contract or otherwise. “Agents” means the collective reference to the Administrative Agent and any other agent identified on the cover page of this Agreement. “Agreement” has the meaning set forth in the preamble hereto. “Alternate Base Rate” means, for any day, a rate per annum equal to the greatest of (a) the Prime Rate in effect on such day, (b) the NYFRB Rate in effect on such day plus ½ of 1% and (c) Adjusted Term SOFR for a one month Interest Period as published two (2) U.S. Government Securities Business Days prior to such day (or if such day is not a U.S. Government Securities Business Day, the immediately preceding U.S. Government Securities Business Day) plus 1%; provided that for the purpose of this definition, Adjusted Term SOFR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Adjusted Term SOFR shall be effective from and including the effective date of such change in the Prime Rate, the NYFRB Rate or Adjusted Term SOFR, respectively. If the Alternate Base Rate is being used as an alternate rate of interest pursuant to Section 2.16 (for the avoidance of doubt, only until the Benchmark Replacement has been determined pursuant to Section 2.16(b)),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8"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 2.00:1.00 &lt; 1.00:1.00 1.00% Consolidated Leverage Ratio 2.00% 0.50% Average Utilization for the Prior Month 1.50% Commitment Fee Rate Applicable Margin for ABR Loans &lt;50% “Ancillary Document” has the meaning set forth in Section 10.8. “Anti-Corruption Laws” means all laws, rules and regulations of any jurisdiction applicable to the Borrower or its Subsidiaries from time to time concerning or relating to bribery or corruption. “Applicable Margin” means, initially, 1.00% in the case of ABR Loans and 2.00% in the case of Term SOFR Loans and, thereafter, subject to adjustment on each Adjustment Date in accordance with the Applicable Pricing Grids. “Applicable Parties” has the meaning set forth in Section 9.3(c). “Applicable Pricing Grids” means the tables set forth below: 0.3750% ≥ 1.00:1.00 but &lt; 2.00:1.00 Applicable Margin for Term SOFR Loans ≥50% 0.75% 0.250% For the purposes of the Applicable Pricing Grids, (a) the Consolidated Leverage Ratio shall be determined as of the end of each fiscal quarter of the Borrower (beginning with the first full fiscal quarter of the Borrower ending after the Closing Date) based upon the Borrower’s consolidated financial statements delivered pursuant to Section 6.1(a) or (b), (b) Average Utilization shall be determined as of the first day of each calendar month (beginning with the calendar month that is immediately after the first full fiscal quarter of the Borrower ending after the Closing Date) of the Borrower using the previous calendar month as the applicable period, (c) changes in the Applicable Margin resulting from changes in the Consolidated Leverage Ratio shall become effective on the next first calendar day of a month (the “Adjustment Date”) after the date on which the Borrower’s consolidated financial statements are delivered to the Administrative Agent pursuant to Section 6.1(a) or (b) and shall remain in effect until the next change to be effected pursuant to this paragraph and (d) changes to the Commitment Fee Rate shall become effective on the first day of each calendar month based upon the Average Utilization during the previous calendar month and shall remain in effect until the next change to be effected pursuant to this paragraph. If, as of any date that the Borrower’s consolidated financial statements are scheduled to be delivered pursuant to Section 6.1(a) or (b), such consolidated financial statements shall not have been delivered by such date, then, until the Adjustment Date occurring after the date on which such consolidated financial statements are delivered, the highest rate set forth in each column of the Applicable Pricing Grid shall apply. 1.75%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9"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Automatically, upon the occurrence and continuance of an Event of Default pursuant to Section 8(f), the highest rate set forth in each column of the Applicable Pricing Grid shall apply. “Applicable Reference Period” means as of any date of determination, the most recently ended Reference Period for which financial statements with respect to each fiscal quarter included in such Reference Period have been delivered pursuant to Section 6.1(a) or 6.1(b) (or, prior to the delivery of any such financial statements, the Reference Period ended September 30, 2020). “Application” means an application, in such form as the Issuing Lender may specify from time to time, requesting the Issuing Lender to open a Letter of Credit, specifying the date of issuance, amendment, renewal or extension (which shall be a Business Day) and the date on which such Letter of Credit is to expire and such other information as the Issuing Lender may request. “Approved Electronic Platform” has the meaning set forth in Section 9.3(a). “Approved Fund” has the meaning set forth in Section 10.6(b). “Arrangers” means JPMorgan Chase Bank, N.A., HSBC Securities (USA) Inc., Citizens Bank, N.A. and Truist Securities, Inc. “Assignee” has the meaning set forth in Section 10.6(b)(i). “Assignment and Assumption” means an Assignment and Assumption, substantially in the form of Exhibit E or any other form (including electronic records generated by the use of an electronic Platform) approved by the Administrative Agent. “Attributable Indebtedness” means in respect of any sale and leaseback transaction, as at the time of determination, the present value (discounted at the implied interest rate in such transaction compounded annually) of the total obligations of the lessee for rental payments during the remaining term of the lease included in such sale and leaseback transaction (including any period for which such lease has been extended or may, at the option of the lessor, be extended). “Availability” means at any time, an amount equal to (a) the Line Cap minus (b) the Total Revolving Extensions of Credit then outstanding (calculated, with respect to any Defaulting Lender, as if such Defaulting Lender had funded its Revolving Percentage of all outstanding Revolving Loans). “Available Commitment” means as to any Revolving Lender at any time, an amount equal to the excess, if any, of (a) such Lender’s Commitment then in effect over (b) such Lender’s Revolving Extensions of Credit then outstanding. “Available Tenor”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0"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2.16(f). “Average Utilization” means, for any period, an amount, expressed as a percentage, equal to (a) the daily average Total Revolving Extensions of Credit for such period divided by (b) the daily average Total Commitments for such period.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 Products” means any of the following bank: (a) commercial credit cards and merchant cards, (b) stored value cards, (c) purchasing cards and (d) treasury, depositary or cash management services (including operations, collections, payroll, trust, e-payable, electronic funds transfer, wire transfer, information reporting, lockbox, stop payment, controlled disbursement, automated clearinghouse transactions, return items, overdrafts and interstate depository network services) or any other banking products or services as may be requested by the Loan Parties. “Banking Services” means Bank Products provided to the Borrower or any of its Restricted Subsidiaries by (a) the Administrative Agent or any of its Affiliates or (b) any Lender or any of its Affiliates, in each case whether in existence on the Closing Date or provided after the Closing Date. “Banking Services Obligations” means with respect to the Loan Parties, any and all obligations of the Loan Parties, whether absolute or contingent and howsoever and whensoever created, arising, evidenced or acquired (including all renewals, extensions and modifications thereof and substitutions therefor) in connection with Banking Services. “Banking Services Reserves” means all Reserves that the Administrative Agent from time to time establishes in its Permitted Discretion for Banking Services then provided or outstanding. “Bankruptcy Code” means Title 11 of the United States Code (11 U.S.C. § 101 et seq.), as now and hereafter in effect, or any successor statute.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1"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Bankruptcy Event”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“Bankruptcy Plan” means a reorganization or plan of liquidation pursuant to any Debtor Relief Laws. “Base Incremental Amount” means as of any date, an amount equal to (i) the greater of (A) $500,000,000 and (B) 100% of Consolidated EBITDA calculated on a Pro Forma Basis for the Applicable Reference Period less (ii) the aggregate principal amount of Indebtedness established pursuant to Section 7.2(b) or Section 7.2(t) after the Closing Date and prior to such date in reliance on the Base Incremental Amount. “Benchmark” means, initially, Term SOFR; provided that if a Benchmark Transition Event and the related Benchmark Replacement Date have occurred, then “Benchmark” means the applicable Benchmark Replacement to the extent that such Benchmark Replacement has replaced such prior benchmark rate pursuant to clause (b) of Section 2.16. “Benchmark Replacement” shall mean, for any Available Tenor, the first alternative set forth in the order below that can be determined by the Administrative Agent for the applicable Benchmark Replacement Date: (a) Adjusted Daily Simple SOFR; (b) the sum of: (i) the alternate benchmark rate that has been selected by the Administrative Agent and the Borrower as the replacement for the then-current Benchmark for the applicable Corresponding Tenor giving due consideration to (x) any selection or recommendation of a replacement benchmark rate or the mechanism for determining such a rate by the Relevant Governmental Body or (y) any evolving or then-prevailing market convention for determining a benchmark rate as a replacement for the then-current Benchmark for Dollar-denominated syndicated credit facilities at such time in the United States and (ii) the related Benchmark Replacement Adjustment; If the Benchmark Replacement as determined pursuant to clause (a) or (b) above would be less than the Floor, the Benchmark Replacement will be deemed to be the Floor for the purposes of this Agreement and the other Loan Documents.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2"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Benchmark Replacement Adjustment” means, with respect to any replacement of the then-current Benchmark with an Unadjusted Benchmark Replacement under clause (b) of the definition of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“Benchmark Replacement Conforming Changes”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 “Benchmark Replacement Date” means, with respect to any Benchmark, the earliest to occur of the following events with respect to such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3"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provided on such date.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“Benchmark Transition Event” means, with respect to any Benchmark, the occurrence of one or more of the following events with respect to such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4"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Benchmark Unavailability Period” means, with respect to any Benchmark, the period (if any) beginning at the time that a Benchmark Replacement Date pursuant to clauses (a) or (b) of that definition has occurred if, at such time, no Benchmark Replacement has replaced such then-current Benchmark for all purposes hereunder and under any Loan Document in accordance with Section 2.16 and ending at the time that a Benchmark Replacement has replaced such then-current Benchmark for all purposes hereunder and under any Loan Document in accordance with Section 2.16. “Benefit Plan”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 “Benefitted Lender” has the meaning set forth in Section 10.7(a). “BHC Act Affiliate” of a party means an “affiliate” (as such term is defined under, and interpreted in accordance with, 12 U.S.C. 1841(k)) of such party. “Board” means the Board of Governors of the Federal Reserve System of the United States (or any successor). “Borrower” has the meaning set forth in the preamble hereto. “Borrower Debt Repayment” means the repayment of, termination of all commitments under and the discharge of and release of all security and guarantees in respect of (i) the Existing Term Loan Facility and (ii) the Existing ABL Facility, in each case, as amended, supplemented or otherwise modified. “Borrower Materials” has the meaning set forth in Section 10.15. “Borrowing” means Revolving Loans of the same Facility and Type, made, converted or continued on the same date and, in the case of Term SOFR Loans, as to which a single Interest Period is in effect. “Borrowing Base” means at any time, the sum of: (a) (i) 65% of the book value of the Loan Parties’ Eligible Installment Sales Accounts at such time, plus (b) 80% of the Net Orderly Liquidation Value of the Loan Parties’ Eligible Inventory Held for Rent, determined on a “new” versus “used” basis, identified in the most recent Inventory appraisal ordered by the Administrative Agent, plus (c) 65% of the lesser of (i) the Net Orderly Liquidation Value identified in the most recent Rental Agreement Portfolio appraisal ordered by the Administrative Agent and (ii) if the Administrative Agent has received a Collateral Monitoring Template pursuant to Section 6.1(c) subsequent to the delivery of the most recent Rental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5"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Portfolio appraisal ordered by the Administrative Agent, the monthly discounted cash flow amount set forth in the Collateral Monitoring Template most recently delivered pursuant to Section 6.1(c), minus (d) Reserves; provided that in calculating the Borrowing Base, the value of that portion of the Borrowing Base described in clause (c) shall not exceed an amount equal to 65% of the Recent Rental Proceeds. The specified percentages set forth in this definition will not be reduced without the consent (not to be unreasonably withheld, delayed or conditioned) of the Borrower. Any determination by the Administrative Agent in respect of the Borrowing Base shall be based on the Administrative Agent’s Permitted Discretion. The parties understand that the exclusionary criteria in the definitions of Eligible Installment Sales Accounts, Eligible Inventory Held for Rent and Eligible Rental Agreements, any Reserves that may be imposed as provided herein, any deductions or other adjustments to determine “lower of cost or market” and factors considered in the calculation of Net Orderly Liquidation Value have the effect of reducing the Borrowing Base and, accordingly, whether or not any provisions hereof so state, all of the foregoing shall be determined without duplication so as not to result in multiple reductions in the Borrowing Base for the same facts or circumstances. The Borrowing Base at any time shall be determined by reference to the most recent Borrowing Base Certificate delivered to the Administrative Agent pursuant to Section 5.1(p), Section 6.2(g) or 6.2(i) of this Agreement. “Borrowing Base Certificate” means a certificate, signed by a Responsible Officer of the Borrower, in substantially the form of Exhibit J or another form which is acceptable to the Administrative Agent in its reasonable discretion. All calculations of the Borrowing Base in connection with the preparation of the Borrowing Base Certificate shall be made by the Borrower. “Borrowing Date” means any Business Day specified by the Borrower as a date on which the Borrower requests the relevant Lenders to make Loans hereunder. “Borrowing Request” means a request by the Borrower for a Revolving Borrowing in accordance with Section 2.2, which shall be substantially in the form of Exhibit A or any other form approved by the Administrative Agent. “Brigit” means Bridge IT, Inc., a Delaware corporation and its Restricted Subsidiaries. “Business Day” means a day other than a Saturday, Sunday or other day on which commercial banks in New York City are authorized or required by law to close, provided that, in relation to Loans referencing Adjusted Term SOFR and any interest rate settings, fundings, disbursements, settlements or payments of any such Loans referencing Adjusted Term SOFR or any other dealings of such Loans referencing Adjusted Term SOFR, “Business Day” shall mean any such day that is only a U.S. Government Securities Business Day.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6"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Capital Expenditures” means for any period, with respect to any Person, the aggregate of all expenditures by such Person and its Restricted Subsidiaries for the acquisition or leasing (pursuant to a finance lease) of fixed or capital assets or additions to equipment (including replacements, capitalized repairs and improvements during such period) that is required to be capitalized under GAAP on a consolidated balance sheet of such Person and its Restricted Subsidiaries. “Capital Stock”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 but excluding any debt securities convertible into any of the foregoing. “Cash Equivalents” means (a) marketable direct obligations issued by, or unconditionally guaranteed by, the United States Government or issued by any agency thereof and backed by the full faith and credit of the United States, in each case maturing within two years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$250,000,000; (c) commercial paper of an issuer rated at least A-2 by S&amp;P or P-2 by Moody’s, or carrying an equivalent rating by a nationally recognized rating agency, if both of the two named rating agencies cease publishing ratings of commercial paper issuers generally, and maturing within nine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two years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$1,000,000,000. “CFC” means (a) each Person that is a “controlled foreign corporation” for purposes of the Code and (b) each Subsidiary of any such Person. “CFC Holding Company” means each Domestic Subsidiary substantially all of the assets of which consist of Capital Stock of one or more (a) CFCs or (b) Persons described in this definition.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7"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Change of Control” means the acquisition of ownership, directly or indirectly, beneficially or of record, by any Person or group (within the meaning of the Exchange Act and the rules of the SEC thereunder, but excluding any employee benefit plan of such Person or its Subsidiaries and any Person acting in its capacity as trustee, agent or other fiduciary or administrator of such plan) of Capital Stock of the Borrower representing more than 40% of the aggregate ordinary (in the absence of contingencies) voting power represented by the issued and outstanding Capital Stock of the Borrower. Notwithstanding the preceding sentence or any provision of Rule 13d-3 of the Exchange Act (as in effect on the Closing Date),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“Closing Date” means February 17, 2021. “CME Term SOFR Administrator” means CME Group Benchmark Administration Limited as administrator of the forward-looking term Secured Overnight Financing Rate (SOFR) (or a successor administrator). “Code” means the Internal Revenue Code of 1986, as amended. “Collateral” means all property of the Loan Parties, now owned or hereafter acquired, upon which a Lien is purported to be created by any Security Document. “Collateral Monitoring Template” means a certificate substantially in the form of Exhibit G or such other form as may be approved by the Administrative Agent in its reasonable discretion. “Collateral Access Agreement” means any landlord waiver or other agreement, in form and substance reasonably satisfactory to the Administrative Agent, between the Administrative Agent and any third party (including any bailee, consignee, customs broker, or other similar Person) in possession of any Collateral or any landlord of any real property where any Collateral is located, as such landlord waiver or other agreement may be amended, restated, replaced or otherwise modified from time to time. “Collection Account” means individually and collectively, each “Collection Account” referred to in the Guarantee and Collateral Agreement. “Commencement Date” has the meaning set forth in Section 7.1. “Commitment” means as to any Lender, the obligation of such Lender, if any, to make Revolving Loans and participate in Letters of Credit and Protective Advances in an aggregate principal and/or face amount not to exceed the amount set forth under the heading “Commitment” opposite such Lender’s name on Schedule 1.1 or in the Assignment and Assumption or Increased Facility Activation Notice pursuant to which such Lender became a party hereto, as the same may be changed from time to time pursuant to the terms hereof. The original amount of the Total Commitments on the Second Amendment Effective Date is $550,000,000.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8"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Commitment Fee Rate” means, initially 0.375% per annum and, thereafter, subject to adjustment on the first day of each calendar month in accordance with the Applicable Pricing Grids. “Commodity Exchange Act” means the Commodity Exchange Act (7 U.S.C. § 1 et seq.), as amended from time to time, and any successor statute. “Communications”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Lender by means of electronic communications pursuant to Section 9.3, including through an Approved Electronic Platform. “Compliance Certificate” means a certificate duly executed by a Responsible Officer substantially in the form of Exhibit F. “Connection Income Taxes” means Other Connection Taxes that are imposed on or measured by net income (however denominated) or that are franchise Taxes or branch profits Taxes. “Consolidated Cash Interest Coverage Ratio” means as at the last day of any Reference Period, the ratio of (a) Consolidated Cash Interest Expense for such period to (b) Consolidated EBITDA for such period. “Consolidated Cash Interest Expense” means for any period, without duplication, (a) total cash interest expense (including imputed interest expense attributable to payments of Finance Lease Obligations) of the Borrower and its Restricted Subsidiaries for such period with respect to all outstanding Specified Indebtedness of the Borrower and its Restricted Subsidiaries (excluding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plus (b) commissions, discounts, yield and other fees and charges (including Securitization Fees) incurred in connection with any Qualified Securitization Transaction which are payable to Persons other than the Borrower and its Restricted Subsidiaries. For the purposes of calculating Consolidated Cash Interest Expense for any Reference Period pursuant to any determination of the Consolidated Cash Interest Coverage Ratio, (i) if at any time during such Reference Period the Borrower or any Restricted Subsidiary shall have made any Material Disposition, the Consolidated Cash Interest Expense for such Reference Period shall be reduced by an amount equal to the Consolidated Cash Interest Expense attributable to any Restricted Subsidiary that is the subject of such Material Disposition for such Reference Period, and (ii) if during such Reference Period the Borrower or any Restricted Subsidiary shall have made a Material Acquisition, Consolidated Cash Interest Expense for such Reference Period shall be calculated after giving pro forma effect thereto as if such Material Acquisition occurred on the first day of such Reference Period and (iii) in the case of any Reference Period which includes any fiscal quarter ended on or prior to the Closing Date, for each such fiscal quarter ended on or prior to the Closing Date, Consolidated Cash Interest Expense shall be deemed to be $18,552,158, in each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9"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case subject to any pro forma adjustments (other than in respect of the Acima Acquisition) permitted under this Agreement.. “Consolidated EBITDA” means for any period, Consolidated Net Income for such period plus, without duplication and to the extent reflected as a charge in the statement of such Consolidated Net Income for such period, the sum of: (a) provisions for taxes based on income or profits or capital, including state, franchise, excise and similar taxes and foreign withholding taxes paid or accrued, including penalties and interest relating to tax examinations, (b) interest expense, amortization or writeoff of debt discount and debt issuance costs and commissions, discounts and other fees and charges associated with Indebtedness (including the Revolving Loans, the Term Loans and the Unsecured Notes), (c) depreciation and amortization expense, including amortization of capitalized expenses for software-as-a-service solutions for accounting, (d) non-cash charges, losses, expenses, accruals and provisions, including stock-based compensation and sale of assets not in the ordinary course of business (but excluding any such non-cash charge to the extent that it represents an accrual or reserve for cash expenses in any future period), (e) amortization of intangibles (including, but not limited to, impairment of goodwill) and organization costs, (f) any extraordinary, unusual or non-recurring charges, expenses or losses, including (i) legal settlement expenses and recoveries, (ii) non-recurring natural disaster-related charges and (iii) infrequent or unusual inventory adjustments, (g) any fees and expenses incurred during such period in connection with any Investment (including any Permitted Acquisition), Disposition, issuance of Indebtedness or Capital Stock, or amendment or modification of any debt instrument, in each case permitted under this Agreement, including (i) any such transactions undertaken but not completed and any transactions consummated prior to the Closing Date and (ii) any financial advisory fees, accounting fees, legal fees and other similar advisory and consulting fees, in each case paid in cash during such period (collectively, “Advisory Fees”), (h) any fees and expenses incurred in connection with the Transactions, including Advisory Fees and (solely for purposes of this clause (h)) cash charges or expenses in respect of strategic market reviews, stay or sign-on bonuses, integration-related bonuses, restructuring, consolidation, severance or discontinuance of any portion of operations, employees and/or management, (i) the amount of “run-rate” cost savings, operating expense reductions, operating improvements, revenue enhancements, business optimizations and synergies that are reasonably identifiable, factually supportable and projected by the Borrower in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0"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good faith to be realized as a result of mergers and other business combinations, Permitted Acquisitions, divestitures, insourcing initiatives, cost savings initiatives, plant consolidations, openings and closings, product rationalization and other similar initiatives after the Closing Date, in each case to the extent not prohibited by this Agreement (collectively, “Initiatives”) (calculated on a pro forma basis as though such cost savings, operating expense reductions, operating improvements, revenue enhancements, business optimizations and synergies had been realized on the first day of the relevant Reference Period), net of the amount of actual benefits realized in respect thereof; provided that (i) actions in respect of such cost-savings, operating expense reductions, operating improvements, revenue enhancements, business optimizations and synergies have been, or will be, taken within 12 months of the applicable Initiative, (ii) no cost savings, operating expense reductions, operating improvements, revenue enhancements, business optimizations or synergies shall be added pursuant to this clause (i) to the extent duplicative of any expenses or charges otherwise added to (or excluded from) Consolidated EBITDA, whether through a pro forma adjustment or otherwise, for such period, (iii) projected amounts (and not yet realized) may no longer be added in calculating Consolidated EBITDA pursuant to this clause (i) to the extent occurring more than eight fiscal quarters after the applicable Initiative and (iv) with respect to any Reference Period, the aggregate amount added back in the calculation of Consolidated EBITDA for such Reference Period pursuant to this clause (i) and clause (j) below shall not exceed 25% of Consolidated EBITDA (calculated after giving effect to any add-backs pursuant to this clause (i) and clause (j) below), (j) non-recurring cash expenses or charges recognized for restructuring costs, integration costs and business optimization expenses in connection with any Initiative; provided that with respect to any Reference Period, the aggregate amount added back in the calculation of Consolidated EBITDA for such Reference Period pursuant to this clause (j) and clause (i) above shall not exceed 25% of Consolidated EBITDA (calculated after giving effect to any add-backs pursuant to this clause (j) and clause (i) above), (k) fees, costs, expenses and charges associated with contract terminations; provided that with respect to any Reference Period, the aggregate amount added back in the calculation of Consolidated EBITDA for such Reference Period pursuant to this clause (k) shall not exceed 5% of Consolidated EBITDA (calculated after giving effect to any add-backs pursuant to this clause (k)), (l) losses, charges and expenses related to the early extinguishment of Indebtedness, hedge agreements or other derivative instruments (including deferred financing fees), (m) losses, charges and expenses attributable to abandoned, closed, Disposed or discontinued operations and losses, charges and expenses related to the abandonment, closure, Disposal or discontinuation thereof, (n) charges, expenses and other items described in the model delivered by the Borrower to the Arrangers on December 14, 2020, and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1"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 legal and professional fees and expenses incurred in connection with the Transactions, minus, (x) to the extent included in the statement of such Consolidated Net Income for such period, the sum of: (i) interest income, (ii) any extraordinary, unusual or non-recurring income or gains (including, whether or not otherwise includable as a separate item in the statement of such Consolidated Net Income for such period, gains on the sales of assets outside of the ordinary course of business), (iii) income tax credits (to the extent not netted from income tax expense), (iv) any other non-cash income (other than normal accruals in the ordinary course of business for non-cash income that represents an accrual for cash income in a future period), (v) gains related to the early extinguishment of Indebtedness, hedge agreements or other derivative instruments (including deferred financing fees), and (vi) gains attributable to abandoned, closed, Disposed or discontinued operations, and (y) any cash payments made during such period in respect of items described in clause (d) above subsequent to the fiscal quarter in which the relevant non-cash expenses or losses were reflected as a charge in the statement of Consolidated Net Income, all as determined on a consolidated basis. For the purposes of calculating Consolidated EBITDA for any Reference Period pursuant to any determination of the Consolidated Leverage Ratio, Consolidated Secured Leverage Ratio, Consolidated Senior Secured Leverage Ratio or Consolidated Cash Interest Coverage Ratio, (i) if at any time during such Reference Period the Borrower or any Restricted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Borrower or any Restricted Subsidiary shall have made a Material Acquisition, Consolidated EBITDA for such Reference Period shall be calculated after giving pro forma effect thereto as if such Material Acquisition occurred on the first day of such Reference Period and (iii) in the case of any Reference Period which includes any fiscal quarter ended on or prior to the Closing Date, if the respective Reference Period (a) includes the fiscal quarter of the Borrower ended September 30, 2020, Consolidated EBITDA for such fiscal quarter shall be deemed to be $166,560,166, (b) includes the fiscal quarter of the Borrower ended June 30, 2020, Consolidated EBITDA for such fiscal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2"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 shall be deemed to be $131,999,152, (c) includes the fiscal quarter of the Borrower ended March 31, 2020, Consolidated EBITDA for such fiscal quarter shall be deemed to be $112,667,268 and (d) includes the fiscal quarter of the Borrower ended December 31, 2019, Consolidated EBITDA for such fiscal quarter shall be deemed to be $104,651,226, in each case subject to any pro forma adjustments (other than in respect of the Acima Acquisition) permitted under this Agreement.. “Consolidated Fixed Charge Coverage Ratio” means for any period, the ratio of (a) Consolidated EBITDA for such period plus (i) Finance Lease Obligation payments (excluding imputed interest expense attributable to payments of Finance Lease Obligations to the extent included in Consolidated Cash Interest Expense) and other rent expenses paid in cash during such period and (ii) less the aggregate amount actually paid by the Borrower and its Restricted Subsidiaries during such period on account of (A) Capital Expenditures (excluding the principal amount of long-term Indebtedness (other than Revolving Loans) incurred in connection with such expenditures) and (B) federal, state, local and foreign income taxes ((x) net of cash refunds received during such period and (y) as may be adjusted by the Borrower and the Administrative Agent acting together in their reasonable discretion in any period to account for timing differences in the payment of such taxes that are the result of changes in tax legislation) to (b) Consolidated Fixed Charges for such period. “Consolidated Fixed Charges” means for any period, the sum (without duplication) of (a) Consolidated Cash Interest Expense for such period, (b) regularly scheduled principal payments (other than payments at maturity) made during such period on account of principal of (i) Specified Indebtedness and (ii) Indebtedness incurred by any Securitization Subsidiary in connection with any Qualified Securitization Transaction, in each case of the Borrower or any Restricted Subsidiary to a third party, (c) Restricted Payments made in cash during such period and (d) Finance Lease Obligation payments and other rent expenses paid in cash during such period, all calculated for the Borrower and its Restricted Subsidiaries on a consolidated basis and, to the extent applicable, in accordance with GAAP. “Consolidated Leverage Ratio” means as at the last day of any Reference Period, the ratio of (a)(i) Consolidated Total Debt on such day less (ii) the aggregate Unrestricted Cash of the Group Members on such day to (b) Consolidated EBITDA for such period. “Consolidated Net Income” means for any period, the consolidated net income (or loss) of the Borrower and its Restricted Subsidiaries, determined on a consolidated basis in accordance with GAAP; provided that there shall be excluded: (a) the income (or deficit) of any Person accrued prior to the date it becomes a Restricted Subsidiary of the Borrower or is merged into or consolidated with the Borrower or any of its Restricted Subsidiaries; (b) the income (or deficit) of any Person (other than a Restricted Subsidiary of the Borrower) in which the Borrower or any of its Restricted Subsidiaries has an ownership interest, except to the extent that any such income is actually received by the Borrower or such Restricted Subsidiary in the form of dividends or similar distributions;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3"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the undistributed earnings of any Restricted Subsidiary (other than a Securitization Subsidiary) of the Borrower to the extent that the declaration or payment of dividends or similar distributions by such Restricted Subsidiary is not at the time permitted by the terms of any Contractual Obligation (other than under any Loan Document) or Requirement of Law applicable to such Restricted Subsidiary; (d) any income (or loss) for such period attributable to the early extinguishment of Indebtedness or Swap Obligations; and (e) the cumulative effect of a change in accounting principles and changes as a result of the adoption or modification of accounting policies during such period. “Consolidated Secured Debt” means at any date, Consolidated Total Debt at such date that is secured by a Lien on any property of any Group Member. “Consolidated Secured Leverage Ratio” means as at the last day of any Reference Period, the ratio of (a)(i) Consolidated Secured Debt on such day less (ii) the aggregate Unrestricted Cash of the Group Members on such day to (b) Consolidated EBITDA for such period. “Consolidated Senior Secured Debt” means at any date, Consolidated Total Debt (other than Indebtedness that is secured only by Liens that are junior to the Liens securing the Initial Term Loans (as defined in the Term Loan Credit Agreement)) at such date that is secured by a Lien on any property of any Group Member. “Consolidated Senior Secured Leverage Ratio” means as at the last day of any Reference Period, the ratio of (a)(i) Consolidated Senior Secured Debt on such day less (ii) the aggregate Unrestricted Cash of the Group Members on such day to (b) Consolidated EBITDA for such period. “Consolidated Total Assets” means at any date of determination, the total assets, in each case reflected on the consolidated balance sheet of the Borrower and its Restricted Subsidiaries as at the end of the most recently ended fiscal quarter of the Borrower for which a balance sheet is available, determined in accordance with GAAP (and, in the case of any determination related to the incurrence of Indebtedness or Liens or any Investment, on a pro forma basis including any property or assets being acquired in connection therewith). “Consolidated Total Debt” means at any date (without duplication), all Finance Lease Obligations, purchase money Indebtedness, Indebtedness for borrowed money (including, for the avoidance of doubt and to the extent constituting Indebtedness for borrowed money, (i) Indebtedness incurred by any Securitization Subsidiary in connection with any Securitization Transaction and (ii) Standard Securitization Undertakings incurred by any Group Member in connection with any Securitization Transaction) and letters of credit (but only to the extent drawn and not reimbursed), in each case of the Borrower and its Restricted Subsidiaries at such date, determined on a consolidated basis in accordance with GAAP. “Contractual Obligation” means as to any Person, any provision of any security issued by such Person or of any agreement, instrument or other undertaking to which such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4"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Person is a party or by which it or any of its property is bound (including its Organizational Documents). “Controlling Fixed Asset Representative” has the meaning given to such term in the Intercreditor Agreement. “Corresponding Tenor” with respect to any Available Tenor means, as applicable, either a tenor (including overnight) or an interest payment period having approximately the same length (disregarding business day adjustment) as such Available Tenor. “Covered Entity”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“Covered Party” has the meaning set forth in Section 10.20. “Credit Party” means the Administrative Agent, the Issuing Lender or any other Lender and, for the purposes of Section 10.13 only, any other Agent and any Arranger. “Daily Simple SOFR” means, for any day (a “SOFR Rate Day”), a rate per annum equal to SOFR for the day (such day, a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 “Debtor Relief Laws”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5"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Debt Repayment” means the (i) Target Debt Repayment and (ii) Borrower Debt Repayment. “Default” means any of the events specified in Section 8, whether or not any requirement for the giving of notice, the lapse of time, or both, has been satisfied. “Default Right” has the meaning assigned to that term in, and shall be interpreted in accordance with, 12 C.F.R. §§ 252.81, 47.2 or 382.1, as applicable. “Defaulting Lender” means any Lender that (a) has failed, within two (2) Business Days of the date required to be funded or paid, to (i) fund any portion of its Loans, (ii) fund any portion of its participations in Letters of Credit or Protective Advances or (iii) pay over to any Credit Party any other amount required to be paid by it hereunder, unless, in the case of clause (i) above, such Lender notifies the Administrative Agent and the Borrower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Protective Advances under this Agreement, provided that such Lender shall cease to be a Defaulting Lender pursuant to this clause (c) upon such Credit Party’s receipt of such written certification in form and substance satisfactory to it and the Administrative Agent or (d) has become the subject of (i) a Bankruptcy Event or (ii) a Bail-In Action. “Deposit Account Control Agreement” means individually and collectively, each “Deposit Account Control Agreement” referred to in the Guarantee and Collateral Agreement. “Designated Non-Cash Consideration” means the fair market value of non-cash consideration received by the Borrower or one of its Restricted Subsidiaries in connection with a Disposition that is so designated as Designated Non-Cash Consideration pursuant to a certificate of a Responsible Officer, setting forth the basis of such valuation, less the amount of cash and Cash Equivalents received in connection with a subsequent sale of such Designated Non-Cash Consideration within 180 days of receipt of such Designated Non-Cash Consideration. “Disposition” means with respect to any property, any sale, lease, sale and leaseback, assignment, conveyance, transfer or other disposition (in one transaction or in a series of related transactions) of any property by any Person (including any issuance of Capital Stock by a Subsidiary of such Person), including any sale, assignment, transfer or other disposal, with or without recourse, of any rental agreements, chattel paper, notes or accounts receivable or any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6"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rights and claims associated therewith. The terms “Dispose” and “Disposed of” shall have correlative meanings. “Disqualified Capital Stock” means with respect to any Person, any Capital Stock of such Person that by its terms (or by the terms of any security into which it is convertible or for which it is exchangeable, either mandatorily or at the option of the holder thereof), or upon the happening of any event or condition: (a) matures or is mandatorily redeemable (other than solely for Capital Stock of such Person that does not constitute Disqualified Capital Stock and cash in lieu of fractional shares of such Capital Stock) whether pursuant to a sinking fund obligation or otherwise; (b) is convertible or exchangeable, either mandatorily or at the option of the holder thereof, for Indebtedness or Capital Stock (other than solely for Capital Stock of such Person that does not constitute Disqualified Capital Stock and cash in lieu of fractional shares of such Capital Stock); or (c) is redeemable (other than solely for Capital Stock of such Person that does not constitute Disqualified Capital Stock and cash in lieu of fractional shares of such Capital Stock) or is required to be repurchased by the Borrower or any Restricted Subsidiary, in whole or in part, at the option of the holder thereof; in each case, on or prior to the date that is 91 days after the Latest Maturity Date (determined as of the date of issuance thereof or, in the case of any such Capital Stock outstanding on the Closing Date, the Closing Date); provided, however, that (i) Capital Stock of any Person that would not constitute Disqualified Capital Stock but for terms thereof giving holders thereof the right to require such Person to redeem or purchase such Capital Stock upon the occurrence of an “asset sale”, “condemnation” or a “change of control” (or similar event, however denominated) shall not constitute Disqualified Capital Stock if any such requirement becomes operative only after repayment in full of all the Loans and all other Obligations that are accrued and payable and the termination of all Commitments, (ii) Capital Stock of any Person that is issued to any employee or to any plan for the benefit of employees or by any such plan to such employees shall not constitute Disqualified Capital Stock solely because it may be required to be repurchased by such Person or any of its subsidiaries in order to satisfy applicable statutory or regulatory obligations or as a result of such employee’s termination, death or disability and (iii) only such portion of the Capital Stock that matures, is mandatorily redeemable, or is convertible or exchangeable prior to such date as set forth in clauses (a) through (c) above shall constitute Disqualified Capital Stock. “Disqualified Lenders” means (a) certain banks, financial institutions, other institutional lenders and other Persons that have been specified in writing to the Administrative Agent by the Borrower prior to the Second Amendment Effective Date, (b) competitors of the Borrower and its Restricted Subsidiaries and any affiliate of such competitor, in each case, that is identified in writing to the Administrative Agent by the Borrower from time to time and (c) any affiliates of the entities described in the foregoing clauses (a) or (b) that are clearly identifiable as affiliates of such entities solely on the basis of the similarity of their names (other than affiliates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7"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constitute bona fide debt funds primarily investing in loans). In no event shall the designation of any Person as a Disqualified Lender apply (x) to disqualify any Person until three (3) Business Days after such Person shall have been identified in writing to the Administrative Agent via electronic mail submitted to JPMDQ_Contact@jpmorgan.com (or to such other address as the Administrative Agent may designate to the Borrower from time to time). For the avoidance of doubt, with respect to any assignee that becomes a Disqualified Lender after the applicable Trade Date (including as a result of the delivery of a notice pursuant to, and/or the expiration of the notice period referred to in, this definition) or is otherwise party to a pending trade as of the date of such notice, (x) such assignee shall not retroactively be disqualified from becoming a Lender and (y) the execution by the Borrower of an Assignment and Assumption with respect to such assignee will not by itself result in such assignee no longer being considered a Disqualified Lender. “Documents” has the meaning set forth in the Guarantee and Collateral Agreement. “Dollars” and “$” means dollars in lawful currency of the United States. “Domestic Subsidiary” means any Restricted Subsidiary of the Borrower organized under the laws of any jurisdiction within the United States. “Early Maturing Notes” means the Unsecured Notes and any extension, refinancing, replacement or renewal thereof that has a scheduled maturity date prior to 91 days after the Scheduled Maturity Date. “ECP Fallaway Date” has the meaning given to such term in Section 6.13(d). “EEA Financial Institution”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“Electronic Chattel Paper” means “electronic chattel paper”, as defined in article 9 of the New York Uniform Commercial Code. “Electronic Signature” means an electronic sound, symbol, or process attached to, or associated with, a contract or other record and adopted by a Person with the intent to sign, authenticate or accept such contract or record.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8"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Eligible Assignee” means (a) a Lender, (b) an Affiliate of a Lender, (c) an Approved Fund, (d) any commercial bank and (e) any other financial institution or investment fund engaged as a primary activity in the ordinary course of its business in making or investing in commercial loans or debt securities, other than, in each case, (i) a natural person, (ii) the Borrower, any Subsidiary or any other Affiliate of the Borrower or (iii) a Disqualified Lender. “Eligible Installment Sales Accounts” means at any time, the Accounts of the Loan Parties which the Administrative Agent determines in its Permitted Discretion (following (to the extent practicable) reasonable prior notice to, and consultation with, the Borrower, and in any event exercised consistent with past practice with respect to the Accounts of the Loan Parties) are eligible as the basis for the extension of Revolving Loans and the issuance of Letters of Credit. Without limiting the Administrative Agent’s Permitted Discretion provided herein, Eligible Installment Sales Accounts shall not include any Account: (a) which is not subject to a first priority (subject to Permitted Encumbrances) perfected security interest in favor of the Administrative Agent on behalf of the Secured Parties; (b) which is subject to any Lien other than (i) a Lien in favor of the Administrative Agent, (ii) a Lien in favor of the Term Loan Administrative Agent which does not have priority over the Lien in favor of the Administrative Agent, (iii) a Lien in favor of the administrative agent or trustee in respect of any Junior Indebtedness which does not have priority over the Lien in favor of the Administrative Agent and (iv) a Permitted Encumbrance; (c) (i) which is unpaid more than 30 days after the original due date therefor (“Overage”) (when calculating the amount under this clause (i), for the same Account Debtor, the Administrative Agent shall include the net amount of such Overage and add back any credits, but only to the extent that such credits do not exceed the total gross receivables from such Account Debtor), or (ii) which has been written off the books of the Borrower or other applicable Loan Party or otherwise designated as uncollectible; (d) with respect to which any representation or warranty contained in this Agreement or in the Guarantee and Collateral Agreement is not true in any material respect; (e) which (i) does not arise from the sale of goods or performance of services in the ordinary course of business, (ii) is not evidenced by an invoice or other documentation satisfactory to the Administrative Agent (utilizing its Permitted Discretion (following (to the extent practicable) reasonable prior notice to, and consultation with, the Borrower)) which has been sent to the Account Debtor, (iii) represents a progress billing, (iv) is contingent upon a Loan Party’s completion of any further performance, (v) represents a sale on a bill-and-hold, guaranteed sale, sale-and-return, sale on approval, consignment, cash-on-delivery or any other repurchase or return basis or (vi) relates to payments of interest; (f) for which the goods giving rise to such Account have not been shipped to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9"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Account Debtor or if such Account was invoiced more than once; (g) with respect to which any check or other instrument of payment has been returned uncollected for any reason; (h) which is owed by an Account Debtor which has (i) applied for, suffered, or consented to the appointment of any receiver, custodian, trustee, or liquidator of its assets, (ii)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any state or federal bankruptcy laws (other than post-petition accounts payable of an Account Debtor that is a debtor-in-possession under the Bankruptcy Code and reasonably acceptable to the Administrative Agent), (iv) admitted in writing its inability, or is generally unable to, pay its debts as they become due, (v) become insolvent, or (vi) ceased operation of its business; (i) which, for any Account Debtor, exceeds a credit limit determined by the Administrative Agent in its Permitted Discretion, to the extent of such excess; (j) which is owed in any currency other than Dollars; (k) which is owed by any Affiliate of any Loan Party or any employee, officer or director of any Loan Party; (l) 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 (m) which is subject to any asserted counterclaim, deduction, defense, setoff or dispute but only to the extent of any such asserted counterclaim, deduction, defense, setoff or dispute; (n) which is evidenced by any promissory note or instrument and such promissory note or instrument is not pledged and delivered to the Administrative Agent; (o) which is owed by an Account Debtor (i) located in any jurisdiction which requires filing of a “Notice of Business Activities Report” or other similar report in order to permit the applicable Loan Party to seek judicial enforcement in such jurisdiction of payment of such Account, unless the applicable Loan Party has filed such report or qualified to do business in such jurisdiction or (ii) which is a Sanctioned Person; (p) following the consummation of a Qualified Securitization Transaction, which is owed to or originated by the Acquired Business (or any subsidiary of Acima formed or acquired after the Closing Date); (q) which does not comply in all material respects with the requirements of all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0"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laws and regulations, whether Federal, state or local, including the Federal Consumer Credit Protection Act, the Federal Truth in Lending Act and Regulation Z of the Consumer Financial Protection Bureau; (r) which is for goods that have been sold under a purchase order or pursuant to the terms of a written contract or other written agreement that indicates or purports that any Person other than a Loan Party has or has had an ownership interest in such goods, or which indicates any party other than a Loan Party as payee or remittance party; or (s) which the Administrative Agent determines in its Permitted Discretion (following (to the extent practicable) reasonable prior notice to, and consultation with, the Borrower) may not be paid by reason of the Account Debtor’s inability to pay or which the Administrative Agent otherwise determines is unacceptable in its Permitted Discretion. In determining the amount of an Eligible Installment Sales Account, the face amount of an Account may, in the Administrative Agent’s Permitted Discretion (following (to the extent practicable) reasonable prior notice to, and consultation with, the Borrower), be reduced by, without duplication, to the extent not reflected in such face amount, (i) the amount of all accrued and actual discounts, claims, credits or credits pending, promotional program allowances, price adjustments, finance charges or other allowances (including any amount that any Loan Party may be obligated to rebate to an Account Debtor pursuant to the terms of any agreement or understanding (written or oral)) and (ii) the aggregate amount of all cash received in respect of such Account but not yet applied by the applicable Loan Party to reduce the amount of such Account. Standards of eligibility may be made more restrictive from time to time by the Administrative Agent in its Permitted Discretion, following (to the extent practicable) reasonable prior notice to, and consultation with, the Borrower, with any such changes to be effective four days after delivery of notice thereof to the Borrower and the Lenders; provided that if consultation with the Borrower and/or notice to the Borrower and the Lenders is not practicable or if failure to implement any such change within a shorter time period would, in the good faith judgment of the Administrative Agent, reasonably be expected to result in a Material Adverse Effect or materially and adversely affect the Collateral (taken as a whole) or the rights of the Lenders under the Loan Documents (taken as a whole), such change may be implemented within a shorter time as determined by the Administrative Agent in its Permitted Discretion. Prior to any Accounts that are acquired in a Material Transaction becoming “Eligible Installment Sales Accounts”, the Administrative Agent shall have received (unless the Administrative Agent otherwise agrees in its Permitted Discretion) an audit and field examination in respect of such Accounts, the results of which are reasonably satisfactory to the Administrative Agent; provided, that if the Administrative Agent agrees in its Permitted Discretion that such audit or field examination shall not be required, it may, in its Permitted Discretion, include such Accounts as “Eligible Installment Sales Accounts” at a lower advance rate or provide a sublimit on the amount that such Accounts may contribute to the Borrowing Base. “Eligible Inventory Held for Rent” means at any time, the Inventory Held for Rent of the Loan Parties which the Administrative Agent determines in its Permitted Discretion (following (to the extent practicable) reasonable prior notice to, and consultation with, the Borrower, and in any event exercised consistent with past practice with respect to the Inventory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1"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Held for Rent of the Loan Parties) is eligible as the basis for the extension of Revolving Loans and the issuance of Letters of Credit. Without limiting the Administrative Agent’s Permitted Discretion provided herein, Eligible Inventory Held for Rent shall not include any Inventory: (a) which is not subject to a first priority (subject to Permitted Encumbrances) perfected Lien in favor of the Administrative Agent on behalf of the Secured Parties; (b) which is subject to any Lien other than (i) a Lien in favor of the Administrative Agent, (ii) a Lien in favor of the Term Loan Administrative Agent which does not have priority over the Lien in favor of the Administrative Agent, (iii) a Lien in favor of the administrative agent or trustee in respect of any Junior Indebtedness which does not have priority over the Lien in favor of the Administrative Agent and (iv) a Permitted Encumbrance; (c) which (i) is, in the Administrative Agent’s Permitted Discretion (following (to the extent practicable) reasonable prior notice to, and consultation with, the Borrower), slow moving, obsolete, unmerchantable, defective, used, unfit for sale, not salable at prices approximating at least the cost of such Inventory in the ordinary course of business or unacceptable due to age, type, category and/or quantity, (ii) is Inventory that has been Inventory Held for Rent for more than 12 months and has not been rented since the date of acquisition thereof or (iii) which is in disrepair or in the process of being repaired; (d) with respect to which any representation or warranty contained in this Agreement or in the Guarantee and Collateral Agreement is not true in any material respect or which does not conform in all material respects to all standards imposed by any Governmental Authority; (e) in which any Person other than a Loan Party shall (i) have any direct or indirect ownership, interest (including rental interest) or title to such Inventory or (ii) be indicated on any purchase order or invoice with respect to such Inventory as having or purporting to have an interest therein; (f) which is not finished goods or which constitutes work-in-process, raw materials,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rent in the ordinary course of business; (g) which is not located in the United States or Puerto Rico; (h) which is not located in a store, distribution center, collection center or national product service center which premises are, in each case, owned by a Loan Party, unless such store, distribution center, collection center or national product service center is leased by the Borrower and (i) the lessor has delivered to the Administrative Agent a Collateral Access Agreement or (ii) a Reserve for rent, charges and other amounts due or to become due with respect to such facility (which Reserve shall be based off the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2"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liquidation scenario set forth in the most recent Inventory appraisal received by the Administrative Agent) has been established by the Administrative Agent in its Permitted Discretion; (i) which is a discontinued product or component thereof; (j) which is the subject of a consignment by the applicable Loan Party as consignor; (k) which is perishable; (l) which contains or bears any intellectual property rights licensed to the applicable Loan Party unless the Administrative Agent is reasonably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 (m) which is not reflected in a current perpetual inventory report of the Loan Parties (unless such Inventory is reflected in a report to the Administrative Agent as “in transit” Inventory); (n) for which reclamation rights have been asserted by the seller; (o) which has been acquired from a Sanctioned Person; (p) which the Administrative Agent in its Permitted Discretion (following (to the extent practicable) reasonable prior notice to, and consultation with, the Borrower) determines is unacceptable; or (q) following the consummation of a Qualified Securitization Transaction, is owned by the Acquired Business (or any subsidiary of Acima formed or acquired after the Closing Date). Standards of eligibility may be made more restrictive from time to time by the Administrative Agent in its Permitted Discretion, after consultation (to the extent practicable) with the Borrower, with any such changes to be effective four days after delivery of notice thereof to the Borrower and the Lenders; provided that if consultation with the Borrower and/or notice to the Borrower and the Lenders is not practicable or if failure to implement any such change within a shorter time period would, in the good faith judgment of the Administrative Agent, reasonably be expected to result in a Material Adverse Effect or materially and adversely affect the Collateral (taken as a whole) or the rights of the Lenders under the Loan Documents (taken as a whole), such change may be implemented within a shorter time as determined by the Administrative Agent in its Permitted Discretion. Prior to any Inventory that is acquired in a Material Transaction becoming “Eligible Inventory Held for Rent”, the Administrative Agent shall have received (unless the Administrative Agent otherwise agrees in its Permitted Discretion) a field examination and an appraisal in respect of such Inventory, the results of which are reasonably satisfactory to the Administrative Agent; provided, that if the Administrative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3"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agrees in its Permitted Discretion that such field examination or appraisal shall not be required, it may, in its Permitted Discretion, include such Inventory as “Eligible Inventory Held for Rent” at a lower advance rate or provide a sublimit on the amount that such Inventory may contribute to the Borrowing Base. “Eligible Rental Agreements” means, at any time, rental agreements entered into by any Loan Party with a customer of such Loan Party which the Administrative Agent determines in its Permitted Discretion (following (to the extent practicable) reasonable prior notice to, and consultation with, the Borrower, and in any event exercised consistent with past practice with respect to the rental agreements of the Loan Parties) are eligible as the basis for the extension of Revolving Loans and the issuance of Letters of Credit. Without limiting the Administrative Agent’s Permitted Discretion provided herein, Eligible Rental Agreements shall not include any rental agreement: (a) which is not subject to a first priority (subject to Permitted Encumbrances) perfected security interest in favor of the Administrative Agent on behalf of the Secured Parties; (b) which is subject to any Lien other than (i) a Lien in favor of the Administrative Agent, (ii) a Lien in favor of the Term Loan Administrative Agent which does not have priority over the Lien in favor of the Administrative Agent, (iii) a Lien in favor of the administrative agent or trustee in respect of any Junior Indebtedness which does not have priority over the Lien in favor of the Administrative Agent and (iv) a Permitted Encumbrance; (c) with respect to which the remaining value of the inventory in respect thereof has been written off the books of the Borrower or other applicable Loan Party or otherwise designated as uncollectible; (d) with respect to which any representation or warranty contained in this Agreement or in the Guarantee and Collateral Agreement is not true in any material respect; (e) which does not arise from the rent of goods in the ordinary course of business; (f) for which the goods subject to such rental agreement have not been shipped to the applicable counterparty; (g) with respect to which the amounts due under such rental agreement remain unpaid after the original due date for a period to be determined by the Administrative Agent from time to time in a manner that is consistent with the period provided for in the most recently delivered Collateral Monitoring Template or the most recent Rental Agreement Portfolio appraisal ordered by the Administrative Agent; (h) with respect to which the counterparty thereof has (i) applied for, suffered, or consented to the appointment of any receiver, custodian, trustee, or liquidator of its assets, (ii) had possession of all or a material part of its property taken by any receiver,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4"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custodian, trustee or liquidator, (iii) filed, or had filed against it, any request or petition for liquidation, reorganization, arrangement, adjustment of debts, adjudication as bankrupt, winding-up, or voluntary or involuntary case under any state or federal bankruptcy laws (other than post-petition accounts payable of an Account Debtor that is a debtor-in-possession under the Bankruptcy Code and reasonably acceptable to the Administrative Agent), (iv) admitted in writing its inability, or is generally unable to, pay its debts as they become due, (v) become insolvent, or (vi) ceased operation of its business; (i) with respect to which rental payments are owed in any currency other than Dollars; (j) which is not governed by the law of the United States, any state thereof or Puerto Rico; (k) which is not generated in the United States or Puerto Rico; (l) with respect to which the counterparty thereof is an Affiliate of any Loan Party or any employee, officer or director of any Loan Party; (m) with respect to which the counterparty thereof is a Person to which any Loan Party is indebted, but only to the extent of such indebtedness; (n) with respect to which the payments thereunder are subject to any asserted counterclaim, deduction, defense, setoff or dispute but only to the extent of any such asserted counterclaim, deduction, defense, setoff or dispute; (o) with respect to which the Borrower or the applicable Loan Party has made any agreement with the counterparty thereof for any reduction in any rental payments or other amounts due thereunder, other than discounts and adjustments given in the ordinary course of business that are consistent with the treatment provided for in the most recently delivered Collateral Monitoring Template or the most recent Rental Agreement Portfolio appraisal ordered by the Administrative Agent; (p) which does not comply in all material respects with the requirements of all applicable laws and regulations, whether Federal, state or local; (q) which is for goods that have been rented pursuant to the terms of a written contract or other written agreement that indicates or purports that any Person other than a Loan Party has or has had an ownership interest in such goods, or which indicates any party other than a Loan Party as payee or remittance party; (r) following the consummation of a Qualified Securitization Transaction, which is an asset of or originated by the Acquired Business (or any subsidiary of Acima formed or acquired after the Closing Date); or (s) with respect to which the Administrative Agent determines in its Permitted Discretion (following (to the extent practicable) reasonable prior notice to, and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5"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consultation with, the Borrower) the rental payments or other payments thereunder may not be paid by reason of the counterparty’s inability to pay or which the Administrative Agent otherwise determines is unacceptable in its Permitted Discretion. Standards of eligibility may be made more restrictive from time to time by the Administrative Agent in its Permitted Discretion, following (to the extent practicable) reasonable prior notice to, and consultation with, the Borrower, with any such changes to be effective four days after delivery of notice thereof to the Borrower and the Lenders; provided that if consultation with the Borrower and/or notice to the Borrower and the Lenders is not practicable or if failure to implement any such change within a shorter time period would, in the good faith judgment of the Administrative Agent, reasonably be expected to result in a Material Adverse Effect or materially and adversely affect the Collateral (taken as a whole) or the rights of the Lenders under the Loan Documents (taken as a whole), such change may be implemented within a shorter time as determined by the Administrative Agent in its Permitted Discretion. Prior to any rental agreement that is acquired in a Material Transaction becoming an “Eligible Rental Agreement”, the Administrative Agent shall have received (unless the Administrative Agent otherwise agrees in its Permitted Discretion) a field examination and an appraisal in respect of such rental agreement, the results of which are reasonably satisfactory to the Administrative Agent; provided, that if the Administrative Agent agrees in its Permitted Discretion that such field examination or appraisal shall not be required with respect to any rental agreements acquired in any future Material Transaction, it may, in its Permitted Discretion, include such rental agreements as “Eligible Rental Agreements” at a lower advance rate or provide a sublimit on the amount that such rental agreements may contribute to the Borrowing Base. “Environmental Laws” means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insofar as involving exposure to harmful or deleterious substances or the environment, as now or may at any time hereafter be in effect. “Environmental Permits” means any and all permits, licenses, approvals, registrations, notifications or authorizations required under any Environmental Law. “ERISA” means the Employee Retirement Income Security Act of 1974, as amended from time to time, and the rules and regulations promulgated thereunder. “ERISA Affiliate”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 “ERISA Event”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6"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or in reorganization, within the meaning of Title IV of ERISA. “EU Bail-In Legislation Schedule” means the EU Bail-In Legislation Schedule published by the Loan Market Association (or any successor Person), as in effect from time to time. “Event of Default” means any of the events specified in Section 8, provided that any requirement for the giving of notice, the lapse of time, or both, has been satisfied. “Exchange Act” means the Securities Exchange Act of 1934, as amended. “Excluded Subsidiary” means (a) any Unrestricted Subsidiary, (b) any Immaterial Subsidiary, (c) any non-Wholly Owned Subsidiary, (d) any Subsidiary that is prohibited or restricted by applicable law, rule or regulation or by any contractual obligation existing on the Closing Date or on the date such Subsidiary was acquired (so long as such contractual obligation was not entered into in contemplation of such acquisition) from guaranteeing the Obligations or which would require a governmental (including regulatory) consent, approval, license or authorization to provide a guarantee unless such consent, approval, license or authorization has been received, (e) any CFC or CFC Holding Company, (f) any Domestic Subsidiary of a Foreign Subsidiary, (g) not-for-profit Subsidiaries and captive insurance companies, (h) the Insurance Subsidiary, (i) any Subsidiary whose provision of a guarantee would have a cost that is excessive in relation to the value afforded thereby as determined by the Administrative Agent in its reasonable discretion and (j) any Securitization Subsidiary. Each Excluded Subsidiary as of the Closing Date is set forth on Schedule 4.15. “Excluded Swap Obligation” means with respect to any Loan Party (a) any Swap Obligation if, and to the extent that, and only for so long as, all or a portion of the guarantee of such Loan Party of, or the grant by such Loan Party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Loan Party’s failure to constitute an “eligible contract participant,” as defined in the Commodity Exchange Act and the regulations thereunder, at the time the guarantee of (or grant of such security interest by, as applicable) such Loan Party becomes or would become effective with respect to such Swap Obligation or (b) any other Swap Obligation designated as an “Excluded Swap Obligation” of such Loan Party as specified in any agreement between the relevant Loan Parties and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7"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counterparty applicable to such Swap Obligations, and agreed by the Administrative Agent. If a Swap Obligation arises under a master agreement governing more than one Swap, such exclusion shall apply only to the portion of such Swap Obligation that is attributable to Swaps for which such guarantee or security interest is or becomes illegal. “Excluded Taxes” means any of the following Taxes imposed on or with respect to a Credit Party or required to be withheld or deducted from a payment to a Credit Party, (a) Taxes imposed on or measured by net income (however denominated), franchise Taxes, and branch profits Taxes, in each case, (i) imposed as a result of a Credit Party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a Lender with respect to an applicable interest in a Loan or Commitment pursuant to a law in effect on the date on which (i) a Lender acquires such interest in the Loan or Commitment (other than pursuant to an assignment request by the Borrower under Section 2.22) or (ii) a Lender changes its lending office, except in each case to the extent that, pursuant to Section 2.19, amounts with respect to such Taxes were payable either to such Lender’s assignor immediately before such Lender acquired the applicable interest in a Loan or Commitment or to such Lender immediately before it changed its lending office, (c) Taxes attributable to a Credit Party’s failure to comply with Section 2.19(f) and (d) any U.S. federal withholding Taxes imposed under FATCA. “Existing ABL Facility” means that certain ABL Credit Agreement, dated as of August 5, 2019, among the Borrower, the several lenders from time to time party thereto and JPMorgan Chase Bank, N.A., as administrative agent, as amended, supplemented or otherwise modified. “Existing Letters of Credit” means the letters of credit existing on the Closing Date and identified on Schedule 3.1. “Existing Term Loan Facility” means that certain Term Loan Credit Agreement, dated as of August 5, 2019, among the Borrower, the several lenders from time to time party thereto and JPMorgan Chase Bank, N.A., as administrative agent, as amended, supplemented or otherwise modified. “Facility” means this Agreement and the Commitments and the Revolving Loans made thereunder. “FATCA”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8"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Federal Funds Effective Rate”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 “Federal Reserve Board” means the Board of Governors of the Federal Reserve System of the United States. “Fee Payment Date” means (a) the first Business Day of each January, April, July and October and (b) the last day of the Revolving Commitment Period. “Finance Lease Obligations” means as to any Person, the obligations of such Person to pay rent or other amounts under any lease of (or other arrangement conveying the right to use) real or personal property, or a combination thereof, which obligations are required to be classified and accounted for as finance leases on a balance sheet of such Person under GAAP and, for the purposes of this Agreement, the amount of such obligations at any time shall be the capitalized amount thereof at such time determined in accordance with GAAP. “Fixed Asset Priority Collateral” has the meaning given to such term in the Intercreditor Agreement. “Fixed Asset Obligations Payment Date” has the meaning given to such term in the Intercreditor Agreement. “Fixed Asset Secured Parties” has the meaning given to such term in the Intercreditor Agreement. “Floor” means the benchmark rate floor, if any, provided in this Agreement initially (as of the execution of this Agreement, the modification, amendment or renewal of this Agreement or otherwise) with respect to Adjusted Term SOFR or Adjusted Daily Simple SOFR, as applicable. For the avoidance of doubt the initial Floor for each of Adjusted Term SOFR and Adjusted Daily Simple SOFR shall be 0.00%. “Foreign Benefit Arrangement” means any employee benefit arrangement mandated by non-U.S. law that is maintained or contributed to by any Group Member, any ERISA Affiliate or any other entity related to a Group Member on a controlled group basis. “Foreign Plan” means each employee benefit plan (within the meaning of Section 3(3) of ERISA, whether or not such plan is subject to ERISA) that is not subject to US law and is maintained or contributed to by any Group Member, or ERISA Affiliate or any other entity related to a Group Member on a controlled group basis. “Foreign Plan Event” means with respect to any Foreign Benefit Arrangement or Foreign Plan, (a) the failure to make or, if applicable, accrue in accordance with normal accounting practices, any employer or employee contributions required by applicable law or by the terms of such Foreign Benefit Arrangement or Foreign Plan; (b) the failure to register or loss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9"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good standing with applicable regulatory authorities of any such Foreign Benefit Arrangement or Foreign Plan required to be registered; or (c) the failure of any Foreign Benefit Arrangement or Foreign Plan to comply with any material provisions of applicable law and regulations or with the material terms of such Foreign Benefit Arrangement or Foreign Plan. “Foreign Subsidiary” means any Restricted Subsidiary of the Borrower that is not a Domestic Subsidiary. “Full Cash Dominion Period” means (a) each period when a Specified Event of Default shall have occurred and be continuing and (b) each period beginning on the third consecutive day on which Availability is less than the greater of (i) 12.5% of the Line Cap and (ii) $50,000,000; provided that any such Full Cash Dominion Period commencing pursuant to clause (b) shall end when and if Availability shall have been not less than (A) such specified level and (B) $50,000,000 for 30 consecutive days each. “Funding Office” means the office of the Administrative Agent specified in Section 10.2 or such other office as may be specified from time to time by the Administrative Agent as its funding office by written notice to the Borrower and the Lenders. “Funding SPV” means Radiant Funding SPV, LLC, a Delaware limited liability company. “GAAP” means generally accepted accounting principles in the United States as in effect from time to time. In the event that any “Accounting Change” (as defined below) shall occur and such change results in a change in the method of calculation of financial covenants, standards or terms in this Agreement, then the Borrower and the Administrative Agent agree to enter into negotiations to promptly amend such provisions of this Agreement so as to reflect equitably such Accounting Changes with the desired result that the criteria for evaluating the Borrower’s results of operations and/or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“Accounting Changes” refers to changes in accounting principles required by the promulgation of any rule, regulation, pronouncement or opinion by the Financial Accounting Standards Board or, if applicable, the SEC. “Governmental Authority” means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any securities exchange and any self-regulatory organization (including the National Association of Insurance Commissioners). “Group Members” means the collective reference to the Borrower and its Restricted Subsidiaries.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0"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Guarantee and Collateral Agreement” means the ABL Guarantee and Collateral Agreement, dated as of the Closing Date, executed and delivered by the Borrower and each Subsidiary Guarantor, substantially in the form of Exhibit D, as the same may be amended, restated, amended and restated, modified, supplemented and/or replaced (in form reasonably satisfactory to the Administrative Agent) from time to time. “Guarantee Obligation” means as to any Person (the “guaranteeing person”),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“primary obligations”) of any other third Person (the “primary obligor”)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or reasonable indemnity obligations entered into in connection with any acquisition or disposition of assets.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 “Immaterial Subsidiary” means any Restricted Subsidiary that is not a Material Subsidiary and that is designated by the Borrower in writing to the Administrative Agent as an “Immaterial Subsidiary”; provided that if (i) as of the last day of the most recently ended fiscal quarter of the Borrower for which financial statements have been delivered pursuant to Section 5.1(a) or (b), the aggregate tangible assets of Immaterial Subsidiaries, as of the last day of such fiscal quarter, is greater than 5% of Consolidated Total Assets or (ii) the aggregate contribution of Immaterial Subsidiaries to Consolidated EBITDA for the Applicable Reference Period is greater than 5% of Consolidated EBITDA for such Applicable Reference Period, then one or more Restricted Subsidiaries that are not Material Subsidiaries shall promptly be designated by the Borrower in writing to the Administrative Agent as a “Material Subsidiary” until such excess has been eliminated. Each Immaterial Subsidiary as of the Closing Date is set forth on Schedule 4.15.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1"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Increased Facility Activation Notice” means a notice substantially in the form of Exhibit I-1 or in such other form as is reasonably acceptable to the Administrative Agent. “Increased Facility Closing Date” means any Business Day designated as such in an Increased Facility Activation Notice. “Incremental Commitments” has the meaning set forth in Section 2.24(a). “Indebtedness” means of any Person at any date, without duplication, (a) all indebtedness of such Person for borrowed money, (b) all obligations of such Person for the deferred purchase price of property or services,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Finance Lease Obligations of such Person, (f) all obligations of such Person, contingent or otherwise, as an account party or applicant under or in respect of acceptances, letters of credit, surety bonds or similar arrangements, (g) the liquidation value of all Disqualified Capital Stock of such Person,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(but only to the extent of the lesser of (i) the amount of such Indebtedness and (ii) the fair market value of such property), and (j) for the purposes of Section 8(e) only, all obligations of such Person in respect of Swap Agreements; provided that Indebtedness shall not include (i) trade payable and accrued expenses incurred in the ordinary course of business and not more than 120 days overdue, (ii) ordinary course intercompany liabilities having a term not exceeding 365 days (inclusive of any roll-over or extension of terms) or any other ordinary course intercompany liabilities not constituting Specified Indebtedness, (iii) prepaid or deferred revenue arising in the ordinary course of business, (iv) purchase price holdbacks arising in the ordinary course of business in respect of a portion of the purchase price of an asset to satisfy unperformed obligations of the seller of such assets, (v) deferred compensation payable to employees, officers and directors and (vi) any earn-out obligation until such obligation becomes a liability on the balance sheet of such Person in accordance with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Any Indebtedness for which proceeds have been escrowed or otherwise deposited to repay, defease, redeem or satisfy and discharge such Indebtedness shall not be deemed outstanding. “Indemnified Liabilities” has the meaning set forth in Section 10.5. “Indemnified Taxes” means (a) Taxes, other than Excluded Taxes, imposed on or with respect to any payment made by or on account of any obligation of any Loan Party under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2"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Loan Document and (b) to the extent not otherwise described in clause (a) above, Other Taxes. “Indemnitee” has the meaning set forth in Section 10.5(d). “Initiatives” has the meaning set forth in the definition of Consolidated EBITDA. “Insolvent” means with respect to any Multiemployer Plan, the condition that such plan is insolvent within the meaning of Section 4245 of ERISA. “Insurance Subsidiary” means Legacy Insurance Co., Ltd., a Bermuda company and a Wholly Owned Subsidiary of the Borrower formed for the sole purpose of writing insurance only for the risks of the Borrower and its Subsidiaries. “Insurance Subsidiary Indebtedness Cap” means, as of any time of determination, (a) $95,000,000 plus (b) the lesser of (i) the Unrestricted Cash owned by the Insurance Subsidiary as of such time of determination and (ii) $50,000,000. “Intellectual Property” has the meaning set forth in the Guarantee and Collateral Agreement. “Intercreditor Agreement” means the ABL/Fixed Asset Intercreditor Agreement, dated as of the Closing Date, among the Borrower, the Subsidiary Guarantors, the Administrative Agent and the Term Loan Administrative Agent, and any other intercreditor agreement substantially in the form of Exhibit K, in each case, as the same may be amended, restated, amended and restated, modified, supplemented and/or replaced (in form reasonably satisfactory to the Administrative Agent) from time to time. “Interest Election Request” means a request by the Borrower to convert or continue a Revolving Borrowing in accordance with Section 2.12 and the definition of “Interest Period”, which shall be substantially in the form of Exhibit B or any other form approved by the Administrative Agent. “Interest Payment Date” means (a) as to any ABR Loan, the first Business Day of each January, April, July and October to occur while such Loan is outstanding and the final maturity date of such Loan, (b) as to any Term SOFR Loan having an Interest Period of three months or less, the last day of such Interest Period, (c) as to any Term SOFR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“Interest Period” means, with respect to any Term SOFR Borrowing, the period commencing on the date of such Borrowing and ending on the numerically corresponding day in the calendar month that is one (1), three (3) or six (6) months thereafter (in each case, subject to the availability for the Benchmark applicable to the relevant Loan or Commitment), as the Borrower may elect; provided that (i) if any Interest Period would end on a day other than a Business Day, such Interest Period shall be extended to the next succeeding Business Day unless such next succeeding Business Day would fall in the next calendar month, in which case such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3"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tenor that has been removed from this definition pursuant to Section 2.16(f) shall be available for specification in such Borrowing Request or Interest Election Request and (iv) no more than ten (10) Interest Periods may be outstanding at any point in time. For purposes hereof, the date of a Borrowing initially shall be the date on which such Borrowing is made and, in the case of a Revolving Borrowing, thereafter shall be the effective date of the most recent conversion or continuation of such Borrowing. “Inventory” has the meaning set forth in the Guarantee and Collateral Agreement. “Inventory Held for Rent” means Inventory of a Loan Party which is being held for rent. “Investments” has the meaning set forth in Section 7.7. “IRS” means the United States Internal Revenue Service. “ISDA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“Issuing Lender” means each of (a) JPMCB, (b) Citizens Bank, N.A., (c) HSBC Bank USA, National Association and (d) Truist Bank and (e) any other Revolving Lender approved by the Administrative Agent and the Borrower that has agreed in its sole discretion to act as an “Issuing Lender” hereunder, or any of their respective affiliates, in each case in its capacity as issuer of any Letter of Credit, and their respective successors in such capacity as provided in Section 3.9. Each reference herein to “the Issuing Lender” shall be deemed to be a reference to the relevant Issuing Lender. Each Issuing Lender may, in its discretion, arrange for one or more Letters of Credit to be issued by any Affiliate of such Issuing Lender, in which case the term “Issuing Lender” shall include any such Affiliate with respect to Letters of Credit issued by such Affiliate. “Joint Venture” means a joint venture, partnership or other similar arrangement entered into by the Borrower or any Restricted Subsidiary, whether in corporate, partnership or other legal form; provided that in no event shall any Subsidiary be considered to be a Joint Venture. “JPMCB” means JPMorgan Chase Bank, N.A., a national banking association, in its individual capacity, and its successors. “Junior Indebtedness” means (i) any Subordinated Indebtedness and (ii) any Specified Indebtedness (other than the Term Loans, any Pari Passu Secured Indebtedness and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4"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Permitted Refinancing Indebtedness in respect thereof) of any Group Member that is secured by a Lien on the Collateral that is junior to the Lien on the Collateral securing the Obligations. “Latest Maturity Date” means at any date of determination, the latest scheduled maturity date applicable to any Loan hereunder at such time. “L/C Commitment” means, subject to Section 3.1(c), (i) as to JPMCB, $80,000,000, (ii) as to HSBC Bank USA, N.A., $25,000,000, (iii) as to Citizens Bank, N.A. $22,500,000 and (iv) as to Truist Bank, $22,500,000 as each of the foregoing amounts may be changed from time to time by the mutual agreement of the Administrative Agent and the Borrower. “L/C Disbursement” means a payment or disbursement made by an Issuing Lender pursuant to a Letter of Credit. “L/C Exposure” means at any time, the total L/C Obligations. The L/C Exposure of any Revolving Lender at any time shall be its Revolving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Lender and the Lenders shall have no further obligations to make any payments or disbursements under any circumstances with respect to any Letter of Credit. “L/C Obligations” means at any time, an amount equal to the sum of (a) the aggregate then undrawn and unexpired amount of the then outstanding Letters of Credit and (b) the aggregate amount of drawings under Letters of Credit that have not then been reimbursed pursuant to Section 3.5. “L/C Participants” means the collective reference to all the Revolving Lenders other than the Issuing Lender. “LCT Election” has the meaning set forth in Section 1.7. “LCT Test Date” has the meaning set forth in Section 1.7. “Lender Parent” means with respect to any Lender, any Person as to which such Lender is, directly or indirectly, a Subsidiary. “Lender-Related Person” has the meaning set forth in Section 10.5.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5"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Lenders” means the Persons listed on Schedule 1.1 and any other Person that shall have become a party hereto pursuant to an Assignment and Assumption or otherwise, other than any such Person that ceases to be a party hereto pursuant to an Assignment and Assumption or otherwise. Unless the context otherwise requires, the term “Lenders” includes the Issuing Lenders. “Letters of Credit” has the meaning set forth in Section 3.1. “Liabilities” means any losses, obligations, claims (including intraparty claims), damages, demands, penalties, judgments, suits, costs, expenses, disbursements or liabilities of any kind. “Lien” means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finance lease having substantially the same economic effect as any of the foregoing); provided that a “Lien” as defined herein shall not include any license, sublicense or similar right with respect to Intellectual Property. “Limited Condition Transaction” means any Investment that the Borrower or a Restricted Subsidiary is contractually committed to consummate (it being understood that such commitment may be subject to conditions precedent, which conditions precedent may be amended, satisfied or waived in accordance with the applicable agreement) and whose consummation is not conditioned on the availability of, or on obtaining, third party financing (it being understood that a “marketing period” or similar concept is not a financing condition). “Line Cap” means at any time, an amount equal to the lesser of (a) the Total Commitments and (b) the Borrowing Base. “Loan” means the loans made by the Lenders to the Borrower pursuant to this Agreement, including Protective Advances. “Loan Documents” means this Agreement, the Security Documents, the Intercreditor Agreement, the Notes and any amendment, restatement, amendment and restatement, waiver, supplement or other modification to or refinancing or replacement of any of the foregoing. “Loan Parties” means the Borrower and the Subsidiary Guarantors. “Margin Stock” means margin stock within the meaning of Regulations T, U and X, as applicable. “Material Acquisition” means any acquisition of property or series of related acquisitions of property that (a) constitutes assets comprising all or substantially all of an operating unit of a business or constitutes all or substantially all of the common stock of a Person and (b) involves the payment of consideration by the Group Members in excess of $55,000,000.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6"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Material Adverse Effect” means a material adverse effect on (i) the business, property, operations or financial condition of the Borrower and its Restricted Subsidiaries, taken as a whole, (ii) the ability of the Borrower and the other Loan Parties, taken as a whole, to perform their payment obligations under the Loan Documents to which they are a party or (iii) the validity or enforceability of the Loan Documents or the rights and remedies of the Administrative Agent under the Loan Documents taken as a whole. “Material Disposition” means any Disposition of property or series of related Dispositions of property that yields gross proceeds to the Group Members in excess of $55,000,000. “Material Indebtedness” means Indebtedness (other than the Loans) or Swap Obligations of any one or more of the Borrower and the Restricted Subsidiaries in an aggregate principal amount of $75,000,000 or more; provided that any Indebtedness outstanding under the Term Loan Credit Agreement shall be deemed to be Material Indebtedness. For purposes of determining Material Indebtedness, the “principal amount” of any Swap Obligation at any time shall be the maximum aggregate amount (giving effect to any netting agreements) that the Borrower and/or any applicable Restricted Subsidiary would be required to pay if the applicable Swap Agreement were terminated at such time. “Material Subsidiary” means, as of any date of determination, each Restricted Subsidiary (a) with total assets (including the value of Capital Stock of its subsidiaries) on such date of determination greater than 5.0% of Consolidated Total Assets, (b) whose contribution to Consolidated EBITDA for the Applicable Reference Period exceeds 5.0% of Consolidated EBITDA for the Applicable Reference Period or (c) that is designated as a “Material Subsidiary” pursuant to the definition of Immaterial Subsidiary. “Material Transaction” means any acquisition or series of related acquisitions in which a Loan Party acquires assets that, if included in the Borrowing Base, would increase the Borrowing Base by an amount in excess of $15,000,000. “Materials of Environmental Concern” means any gasoline or petroleum (including crude oil or any fraction thereof) or petroleum products, asbestos, polychlorinated biphenyls, urea-formaldehyde insulation, radioactivity, and any other substances, materials or wastes, that are regulated pursuant to or that could give rise to liability under any Environmental Law. “Maximum Term Loan Incremental Amount” means the sum of: (i) an amount represented by Incremental Term Loans (as defined in the Term Loan Credit Agreement) to be established pursuant to Section 2.24 of the Term Loan Credit Agreement, that are secured by Liens on the Collateral that are pari passu to the Liens on Collateral securing the Term Loans, if immediately after giving effect to the establishment thereof (excluding from Unrestricted Cash in making such pro forma calculation the Net Cash Proceeds of such Incremental Term Loans) the Consolidated Senior Secured Leverage Ratio for the Applicable Reference Period, calculated on a Pro Forma Basis as of the date of incurrence of such Indebtedness, would be equal to or less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7"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 either (A) 2.00 to 1.00 or (B) in the case of Incremental Term Loans (as defined in the Term Loan Credit Agreement) incurred in connection with a Permitted Acquisition or Investment permitted hereunder, the Consolidated Senior Secured Leverage Ratio immediately prior to such Permitted Acquisition or Investment giving pro forma effect to such Permitted Acquisition or Investment, (ii) an amount represented by Incremental Term Loans (as defined in the Term Loan Credit Agreement) to be established pursuant to Section 2.24 of the Term Loan Credit Agreement, that are secured by Liens on the Collateral that are junior to the Liens on Collateral securing the Term Loans, if immediately after giving effect to the establishment thereof (excluding from Unrestricted Cash in making such pro forma calculation the Net Cash Proceeds of such Incremental Term Loans) the Consolidated Secured Leverage Ratio for the Applicable Reference Period, calculated on a Pro Forma Basis as of the date of incurrence of such Indebtedness, would be equal to or less than either (A) 2.00 to 1.00 or (B) in the case of Incremental Term Loans (as defined in the Term Loan Credit Agreement) incurred in connection with a Permitted Acquisition or Investment permitted hereunder, the Consolidated Secured Leverage Ratio immediately prior to such Permitted Acquisition or Investment giving pro forma effect to such Permitted Acquisition or Investment, and (iii) an amount represented by Incremental Term Loans (as defined in the Term Loan Credit Agreement) to be established pursuant to Section 2.24 of the Term Loan Credit Agreement, that are unsecured, if immediately after giving effect to the establishment thereof (excluding from Unrestricted Cash in making such pro forma calculation the Net Cash Proceeds of such Incremental Term Loans) either (A) the Consolidated Leverage Ratio for the Applicable Reference Period, calculated on a Pro Forma Basis as of the date of incurrence of such Indebtedness, would be equal to or less than either (I) 2.50 to 1.00 or (II) in the case of Incremental Term Loans (as defined in the Term Loan Credit Agreement) incurred in connection with a Permitted Acquisition or Investment permitted hereunder, the Consolidated Leverage Ratio immediately prior to such Permitted Acquisition or Investment giving pro forma effect to such Permitted Acquisition or Investment or (B) the Cash Interest Coverage Ratio for the Applicable Reference Period, calculated on a Pro Forma Basis as of the date of incurrence of such Indebtedness, would be equal to or greater than either (I) 2.00:1.00 or (II) in the case of Incremental Term Loans (as defined in the Term Loan Credit Agreement) incurred in connection with a Permitted Acquisition or Investment permitted hereunder, the Cash Interest Coverage Ratio immediately prior to such Permitted Acquisition or Investment giving pro forma effect to such Permitted Acquisition or Investment. “Mexico Operations” means the operations in Mexico of the Borrower and its Subsidiaries. “Monthly Financial Statement Period” means any period (a) commencing on the first day on which Availability is less than the greater of (i) 12.5% of the Line Cap and (ii) $60,000,000 and (b) ending on the first subsequent day on which Availability has exceeded the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8"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greater of (i) 12.5% of the Line Cap and (ii) $60,000,000 for thirty (30) consecutive calendar days. “Moody’s” means Moody’s Investors Service, Inc. “Multiemployer Plan” means a multiemployer plan as defined in Section 4001(a)(3) of ERISA to which any Group Member or any ERISA Affiliate (i) makes or is obligated to make contributions, (ii) during the preceding five plan years, has made or been obligated to make contributions or (iii) has any actual or contingent liability. “Multiple Employer Plan” means a Plan which has two or more contributing sponsors (including any Group Member or any ERISA Affiliate) at least two of whom are not under common control, as such a Plan is described in Section 4064 of ERISA. “Net Cash Proceeds” means in connection with any issuance or sale of Capital Stock or any incurrence of Indebtedness, the cash proceeds received from such issuance or incurrence, net of attorneys’ fees, investment banking fees, auditor fees, printer fees, SEC filing fees, brokerage fees, accountants’ fees, underwriting discounts and commissions and other customary fees and expenses actually incurred in connection therewith. “Net Orderly Liquidation Value” means (a) with respect to Inventory of any Person, the (i) net orderly liquidation value percentage based on the amount expected to be realized at an orderly, negotiated sale held within a reasonable time period from the most recent Inventory appraisal ordered by the Administrative Agent multiplied by (ii) the book value of such Inventory and (b) with respect to Eligible Rental Agreements of any Person, the net orderly liquidation value expected to be realized at an orderly, negotiated sale held within a reasonable time period from the most recent Rental Agreement Portfolio appraisal ordered by the Administrative Agent or Collateral Monitoring Template. “New Lender” has the meaning set forth in Section 2.24(b). “New Lender Supplement” has the meaning set forth in Section 2.24(b). “Non-U.S. Lender” means a Lender that is not a U.S. Person. “Not Otherwise Applied” means in respect of any amount, such amount has not previously been (and is not currently being) applied to any other use or transaction. “Notes” means the collective reference to any promissory note evidencing Loans. “NYFRB” means the Federal Reserve Bank of New York. “NYFRB’s Website” means the website of the NYFRB at http://www.newyorkfed.org, or any successor source. “NYFRB Rate” means, for any day, the greater of (a) the Federal Funds Effective Rate in effect on such day and (b) the Overnight Bank Funding Rate in effect on such day (or for any day that is not a Business Day, for the immediately preceding Business Day); provided that if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9"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be less than zero, such rate shall be deemed to be zero for purposes of this Agreement. “Obligations” means collectively, (a)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the Borrower, whether or not a claim for post-filing or post-petition interest is allowed in such proceeding) the Loans and Reimbursement Obligations, all other obligations and liabilities of the Borrower to the Administrative Agent or to any Lender, whether direct or indirect, absolute or contingent, due or to become due, or now existing or hereafter incurred, which arise under, out of, or in connection with, this Agreement, any other Loan Document, the Letters of Credit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 (b) all Banking Services Obligations and (c) all Secured Swap Obligations. “Organizational Documents”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“Other Connection Taxes” means with respect to any Credit Party, Taxes imposed as a result of a present or former connection between such Credit Party and the jurisdiction imposing such Tax (other than connections arising from such Credit Party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2.22).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0"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 “Overage” has the meaning set forth in the definition of Eligible Installment Sales Accounts. “Overnight Bank Funding Rate”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“Pari Passu Secured Indebtedness” means Term Loan Refinancing Indebtedness (as defined in the Term Loan Credit Agreement) and Term Loan Incremental Equivalent Debt (and any Permitted Refinancing Indebtedness in respect of the foregoing), in each case that is secured by Liens on the Collateral that are pari passu to the Liens on Collateral securing the Term Loans. “Participant” has the meaning set forth in Section 10.6(c). “Participant Register” has the meaning set forth in Section 10.6(c). “Patriot Act” has the meaning set forth in Section 10.17. “Payment Conditions” means (a) no Specified Event of Default has occurred and is continuing and (b) at all times during the Pro Forma Period (i) after giving effect to the proposed event as if it occurred on the first day of the Pro Forma Period, Availability is greater than the greater of (A) 22.5% of the Line Cap and (B) $84,375,000 or (ii) after giving effect to the proposed event as if it occurred on the first day of the Pro Forma Period, (A) Availability is greater than the greater of (1) 17.5% of the Line Cap and (2) $65,625,000 and (B) the Consolidated Fixed Charge Coverage Ratio for the last four (4) fiscal quarters is greater than 1.10:1.0. “PBGC” means the Pension Benefit Guaranty Corporation established under Section 4002 of ERISA and any successor entity performing similar functions. “Pension Plan” means any employee benefit plan (including a Multiple Employer Plan, but not including a Multiemployer Plan) that is subject to Title IV of ERISA, Section 412 of the Code or Section 302 of ERISA (i) which is or was sponsored, maintained or contributed to by, or required to be contributed to by, any Group Member or any ERISA Affiliate or (ii) with respect to which any Group Member or any ERISA Affiliate has any actual or contingent liability. “Permitted Acquisition” means the purchase or other acquisition (including by merger, consolidation or amalgamation) by the Borrower or any Restricted Subsidiary of all or a majority of the Capital Stock of, or all or substantially all of the property of, any Person, or of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1"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business or division of any Person or any Investment by a Group Member in a Restricted Subsidiary that serves to increase the Capital Stock ownership of such Group Member in such Restricted Subsidiary; provided that with respect to each purchase or other acquisition (i) after giving effect thereto, the Borrower and its Restricted Subsidiaries are in compliance with Section 7.15, (ii) immediately before and immediately after giving effect on a pro forma basis to any such purchase or other acquisition, no Event of Default shall have occurred and be continuing and (iii) any such newly created or acquired Subsidiary shall, to the extent required by Section 6.10, comply with the requirements of Section 6.10. “Permitted Discretion” means in respect of the adjustment of eligibility criteria and (without duplication) reserves with respect to the Borrowing Base collateral, and in such other circumstances as stated herein, a determination made in good faith and in the exercise of reasonable (from the perspective of a secured asset-based lender) business judgment following (to the extent practicable) reasonable prior notice to, and consultation with, the Borrower and in accordance with customary business practices for asset-based transactions. “Permitted Encumbrances” means Liens permitted pursuant to Section 7.3(a), (b), (c), (d) or (n); provided that the term “Permitted Encumbrances” shall not include any Lien securing Specified Indebtedness. “Permitted Liens” means Liens permitted pursuant to Section 7.3. “Permitted Refinancing Indebtedness” means with respect to any Indebtedness of any Person (the “Original Indebtedness”), any modification, refinancing, refunding, replacement, renewal or extension of such Indebtedness, in whole or in part; provided, that (i) no Person that is not an obligor with respect to the Original Indebtedness shall be an obligor with respect to such Permitted Refinancing Indebtedness, (ii) the final maturity and weighted average life to maturity of such Indebtedness shall not be shortened as a result of such modification, refinancing, refunding, replacement, renewal or extension, (iii) in the case of any modification, refinancing, refunding, replacement, renewal or extension of Indebtedness incurred pursuant to Section 7.2(b) or Section 7.2(bb), the mandatory prepayment and redemption terms, covenants and events of default of such Indebtedness are either (x) not materially more favorable (taken as a whole, as conclusively determined by the Borrower in good faith) to the lenders providing such Indebtedness than those terms (taken as a whole) applicable to the Original Indebtedness (except to the extent such terms apply solely to any period after the Latest Maturity Date or applied for the benefit of the Loans then outstanding) or (y) reflect market terms and conditions at the time of incurrence or issuance, as conclusively determined by the Borrower in good faith, (iv) (x) in the case of any Original Indebtedness consisting of a revolving credit facility, the committed amount does not exceed the committed amount in respect of the Original Indebtedness and (y) in each case (including in respect of a revolving credit facility), the principal amount (or accreted value, if applicable) thereof does not exceed the principal amount (or accreted value, if applicable) of the Original Indebtedness, except in each case by an amount (such amount, the “Additional Permitted Amount”) equal to unpaid accrued interest, fees, and premium (including make-whole premiums, prepayment premiums and amounts required to be paid in connection with defeasance and satisfaction and discharge) thereon at such time plus reasonable fees and expenses incurred in connection with such modification, refinancing, refunding, replacement, renewal or extension (including upfront fees and original issue discount), (v) for the avoidance of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2"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doubt, the Original Indebtedness is paid down (or, with respect to revolving credit facilities, commitments in respect thereof are reduced (together with, if applicable, payments of principal)) on a dollar-for-dollar basis by such Permitted Refinancing Indebtedness (other than by the Additional Permitted Amount), (vi) if the Original Indebtedness shall have been subordinated to the Obligations, such Permitted Refinancing Indebtedness shall also be subordinated to the Obligations on terms not less favorable in any material respect (taken as a whole) to the Lenders and (vii) such Permitted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“Permitted Unsecured Indebtedness” means Indebtedness of the Borrower or any of its Subsidiaries (a) that is not (and any Guarantee Obligations thereof by any Group Member are not) secured by any collateral (including the Collateral), (b) that does not mature earlier than (or require scheduled amortization or mandatory commitment reductions in excess of 1.00% per annum prior to) the date that is 91 days after the Latest Maturity Date then in effect at the time of incurrence thereof, (c) that contains mandatory prepayment and redemption terms, covenants and events of default that are either (x) customary for similar Indebtedness in light of then-prevailing market conditions (it being understood and agreed that such Indebtedness shall include financial maintenance covenants only to the extent any such financial maintenance covenant is (i) applicable only to periods after the Latest Maturity Date then in effect at the time of incurrence thereof or (ii) included in or added to the Loan Documents for the benefit of the Lenders) or (y) when taken as a whole (other than interest rates, rate floors, fees and optional prepayment or redemption terms), are not materially more favorable to the lenders or investors providing such Permitted Unsecured Indebtedness, as the case may be, than those set forth in the Loan Documents are with respect to the Lenders (other than covenants or other provisions applicable only to periods after the Latest Maturity Date then in effect at the time of incurrence thereof or that are included in or added to the Loan Documents for the benefit of the Lenders), in the case of each of clauses (x) and (y), as conclusively determined by the Borrower in good faith, and (e) that is not guaranteed by any Person other than on an unsecured basis by Group Members. “Person” means an individual, partnership, corporation, limited liability company, business trust, joint stock company, trust, unincorporated association, joint venture, Governmental Authority or other entity of whatever nature. “Plan”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 “Plan Asset Regulations” means 29 CFR § 2510.3-101 et seq., as modified by Section 3(42) of ERISA, as amended from time to time.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3"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Platform” has the meaning set forth in Section 10.15. “Prime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“Pro Forma Basis” means, with respect to the calculation of any test or covenant hereunder, such test or covenant being calculated after giving effect to (a) any designation of a Restricted Subsidiary as an Unrestricted Subsidiary, (b) any designation of an Unrestricted Subsidiary as a Restricted Subsidiary, (c) any Material Acquisition, (d) any Material Disposition, (e) any assumption, incurrence, repayment or other Disposition of Indebtedness, (f) the granting or assumption of any Lien and (g) in connection with the foregoing, the making of any Restricted Payment (all of the foregoing, “Applicable Transactions”) using, for purposes of determining such compliance, the historical financial statements of all entities or assets so designated, acquired or sold (to the extent available) and the consolidated financial statements of the Borrower and its Restricted Subsidiaries, which shall be reformulated as if all Applicable Transactions during the Applicable Reference Period, or subsequent to the Applicable Reference Period and on or prior to the date of such calculation, had been consummated at the beginning of such period (and shall include, with respect to any Material Acquisition or Material Disposition, any adjustments calculated in accordance with (and subject to the requirements and limitations of) clause (i) of the definition of “Consolidated EBITDA”); provided that with respect to any assumption, incurrence, repayment or other Disposition of Indebtedness (i) if such Indebtedness has a floating rate of interest, the interest expense on such Indebtedness will be calculated as if the rate in effect on the date of calculation had been the applicable rate for the entire period (taking into account any Swap Obligations applicable to such Indebtedness if such Swap Obligation has a remaining term as at the date of calculation in excess of 12 months), (ii) interest on Finance Lease Obligations shall be deemed to accrue at an interest rate reasonably determined by the Borrower to be the rate of interest implicit in such Finance Lease Obligation in accordance with GAAP, (iii) interest on any Indebtedness under a revolving credit facility shall be based upon the average daily balance of such Indebtedness during the applicable period and (iv) interest on Indebtedness that may be optionally determined at an interest rate based upon a factor of a prime or similar rate, a eurocurrency interbank offered rate, or other rate, shall be deemed to have been based upon the rate actually chosen, or, if none, then based upon such optional rate as the Borrower may designate. For the avoidance of doubt, in calculating Consolidated Fixed Charges, (x) the Consolidated Fixed Charges attributable to any Indebtedness assumed or incurred in connection with a Material Acquisition consummated during the Applicable Reference Period or subsequent to the Applicable Reference Period and on or prior to the date of such calculation shall be included and (y) the Consolidated Fixed Charges attributable to any Indebtedness repaid or otherwise Disposed of pursuant to a Material Disposition consummated during the Applicable Reference Period or subsequent to the Applicable Reference Period and on or prior to the date of such calculation shall be excluded.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4"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Pro Forma Financial Statements” has the meaning set forth in Section 4.1(a). “Pro Forma Period” means with respect to any Restricted Payment, Investment or prepayment of Indebtedness (any of the foregoing, a “Specified Event”), the period (a) commencing 30 days prior to the date such Specified Event is proposed by the Borrower to occur and (b) ending on the date such Specified Event is proposed by the Borrower to occur. “Prohibited Transaction” has the meaning set forth in Section 406 of ERISA and Section 4975(c) of the Code. “Projections” has the meaning set forth in Section 6.2(c). “Protective Advance Exposure” means at any time, the sum of the aggregate amount of all outstanding Protective Advances at such time. The Protective Advance Exposure of any Revolving Lender at any time shall be its Revolving Percentage of the total Protective Advance Exposure at such time. “Protective Advances” has the meaning set forth in Section 2.3(a). “PTE” means a prohibited transaction class exemption issued by the U.S. Department of Labor, as any such exemption may be amended from time to time. “Public-Sider” means a Lender whose representatives may trade in securities of the Borrower or any of its Subsidiaries while in possession of the financial statements provided by the Borrower under the terms of this Agreement. “QFC” has the meaning assigned to the term “qualified financial contract” in, and shall be interpreted in accordance with, 12 U.S.C. 5390(c)(8)(D). “QFC Credit Support” has the meaning set forth in Section 10.20. “Qualified Capital Stock” means Capital Stock of the Borrower other than Disqualified Capital Stock. “Qualified Securitization Transaction” means any Securitization Transaction of a Securitization Subsidiary that meets the following conditions: (a) the Borrower shall have determined in good faith that such Securitization Transaction (including financing terms, covenants, termination events and other provisions) is in the aggregate economically fair and reasonable to the Borrower and its Restricted Subsidiaries (other than such Securitization Subsidiary); (b) all sales of Securitization Assets to the Securitization Subsidiary are made at fair market value (as determined in good faith by the Borrower);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5"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the Securitization Assets sold to the Securitization Subsidiary are (i) owned and originated by the Acquired Business (or any subsidiary of Acima formed or acquired after the Closing Date) and (ii) sold in reliance on Section 7.5(m); (d) any Indebtedness incurred in such Securitization Transaction is made only in reliance on Section 7.2(v); (e) any Liens securing Indebtedness in such Securitization Transaction are secured only in reliance on Section 7.3(q); and (f) the financing terms, covenants, termination events and other provisions thereof shall be market terms (as determined in good faith by the Borrower) and may include Standard Securitization Undertakings. The grant of a security interest in any assets of the Borrower or any of its Restricted Subsidiaries (other than a Securitization Subsidiary) to secure any Indebtedness shall not be deemed a Qualified Securitization Transaction; provided, that it is understood and agreed for the avoidance of doubt that this Agreement does not permit any Liens on ABL Priority Collateral that secure Indebtedness on a pari passu basis with the Loans. “Recent Rental Proceeds” means, as of any day, the aggregate cash proceeds from rental payments and fees (excluding sales tax) received by the Loan Parties pursuant to Eligible Rental Agreements during the three calendar months most recently ended on or prior to such day. “Reference Period” means each period of four consecutive fiscal quarters of the Borrower. “Reference Time” with respect to any setting of the then-current Benchmark means (a) if such Benchmark is Term SOFR, 5:00 a.m. (Chicago time) on the day that is two (2) Business Days preceding the date of such setting, (b) if such Benchmark is Daily Simple SOFR, then four (4) Business Days prior to such setting or (c) otherwise, the time determined by the Administrative Agent in its reasonable discretion. “Register” has the meaning set forth in Section 10.6(b)(iv). “Regulation D” means Regulation D of the Federal Reserve Board, as in effect from time to time and all official rulings and interpretations thereunder or thereof. “Regulation T” means Regulation T of the Federal Reserve Board, as in effect from time to time and all official rulings and interpretations thereunder or thereof. “Regulation U” means Regulation U of the Board, as in effect from time to time and all official rulings and interpretations thereunder or thereof. “Regulation X” means Regulation X of the Federal Reserve Board, as in effect from time to time and all official rulings and interpretations thereunder or thereof.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6"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Reimbursement Obligation” means the obligation of the Borrower to reimburse the Issuing Lender pursuant to Section 3.5 for amounts drawn under Letters of Credit. “Related Parties” with respect to any specified Person, such Person’s Affiliates and the respective directors, officers, employees, agents and advisors of such Person and such Person’s Affiliates. “Relevant Governmental Body” means the Federal Reserve Board or the NYFRB, or a committee officially endorsed or convened by the Federal Reserve Board or the NYFRB, or any successor thereto. “Rent Reserve” means with respect to any store, warehouse distribution center, regional distribution center or depot where any Inventory subject to Liens arising by operation of law is located, a reserve equal to three months’ rent at such store, warehouse distribution center, regional distribution center or depot. “Rental Agreement Portfolio” means, at any time, the Eligible Rental Agreements of the Loan Parties. “Report” means reports prepared by the Administrative Agent or another Person showing the results of appraisals, field examinations or audits pertaining to the assets of the Loan Parties from information furnished by or on behalf of the Borrower, after the Administrative Agent has exercised its rights of inspection pursuant to this Agreement, which Reports may be distributed to the Lenders by the Administrative Agent. “Reported Banking Services Obligations” means Banking Services Obligations of any Loan Party owing to one or more Lenders or their respective Affiliates; provided that, as of any date of determination, such obligations shall constitute Reported Banking Services Obligations solely to the extent that the Lender party thereto or its Affiliate (other than JPMCB and its Affiliates, which shall have been deemed to have provided such reports to the Administrative Agent) shall have reported the amount of such outstanding obligations to the Administrative Agent as of the last day of the previous fiscal quarter on or prior to the date that is 15 days following the end of such fiscal quarter (or (x) prior to the date that is 15 days following the end of the first fiscal quarter following the Closing Date, within 15 days of the Closing Date such Lender or Affiliate shall have reported the amount of such outstanding obligations as of the Closing Date, and (y) within 10 days of any request therefor by the Administrative Agent, such Lender or Affiliate shall have reported the amount of such outstanding obligations as of any other date reasonably requested by the Administrative Agent). “Repurchase Obligation” means any obligation of a seller of Securitization Assets in a Qualified Securitization Transaction to repurchase such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“Reported Secured Swap Obligations” means Secured Swap Obligations of any Loan Party owing to one or more Lenders or their respective Affiliates; provided that, as of any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7"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date of determination, such obligations shall constitute Reported Secured Swap Obligations solely to the extent that as of any date of determination, such Lender party thereto or its Affiliate (other than JPMCB and its Affiliates, which shall have been deemed to have provided such reports to the Administrative Agent) shall have reported the amount of such outstanding Swap Obligations to the Administrative Agent as of the last day of the previous fiscal quarter on or prior to the date that is 15 days following the end of such fiscal quarter (or (x) prior to the date that is 15 days following the end of the first fiscal quarter following the Closing Date, within 30 days of the Closing Date such Lender or Affiliate shall have reported the amount of such outstanding obligations as of the Closing Date and (y) within 10 days of any request therefor by the Administrative Agent, such Lender or Affiliate shall have reported the amount of such outstanding Swap Obligations as of any other date reasonably requested by the Administrative Agent). “Required Lenders” means at any time, the holders of more than 50% of the Total Commitments then in effect or, if the Commitments have been terminated, the Total Revolving Extensions of Credit then outstanding. “Requirement of Law”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“Reserves” means, any and all reserves which the Administrative Agent deems necessary, in its Permitted Discretion (following (to the extent practicable) reasonable prior notice to, and consultation with, the Borrower), to maintain (including, without limitation, Banking Services Reserves, Rent Reserves, reserves for dilution of Accounts, reserves for Inventory shrinkage, reserves for customs charges and shipping charges related to any Inventory in transit and reserves for Swap Obligations) with respect to the Collateral or any Loan Party. Notwithstanding anything to the contrary in this Agreement, (a) such Reserves shall not be established or changed except upon not less than four (4) Business Days’ prior written notice to the Borrower, which notice shall include a reasonably detailed description of such Reserve being established (during which period (i) the Administrative Agent shall, if requested, discuss any such Reserve or change with the Borrower and (ii) the Borrower may take such action as may be required so that the event, condition or matter that is the basis for such Reserve or change thereto no longer exists or exists in a manner that would result in the establishment of a lower Reserve or result in a lesser change thereto, in a manner and to the extent reasonably satisfactory to the Administrative Agent); provided, that such establishment of or changes to Reserves will become effective immediately prior to any Borrowing that occurs during such four (4) Business Day period, (b) the amount of any Reserve established by the Administrative Agent, and any change in the amount of any Reserve, shall have a reasonable relationship to the event, condition or other matter that is the basis for such Reserve or such change and (c) no reserves or changes shall be duplicative of reserves or changes already accounted for through eligibility criteria.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8"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Resolution Authority” means, with respect to any EEA Financial Institution, an EEA Resolution Authority or, with respect to any UK Financial Institution, a UK Resolution Authority. “Responsible Officer” means the chief executive officer, president, chief financial officer, senior vice president, finance, or treasurer of the Borrower, but in any event, with respect to financial matters, the chief financial officer or senior vice president, finance, of the Borrower. “Restricted Debt Payment” has the meaning set forth in Section 7.8(a). “Restricted Indebtedness” means any Subordinated Indebtedness, any Unsecured Notes and any Permitted Refinancing Indebtedness in respect of any Unsecured Notes. “Restricted Payments” has the meaning set forth in Section 7.6. “Restricted Subsidiary” means any Subsidiary of the Borrower other than an Unrestricted Subsidiary. “Revolving Commitment Period” means the period from and including the Closing Date to the Revolving Termination Date. “Revolving Extensions of Credit” means as to any Revolving Lender at any time, an amount equal to the sum of (a) the aggregate principal amount of all Revolving Loans held by such Lender then outstanding, (b) such Lender’s Revolving Percentage of the L/C Obligations then outstanding and (c) such Lender’s Revolving Percentage of the Protective Advances then outstanding. “Revolving Lender” means each Lender that has a Commitment or that holds Revolving Loans. “Revolving Loans” has the meaning set forth in Section 2.1(a). “Revolving Percentage” means as to any Revolving Lender at any time, the percentage which such Lender’s Commitment then constitutes of the Total Commitments or, at any time after the Commitments shall have expired or terminated, the percentage which the aggregate principal amount of such Lender’s Revolving Loans then outstanding constitutes of the aggregate principal amount of the Revolving Loans then outstanding, provided, that, in the event that the Revolving Loans are paid in full prior to the reduction to zero of the Total Revolving Extensions of Credit, the Revolving Percentage of any Lender shall be such Lender’s Revolving Percentage immediately prior to the repayment in full of the Revolving Loans. Notwithstanding the foregoing, in the case of Section 2.23 when a Defaulting Lender shall exist, Revolving Percentages shall be determined without regard to any Defaulting Lender’s Commitment. “Revolving Termination Date” means the Scheduled Maturity Date. “S&amp;P” means Standard &amp; Poor’s Rating Services, a Standard &amp; Poor’s Financial Services LLC business.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9"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Sanctioned Country” means, at any time, a country, region or territory which is itself the subject or target of any Sanctions (at the time of the SecondThird Amendment Effective Date, the so-called Donetsk People’s Republic, the so-called Luhansk People’s Republic, the Crimea Region of Ukraine, Cuba, Iran, and North Korea and Syria). “Sanctioned Person” means, at any time, (a) any Person listed in any Sanctions-related list of designated Persons maintained by the U.S. Office of Foreign Assets Control of the U.S. Department of the Treasury, the U.S. Department of State, the United Nations Security Council, the European Union, any European Union member state, His Majesty’s Treasury of the United Kingdom or other relevant sanctions authority, in each case, having jurisdiction over any Group Member, (b) any Person operating, organized or resident in a Sanctioned Country, (c) any Person owned or controlled by any such Person or Persons described in the foregoing clauses (a) or (b), or (d) any Person otherwise the subject of any Sanctions. “Sanctions” means all comprehensive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 in each case, having jurisdiction over any Group Member. “Scheduled Maturity Date” means the earlier of (a) June 7, 2029 and, (b) the date that is 91 days prior to the Latest Maturity Date (as defined in the Term Loan Credit Agreement) and (c) the date that is 91 days prior to the scheduled maturity date of any Early Maturing Notes if as of such 91st day there are any Early Maturing Notes outstanding. “SEC” means the Securities and Exchange Commission, any successor thereto and any analogous Governmental Authority. “Second Amendment Effective Date” means June 7, 2024. “Secured Parties” has the meaning set forth in the Guarantee and Collateral Agreement. “Secured Swap Obligations” means Swap Obligations of any Loan Party owing to (a) the Administrative Agent or its Affiliates or (b) one or more Lenders or their respective Affiliates; provided that at or prior to the time that the Swap Agreement giving rise to such Swap Obligation is entered into (or, if later, the Closing Date) the Borrower (other than for transactions with JPMCB and its Affiliates) and the Lender party thereto or its Affiliate (other than JPMCB and its Affiliates) shall have delivered written notice to the Administrative Agent that such Swap Agreement has been entered into and that the Swap Obligations under such Swap Agreement constitute a Secured Swap Obligation entitled to the benefits of the Security Documents. “Securitization Assets” means accounts receivable, lease receivables or other payment obligations owing to the Borrower or a Restricted Subsidiary or any interest in any of the foregoing, together in each case with any collections and other proceeds thereof, any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0"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collection or deposit account related thereto, and any collateral, guarantees or other property (including Rental Agreements, Chattel Paper, General Intangibles, Instruments or Documents) or claims in each case supporting or securing payment by the obligor thereon of, or otherwise related to, or subject to leases giving rise to, any such receivables. “Securitization Fee” means distributions or payments made directly or by means of discounts with respect to any accounts receivable, rental agreements, chattel paper, lease receivable or other right to payment or participation interest issued or sold in connection with, and other fees paid to a Person that is not a Restricted Subsidiary in connection with, any Qualified Securitization Transaction. “Securitization Parent” means a Domestic Subsidiary that is a Wholly Owned Subsidiary of the Borrower (a) substantially all of the assets of which consist of Capital Stock of one or more Securitization Subsidiaries or Securitization Parents, (b) which conducts no other business than holding such Capital Stock and (c) that is either wholly owned by one or more Loan Parties or by one or more Securitization Parents. “Securitization Residual Interests” means (a) any dividend or other distribution from a Securitization Subsidiary or Securitization Parent and any proceeds thereof, (b) Capital Stock or other investment property reflecting an ownership interest in (i) any Securitization Subsidiary (except to the extent that a grant of a security interest in the Capital Stock or other investment property of such Securitization Subsidiary is restricted by or would constitute a breach or default under or result in or give rise to the right of termination under any contract, agreement or instrument entered into by such Securitization Subsidiary and the provider of debt (or purchaser of Securitization Assets, as applicable) in connection with such Qualified Securitization Transaction) or (ii) any Securitization Parent, (c) any interest, certificate, general intangible, chattel paper, instrument or document issued in connection with a Securitization Transaction that evidences a residual interest in a Securitization Transaction and (d) any other residual interest in a Securitization Transaction, in each case, to the extent an asset of a Loan Party. “Securitization Subsidiary” means a trust, bankruptcy remote entity or other special purpose entity which is (A) a Domestic Subsidiary that is a Wholly Owned Subsidiary of the Borrower, (B) wholly owned directly by either (I) one or more Loan Parties or (II) a Securitization Parent and (C) which is formed for the purpose of and engages in no material business other than acting as an issuer or a depositor or borrower in a Qualified Securitization Transaction (and, in connection therewith, owning Securitization Assets and pledging or transferring any of the foregoing or interests therein and engaging in any business or activities incidental or related thereto), and: (a) no portion of the Indebtedness or any other obligations (contingent or otherwise) of which (i) is guaranteed by the Borrower or any other Restricted Subsidiary of the Borrower (excluding guarantees of obligations (other than the principal of and interest on, Indebtedness) pursuant to Standard Securitization Undertakings), (ii) is recourse to or obligates the Borrower or any other Restricted Subsidiary of the Borrower in any way other than pursuant to Standard Securitization Undertakings, or (iii) subjects any property or asset of the Borrower or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1"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other Restricted Subsidiary of the Borrower, directly or indirectly, contingently or otherwise, to the satisfaction thereof, other than pursuant to Standard Securitization Undertakings; (b) with which neither the Borrower nor any other Restricted Subsidiary of the Borrower has any material contract, agreement, arrangement or understanding other than on terms which the Borrower reasonably believes to be no less favorable to the Borrower or such Restricted Subsidiary than those that might be obtained at the time from Persons that are not Affiliates of the Borrower; and (c) to which neither the Borrower nor any other Restricted Subsidiary of the Borrower has any obligation to maintain or preserve such entity’s financial condition or cause such entity to achieve certain levels of operating results. “Securitization Transaction” means any transaction or series of transactions that may be entered into by the Borrower or any of its Restricted Subsidiaries pursuant to which the Borrower or any of its Subsidiaries may sell, discount, assign, factor, convey, participate, contribute to capital, grant a security interest in, pledge or otherwise transfer (including for purposes of facilitating a warehouse facility relating to a Securitization Transaction) to (a) a Securitization Subsidiary (in the case of a transfer by the Borrower or any of its Restricted Subsidiaries) or (b) any other Person (in the case of a transfer by a Securitization Subsidiary) of any Securitization Assets. “Security Documents” means the collective reference to the Guarantee and Collateral Agreement, any Deposit Account Control Agreements and all other security documents hereafter delivered to the Administrative Agent granting a Lien on any property of any Person to secure the obligations and liabilities of any Loan Party under any Loan Document. “SOFR” means a rate equal to the secured overnight financing rate as administered by the SOFR Administrator. “SOFR Administrator” means the NYFRB (or a successor administrator of the secured overnight financing rate). “SOFR Administrator’s Website” means the NYFRB’s website, currently at http://www.newyorkfed.org, or any successor source for the secured overnight financing rate identified as such by the SOFR Administrator from time to time. “SOFR Determination Date” has the meaning specified in the definition of “Daily Simple SOFR”. “SOFR Rate Day” has the meaning specified in the definition of “Daily Simple SOFR”. “Solvent” means, when used with respect to any Person, that, as of any date of determination, (a) the fair value of the assets of such Person will exceed its debts and liabilities, subordinated, contingent or otherwise, (b) the present fair saleable value of the assets of such Person will be greater than the amount that will be required to pay the probable liabilities on its debts and other liabilities, subordinated, contingent or otherwise, as such debts and other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2"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liabilities become absolute and matured, (c) such Person will be able to pay its debts and liabilities, subordinated, contingent or otherwise, as such debts and liabilities become absolute and matured and (d) such Person is not engaged in, and is not about to engage in, business for which it has unreasonably small capital. The amount of any contingent liability at any time shall be computed as the amount that would reasonably be expected to become an actual and matured liability. “Specified Acquisition Agreement Representations” means, with respect to any acquisition contemplated by the Borrower or any Restricted Subsidiary, the representations made by or on behalf of the proposed target of such acquisition in the documentation governing such acquisition (the “Subject Acquisition Agreement”) that are material to the interests of the Lenders, but only to the extent that the Borrower (or its affiliates) has the right (taking into account any applicable cure provisions) to terminate its (or such affiliates’) obligations under the Subject Acquisition Agreement or decline to consummate the applicable acquisition as a result of a breach of such representations and warranties in the Subject Acquisition Agreement. “Specified Administrative Agent Location” means one or more locations in the continental United States identified in writing by the Administrative Agent to the Borrower from time to time. “Specified Event of Default” means an Event of Default under Section 8(a), 8(b) (with respect to any Borrowing Base Certificate), 8(d) (with respect to any breach of Section 6.2(g), 6.2(i) or Section 6.12 of this Agreement or Sections 8.1 or 8.2 of the Guarantee and Collateral Agreement) or Section 8(f). “Specified Indebtedness” means Indebtedness of the types described in clauses (a) and (c) of the definition of “Indebtedness” (including, for the avoidance of doubt, any Indebtedness incurred in connection with a Securitization Transaction). “Specified Letter of Credit” means that certain Letter of Credit, dated as of September 30, 2010, issued at the request of the Borrower by JPMCB for the benefit of Hartford Fire Insurance Company (as renewed, amended, restated, amended and restated, supplemented or otherwise modified from time to time). “Specified Transaction” has the meaning set forth in Section 1.7. “Standard Securitization Undertakings” means representations, warranties, covenants, Repurchase Obligations, indemnities and guarantees of performance entered into by any Group Member that are customary in an asset securitization financing, including those relating to the servicing of the assets of a Securitization Subsidiary. “Subject Agreements” has the meaning set forth in Section 6.13(a). “Subordinated Indebtedness” means any Specified Indebtedness of any Group Member that is expressly subordinated in right of payment to the Obligations; provided that, for the avoidance of doubt, Indebtedness under the Term Loan Credit Agreement shall not be considered Subordinated Indebtedness.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3"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Subsidiary”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 “Subsidiary Guarantor” means (i)each Restricted Subsidiary of the Borrower that is a Domestic Subsidiary (other than any Excluded Subsidiary) and (ii) each other Restricted Subsidiary that is an obligor under or guarantor in respect of the Term Loans or any Permitted Refinancing Indebtedness in respect thereof. “Supermajority Lenders” means at any time, the holders of more than 66 2/3% of (a) until the Closing Date, the Commitments then in effect and (b) thereafter, the Total Commitments then in effect or, if the Commitments have been terminated, the Total Revolving Extensions of Credit then outstanding. “Supported QFC” has the meaning set forth in Section 10.20. “Swap” means any agreement, contract, or transaction that constitutes a “swap” within the meaning of section 1a(47) of the Commodity Exchange Act. “Swap Agreement”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Borrower or any of its Subsidiaries shall be a “Swap Agreement”. “Swap Obligation” means with respect to any Person, any obligation to pay or perform under any Swap Agreement. “Target Debt Repayment” means the repayment of, termination of all commitments under and the discharge and release of all security and guarantees in respect of the following debt instruments of the Acquired Business: (a) the Credit Agreement, dated as of April 27, 2018, entered into with Comvest Capital IV, L.P., Crystal Financial LLC and the lenders party thereto, (b) the Third Amended and Restated Promissory Note, dated as of April 27, 2018, entered into with Aaron Allred and (c) the Amended and Restated Promissory Note, dated as of April 27, 2018, entered into with Austin Allred and subsequently assigned to Aaron Allred.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4"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Taxes” means all present or future taxes, levies, imposts, duties, deductions, withholdings (including backup withholding), assessments, fees or other charges imposed by any Governmental Authority, including any interest, additions to tax or penalties applicable thereto. “Term Loan Administrative Agent” means JPMCB, as administrative agent under the Term Loan Documents, and its successors and assigns. “Term Loan Credit Agreement” means the Term Loan Credit Agreement, dated as of the Closing Date, among the Borrower, the lenders and agents party thereto and the Term Loan Administrative Agent, as the same may be amended, restated, amended and restated, modified, supplemented, refinanced and/or replaced from time to time in accordance with the terms thereof and the Intercreditor Agreement to the extent constituting Permitted Refinancing Indebtedness. “Term Loan Documents” means collectively (a) the Term Loan Credit Agreement, (b) the Term Loan Security Documents, (c) the Intercreditor Agreement, (d) any promissory note evidencing loans under the Term Loan Credit Agreement and (e) any amendment, restatement, amendment and restatement, waiver, supplement or other modification to any of the documents described in clauses (a) through (d). “Term Loan Incremental Equivalent Debt” means any Indebtedness incurred by a Loan Party in the form of one or more series of secured or unsecured bonds, debentures, notes or similar instruments or term loans; provided that (a) if such Indebtedness is secured, (i) the liens securing such Indebtedness shall be junior, with respect to the ABL Priority Collateral, to the Liens on the Collateral securing the Obligations and (ii) a representative, trustee, collateral agent, security agent or similar Person acting on behalf of the holders of such Indebtedness shall have become party to an intercreditor agreement reasonably satisfactory to the Administrative Agent, (b) such Indebtedness does not mature earlier than the date that is 91 days after the Latest Maturity Date (as defined in the Term Loan Credit Agreement) then in effect at the time of incurrence thereof and has a weighted average life to maturity no shorter than the Facility (as defined in the Term Loan Credit Agreement) of Term Loans with the Latest Maturity Date (as defined in the Term Loan Credit Agreement) in effect at the time of incurrence of such Indebtedness, (c) such Indebtedness contains mandatory prepayment and redemption terms, covenants and events of default that are either (x) customary for similar Indebtedness in light of then-prevailing market conditions (it being understood and agreed that such Indebtedness shall include financial maintenance covenants only to the extent any such financial maintenance covenant is (i) applicable only to periods after the Latest Maturity Date (as defined in the Term Loan Credit Agreement) then in effect at the time of incurrence thereof or (ii) included in or added to the Term Loan Documents for the benefit of the lenders under the Term Loan Credit Agreement) or (y) when taken as a whole (other than interest rates, rate floors, fees and optional prepayment or redemption terms), not materially more favorable to the lenders or investors providing such Term Loan Incremental Equivalent Debt, as the case may be, than those set forth in the Term Loan Documents are with respect to the lenders under the Term Loan Credit Agreement (other than covenants or other provisions applicable only to periods after the Latest Maturity Date (as defined in the Term Loan Credit Agreement) then in effect at the time of incurrence thereof or that are included in or added to the Term Loan Documents for the benefit of the lenders under the Term Loan Credit Agreement), in the case of each of clauses (x) and (y),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5"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conclusively determined by the Borrower in good faith, and (d) such Indebtedness is not guaranteed by any Person other than Loan Parties. “Term Loan Security Documents” means the collective reference to the Guarantee and Collateral Agreement (as defined in the Term Loan Credit Agreement) and all other security documents delivered to the Term Loan Administrative Agent granting a Lien on any property of any Person to secure the obligations and liabilities of any Loan Party under any Term Loan Document. “Term Loans” means loans outstanding under the Term Loan Credit Agreement. “Term SOFR” means, with respect to any Term SOFR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 “Term SOFR Determination Day” has the meaning assigned to it under the definition of Term SOFR Reference Rate. “Term SOFR Reference Rate” means, for any day and time (such day, the “Term SOFR Determination Day”), with respect to any Term SOFR Borrowing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Term SOFR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 “Third Amendment” means that certain Third Amendment to ABL Credit Agreement, dated as of the Third Amendment Effective Date, among the Borrower, the other Loan Parties, the Lenders party thereto and the Administrative Agent. “Third Amendment Effective Date” means August 29, 2025. “Total Commitments” means at any time, the aggregate amount of the Commitments then in effect. “Total Revolving Extensions of Credit” means at any time, the aggregate amount of the Revolving Extensions of Credit of the Revolving Lenders outstanding at such time.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6"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Trade Date” means with respect to any sale or assignment of rights by a Lender under this Agreement, the date on which such Lender entered into a binding agreement to sell or assign all or a portion of its rights under this Agreement. “Transaction Costs” means fees, premiums, expenses, closing payments and other similar transaction costs (including upfront or similar fees) payable or otherwise borne by the Borrower and/or its Subsidiaries in connection with the Transactions and the transactions contemplated thereby. “Transactions” means collectively, (a) the consummation of the Acima Acquisition, (b) the execution, delivery and performance by the Borrower and the other Loan Parties of this Agreement, the borrowing of Loans hereunder and the use of proceeds thereof, (c) the execution, delivery and performance by the Borrower and the other Loan Parties of the Term Loan Credit Agreement, the borrowing of Term Loans thereunder and the use of proceeds thereof, (d) (w) the issuance by Funding SPV of the Unsecured Notes, (x) the merger of Funding SPV with and into the Borrower, (y) the execution and delivery by the Borrower and the other Loan Parties of a supplemental indenture to the Unsecured Notes Indenture, pursuant to which the Borrower assumes the obligations of Funding SPV as issuer thereunder and the other Loan Parties provide guarantees thereof and (z) the release from escrow of the proceeds of the Unsecured Notes and the use of proceeds thereof, (e) the Debt Repayment and (f) the payment of the Transaction Costs. “Transferee” means any Assignee or Participant. “Type” means, when used in reference to any Loan or Borrowing, refers to whether the rate of interest on such Loan, or on the Loans comprising such Borrowing, is determined by reference to Adjusted Term SOFR or the Alternate Base Rate. “UK Financial Institutions”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“United States” means the United States of America. “Unrestricted Cash” means unrestricted cash and Cash Equivalents owned by any Group Member (including the Insurance Subsidiary) and not controlled by or subject to any Lien or other preferential arrangement in favor of any creditor (other than Liens created under the Security Documents or the Term Loan Security Documents (or the comparable security documents governing any Permitted Refinancing Indebtedness in respect thereof) and Liens of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7"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type referred to in Section 7.3(u) or Section 7.3(x)); provided that Unrestricted Cash shall only include cash and Cash Equivalents of the Insurance Subsidiary to the extent in excess of any minimum cash amounts that the Insurance Subsidiary is required by law or regulation to maintain. “Unrestricted Subsidiary” means (a) any Subsidiary of the Borrower that is designated as an Unrestricted Subsidiary by the Borrower pursuant to Section 6.11 subsequent to the Closing Date and (b) any Subsidiary of an Unrestricted Subsidiary. “Unsecured Notes” means the 6.375% senior unsecured notes issued and sold pursuant to the Unsecured Notes Indenture as the same may be amended, restated, amended and restated, modified and/or supplemented from time to time in accordance with the terms hereof. “Unsecured Notes Documents” means collectively (a) the Unsecured Notes Indenture, (b) the Unsecured Notes and (c) any amendment, restatement, amendment and restatement, waiver, supplement or other modification to any of the documents described in clauses (a) and (b). “Unsecured Notes Indenture” means the Indenture, dated as of February 17, 2021, entered into by Funding SPV (to be merged with and into the Borrower) and Truist Bank, as trustee, as the same may be amended, restated, amended and restated, modified and/or supplemented from time to time in accordance with the terms hereof. “Upfront Fee Letter” means that certain Upfront Fee Letter, dated as of February 17, 2021 by and between the Borrower and the Administrative Agent.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“U.S. Person” means a “United States person” within the meaning of Section 7701(a)(30) of the Code. “U.S. Special Resolution Regime” has the meaning set forth in Section 10.20. “U.S. Tax Compliance Certificate” has the meaning set forth in Section 2.19(f)(ii)(B)(3). “Voluntary Prepayment Amount” means as of any date, an amount equal to (i) the sum of the aggregate principal amount of all optional prepayments of Term Loans made after the Closing Date and prior to such date (excluding prepayments made with the proceeds of long-term Indebtedness) less (ii) the aggregate principal amount of Indebtedness established pursuant to Section 7.2(b) or Section 7.2(t) after the Closing Date and prior to such date in reliance on the Voluntary Prepayment Amount; provided that (i) no prepayment of Term Loans secured on a junior basis to the Term Loans borrowed on the Closing Date shall increase the Voluntary Prepayment Amount with respect to Indebtedness to be secured on a pari passu basis with the Term Loans borrowed on the Closing Date and (ii) no prepayment of unsecured Term 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8"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shall increase the Voluntary Prepayment Amount with respect to Indebtedness to be secured. “Weekly Borrowing Base Period” means each period beginning on the fifth consecutive Business Day on which Availability is less than the greater of (a) 12.5% of the Line Cap and (b) 60,000,000; provided that any such Weekly Borrowing Base Period shall end when and if Availability shall have been not less than (i) such specified level and (ii) $60,000,000 for 30 consecutive days each. “Wholly Owned Subsidiary” means as to any Person, any other Person all of the Capital Stock of which (other than directors’ qualifying shares required by law) is owned by such Person directly and/or through other Wholly Owned Subsidiaries. “Withdrawal Liability” means liability to a Multiemployer Plan as a result of a complete or partial withdrawal from such Multiemployer Plan, as such terms are defined in Part I of Subtitle E of Title IV of ERISA.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1.2 Classification of Loans and Borrowings. For purposes of this Agreement, Loans may be classified and referred to by Type (e.g., a “Term SOFR Loan”). Borrowings also may be classified and referred to by Type (e.g., a “Term SOFR Borrowing”). 1.3 Other Definitional Provisions. (a) Unless otherwise specified therein, all terms defined in this Agreement shall have the defined meanings when used in the other Loan Documents or any certificate or other document made or delivered pursuant hereto or thereto. (b) As used herein and in the other Loan Documents, and any certificate or other document made or delivered pursuant hereto or thereto, (i) accounting terms relating to any Group Member not defined in Section 1.1 and accounting terms partly defined in Section 1.1, to the extent not defined, shall have the respective meanings given to them under GAAP (provided that all terms of an accounting or financial nature used herein shall be construed, and all computations of amounts and ratios referred to herein shall be made, without giving effect to (x)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9"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therein and (y)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amended and restated or otherwise modified from time to time and (vi) the concept of “letters of credit” shall be construed to include banker’s acceptances. (c)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(d) The meanings given to terms defined herein shall be equally applicable to both the singular and plural forms of such terms. (e) Unless otherwise defined herein or the context otherwise requires, terms for which meanings are provided in the UCC are used in this Agreement, including its preamble and recitals, with such meanings. 1.4 Interest Rate; Benchmark Notification. The interest rate on a Loan may be derived from an interest rate benchmark that may be discontinued or is, or may in the future become, the subject of regulatory reform. Upon the occurrence of a Benchmark Transition Event, Section 2.16(b)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0"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1.5 Letter of Credit Amounts(a) . Unless otherwise specified herein, the amount of a Letter of Credit at any time shall be deemed to be the amount of such Letter of Credit available to be drawn at such time; provided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1.6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 1.7 Limited Condition Transactions. Notwithstanding anything in this Agreement or any Loan Document to the contrary when (i) calculating any applicable ratio or financial test or basket or exception in connection with the incurrence of Indebtedness (other than the borrowing of Revolving Loans or the issuance of Letters of Credit), the creation of Liens, the making of any Disposition, the making of an Investment, the making of a Restricted Payment, the designation of a Subsidiary as restricted or unrestricted or the repayment of Indebtedness (each, a “Specified Transaction”), (ii) determining the accuracy of any representation or warranty or (iii) determining whether any Default or Event of Default has occurred, is continuing or would result from any action, in each case of clauses (i) through (iii) for the purpose of determining whether a Specified Transaction is permitted hereunder in connection with a Limited Condition Transaction, the date of determination of such ratio or financial test or basket or exception, the accuracy of such representation or warranty (but taking into account any earlier date specified therein) or whether any Default or Event of Default has occurred, is continuing or would result therefrom shall, at the option of the Borrower (the Borrower’s election to exercise such option in connection with any Limited Condition Acquisition, an “LCT Election”), be deemed to be the date the definitive agreements for such Limited Condition Transaction are entered into (the “LCT Test Date”). If on a Pro Forma Basis after giving effect to such Limited Condition Transaction and the other transactions to be entered into in connection therewith (including any incurrence of Indebtedness, Liens, Restricted Payments or other transactions and the use of proceeds thereof) such ratios, financial tests, baskets, exceptions, representations and warranties and absence of defaults are calculated as if such Limited Condition Transaction or other transactions had occurred at the beginning of the most recent Reference Period ending prior to the LCT Test Date for which financial statements are available, the Borrower could have taken such action on the relevant LCT Test Date in compliance with the applicable ratios or other provisions, such provisions shall be deemed to have been complied with. For the avoidance of doubt, (i) if any of such ratios, financial tests, 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1"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baskets, exceptions, representations and warranties or absence of defaults are exceeded or breached as a result of fluctuations in such ratio or financial test (including due to fluctuations in Consolidated EBITDA), a change in facts or circumstances or other provisions at or prior to the consummation of the relevant Limited Condition Transaction, such ratios, financial tests, baskets, exceptions, representations and warranties and absence of defaults will not be deemed to have been exceeded, breached, or otherwise failed as a result of such fluctuations or changed circumstances solely for purposes of determining whether the Limited Condition Transaction and any related transactions is permitted hereunder and (ii) such ratios, financial tests, baskets, exceptions and compliance with such conditions shall not be tested at the time of consummation of such Limited Condition Transaction or related Specified Transactions. If the Company has made an LCT Election for any Limited Condition Transaction, then in connection with any subsequent calculation of any ratio or financial test or basket or exception with respect to any subsequent acquisition or Investment that the Borrower or a Restricted Subsidiary is contractually committed to consummate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any such ratio or financial test or basket or exception shall be calculated on a Pro Forma Basis both (i) assuming such Limited Condition Transaction and other transactions in connection therewith (including any incurrence of Indebtedness, Liens, Restricted Payments or other transactions and the use of proceeds thereof) have been consummated and (ii) assuming such Limited Condition Transaction and other transactions in connection therewith (including any incurrence of Indebtedness, Liens, Restricted Payments or other transactions and the use of proceeds thereof) have not been consummated. 1.8 Calculations. Notwithstanding anything in this Agreement or any Loan Document to the contrary (i) the Borrower may rely on more than one basket or exception hereunder (including both ratio-based and non-ratio based baskets and exceptions, and including partial reliance on different baskets that, collectively, permit the entire proposed transaction) at the time of any proposed transaction, and the Borrower may, in its sole discretion, at any later time divide, classify or reclassify such transaction (or any portion thereof) in any manner that complies with the available baskets and exceptions hereunder at such later time (provided that with respect to reclassification of Indebtedness and Liens, any such reclassification shall be subject to the parameters of Sections 7.2 and 7.3, as applicable), (ii) unless the Borrower elects otherwise, if the Borrower or its Restricted Subsidiaries in connection with any transaction or series of such related transaction (A) incurs Indebtedness, creates Liens, makes Dispositions, makes Investments, makes Restricted Payments, designates any Subsidiary as restricted or unrestricted or repays any Indebtedness or takes any other action under or as permitted by a ratio-based basket or exception and (B) incurs Indebtedness, creates Liens, makes Dispositions, makes Investments, makes Restricted Payments, designates any Subsidiary as restricted or unrestricted or repays any Indebtedness or takes any other action under a non-ratio-based basket or exception (which shall occur within five Business Days of the events in clause (A) above), then the applicable ratio will be calculated with respect to any such action under the applicable ratio-based basket or exception without regard to any such action under such non-ratio-based basket or exception made in connection with such transaction or series of related transactions, (iii) if the Borrower or its Restricted Subsidiaries enters into any revolving, delayed draw or other committed debt facility, the Borrower may elect to determine compliance of such debt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2"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facility (including the incurrence of Indebtedness and Liens from time to time in connection therewith) with this Agreement and each other Loan Document on the date commitments with respect thereto are first received, assuming the full amount of such facility is incurred (and any applicable Liens are granted) on such date, in lieu of determining such compliance on any subsequent date (including any date on which Indebtedness is incurred pursuant to such facility); provided that if such election is made with respect to any delayed draw facility or other committed debt facility (other than a revolving facility), then in connection with any subsequent calculation of any ratio or financial test or basket or exception with respect to any subsequent incurrence of Indebtedness (including the incurrence of Liens in connection therewith) or Liens, such calculation shall be made assuming the full amount of such delayed draw facility or committed debt facility, as applicable, has been incurred (and any applicable Liens granted) on such date of incurrence for so long as any commitments remain outstanding thereunder, and (iv) if the Borrower or any Restricted Subsidiary incurs Indebtedness under a ratio-based basket or exception, such ratio-based basket or exception (together with any other ratio-based basket or exception utilized in connection therewith, including in respect of other Indebtedness, Liens, Dispositions, Investments, Restricted Payments or Restricted Debt Payments) will be calculated excluding the cash proceeds of such Indebtedness for netting purposes (i.e., such cash proceeds shall not reduce the Borrower’s Consolidated Leverage Ratio, Consolidated Secured Leverage Ratio or Consolidated Senior Secured Leverage Ratio pursuant to clause (a)(ii) of the definition of such terms), provided that the actual application of such proceeds may reduce Indebtedness for purposes of determining compliance with any applicable ratio. For example, if the Borrower incurs Indebtedness under the Base Incremental Amount on the same date that it incurs Indebtedness under the Maximum Incremental Amount, then the Consolidated Leverage Ratio, the Consolidated Secured Leverage Ratio and the Consolidated Senior Secured Leverage Ratio and any other applicable ratio will be calculated with respect to such incurrence under the Maximum Incremental Amount without regard to any incurrence of Indebtedness under the Base Incremental Amount. Unless the Borrower elects otherwise, Indebtedness incurred under Section 7.2(b) (other than Indebtedness outstanding on the Closing Date immediately after giving effect to the Transactions) and Section 7.2(t) shall be deemed incurred first under the Maximum Incremental Amount to the extent permitted (and calculated prior to giving effect to any substantially simultaneous incurrence of any Indebtedness based on a basket or exception that is not based on a financial ratio, including the Base Incremental Amount and the Voluntary Prepayment Amount), with any balance incurred under the Base Incremental Amount or the Voluntary Prepayment Amount. For purposes of determining compliance with Section 7.2(b) and Section 7.2(t), in the event that any Indebtedness (or any portion thereof) meets the criteria of Base Incremental Amount, Maximum Incremental Amount or Voluntary Prepayment Amount, the Borrower may, in its sole discretion, at the time of incurrence, divide, classify or reclassify, or at any later time divide, classify or reclassify, such Indebtedness (or any portion thereof) in any manner that complies with Section 7.2(b) or Section 7.2(t), as applicable, on the date of such classification or any such reclassification, as applicable. 1.9 Discontinued Operations. Notwithstanding anything to the contrary in this Agreement or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3"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 be excluded for any purposes hereunder) until such disposition shall have been consummated. 1.10 Bridge Loans and Escrow Indebtedness. For purposes of determining the maturity date of any Indebtedness, (a) customary bridge loans that are subject to customary conditions (including no payment or bankruptcy event of default) that would either automatically be extended as, converted into or required to be exchanged for permanent refinancing shall be deemed to have the maturity date as so extended, converted or exchanged and (b) Indebtedness the proceeds of which are deposited into escrow pursuant to customary escrow arrangements pending consummation of a specified acquisition or Investment shall be deemed to have the maturity date of such Indebtedness upon consummation of the specified acquisition or Investment and release of such proceeds from escrow. SECTION 2. AMOUNT AND TERMS OF COMMITMENTS 2.1 Commitments. (a) Subject to the terms and conditions hereof, each Revolving Lender severally agrees to make revolving credit loans (“Revolving Loans”) to the Borrower from time to time during the Revolving Commitment Period in an aggregate principal amount at any one time outstanding which would not result in either (i) the Revolving Loans of such Lender when added to the sum of (x) such Lender’s Revolving Percentage of the L/C Obligations then outstanding, (y) [reserved] and (z) such Lender’s Protective Advance Exposure then outstanding, exceeding the amount of such Lender’s Commitment or (ii) the Total Revolving Extensions of Credit exceeding the Line Cap, subject to the authority of the Administrative Agent, in its sole discretion, to make Protective Advances pursuant to the terms of Section 2.3. During the Revolving Commitment Period the Borrower may use the Commitments by borrowing, prepaying the Revolving Loans in whole or in part, and reborrowing, all in accordance with the terms and conditions hereof. The Revolving Loans may from time to time be Term SOFR Loans or ABR Loans, as determined by the Borrower and notified to the Administrative Agent in accordance with Sections 2.2 and 2.12. (b) The Borrower hereby unconditionally promises to pay to the Administrative Agent for the account of and ratable benefit of each Lender the aggregate outstanding principal amount of the Loans on the Revolving Termination Date. 2.2 Procedure for Revolving Loan Borrowing. The Borrower may borrow under the Commitments during the Revolving Commitment Period on any U.S. Government Securities Business Day, provided that the Borrower shall give the Administrative Agent a Borrowing Request substantially in the form of Exhibit A attached hereto (which notice must be received by the Administrative Agent prior to (a) 12:00 Noon, New York City time two (2) U.S. Government Securities Business Days prior to the requested Borrowing Date, in the case of Term SOFR Loans; provided, that such notice may be received by the Administrative Agent prior to 12:00 Noon, New York City time one (1) U.S. Government Securities Business Day prior to the Closing Date for a Term SOFR Borrowing to be made on the Closing Date or (b) 10:00 a.m., New York City time, the date of the requested Borrowing Date, in the case of ABR Loans) (provided that any such notice of a borrowing of Revolving Loans that are ABR Loans to finance payments required by Section 3.5 must be given not later than 10:00 a.m., New York City time, on the date of the proposed borrowing), specifying (i) the amount and Type of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4"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Revolving Loans to be borrowed, (ii) the requested Borrowing Date and (iii) in the case of Term SOFR Loans, the respective amounts of each such Type of Loan and the respective lengths of the initial Interest Period therefor. Each borrowing under the Commitments shall be in an amount equal to (x) in the case of ABR Loans, $1,000,000 or a whole multiple of $500,000 in excess thereof (or, if Availability at the time is less than $1,000,000, such lesser amount) and (y) in the case of Term SOFR Loans, $3,000,000 or a whole multiple of $1,000,000 in excess thereof (or, if Availability at the time is less than $3,000,000, such lesser amount). Upon receipt of any such notice from the Borrower, the Administrative Agent shall promptly notify each Revolving Lender thereof. Each Revolving Lender shall make the amount of its pro rata share of each borrowing available to the Administrative Agent for the account of the Borrower at the Funding Office prior to (i) 10:30 a.m., New York City time, for borrowings made on the Closing Date and (ii) 12:00 p.m., New York City time, for Borrowing Dates occurring after the Closing Date,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Revolving Lenders and in like funds as received by the Administrative Agent. For the avoidance of doubt, no Borrowing shall consist of Daily Simple SOFR Loans prior to the occurrence of a Benchmark Replacement Date. 2.3 Protective Advances. (a) Subject to the limitations set forth below, the Administrative Agent is authorized by the Borrower and the Lenders, from time to time in the Administrative Agent’s Permitted Discretion (but shall have absolutely no obligation to), following notice to the Borrower, to make Loans to the Borrower,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 (iii) to pay any other amount chargeable to or required to be paid by the Borrower pursuant to the terms of this Agreement, including payments of reimbursable expenses (including costs, fees, and expenses as described in Section 10.5) and other sums payable under the Loan Documents (any of such Loans are herein referred to as “Protective Advances”); provided that, as of the date of the making of any Protective Advance, the aggregate amount of outstanding Protective Advances shall not exceed 10% of the Commitments outstanding as of such date; provided further that the Total Revolving Extensions of Credit outstanding at any time shall not exceed the Total Commitments. Protective Advances may be made even if the conditions precedent set forth in Section 5.2 have not been satisfied. The Protective Advances shall be secured by the Liens in favor of the Administrative Agent in and to the Collateral and shall constitute Obligations hereunder. All Protective Advances shall be ABR Loans. The Administrative Agent’s authorization to make Protective Advances may be revoked at any time by the Required Lenders. Any such revocation must be in writing and shall become effective prospectively upon the Administrative Agent’s receipt thereof. If at any time (a) the amount equal to (i) the Line Cap minus (ii) the Total Revolving Extensions of Credit then outstanding (calculated, with respect to any Defaulting Lender, as if such Defaulting Lender had funded its Revolving Percentage of all outstanding Revolving Loans) exceeds the amount of any Protective Advance and (b) the conditions precedent set forth in Section 5.2 have been satisfied, the Administrative Agent may request the Revolving Lenders to make a Revolving Loan to repay a Protective Advance. At any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5"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time the Administrative Agent may require the Lenders to fund their risk participations as set forth in Section 2.3(b). (b) 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Revolving Percentage. From and after the date, if any, on which any Lender is required to fund its participation in any Protective Advance purchased hereunder, the Administrative Agent shall promptly distribute to such Lender such Lender’s Revolving Percentage of all payments of principal and interest and all proceeds of Collateral received by the Administrative Agent in respect of such Protective Advance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Protective Advances then due). 2.4 [Reserved]. 2.5 [Reserved]. 2.6 [Reserved]. 2.7 [Reserved]. 2.8 Fees, etc. (a) The Borrower agrees to pay to the Administrative Agent for the account of each Revolving Lender a commitment fee for the period from and including the Closing Date to the last day of the Revolving Commitment Period, computed at the Commitment Fee Rate on the average daily amount of the Available Commitment of such Lender during the period for which payment is made, payable quarterly in arrears on each Fee Payment Date, commencing on the first such date to occur after the Closing Date. (b) The Borrower agrees to pay to the Administrative Agent the fees in the amounts and on the dates as set forth in any fee agreements with the Administrative Agent and to perform any other obligations contained therein. 2.9 Termination or Reduction of Commitments. The Borrower shall have the right, upon not less than three Business Days’ revocable notice to the Administrative Agent (which may be conditioned as stated in such notice by the Borrower), to terminate the Commitments or, from time to time, to reduce the amount of the Commitments; provided that no such termination or reduction of Commitments shall be permitted if, after giving effect thereto and to any prepayments of the Revolving Loans made on the effective date thereof, the Total Revolving Extensions of Credit would exceed the Line Cap. Any such reduction shall be in an amount equal to $5,000,000, or a whole multiple thereof, and shall reduce permanently the Commitments then in effect.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6"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2.10 Optional Prepayments. The Borrower may at any time and from time to time prepay the Loans, in whole or in part, without premium or penalty, upon revocable notice (which may be conditioned as stated in such notice by the Borrower) delivered to the Administrative Agent no later than 12:00 Noon, New York City time, two (2) Business Days prior thereto, in the case of Term SOFR Loans, and no later than 12:00 Noon, New York City time, one Business Day prior thereto, in the case of ABR Loans, which notice shall specify the date and amount of prepayment and whether the prepayment is of Term SOFR Loans or ABR Loans; provided, that if a Term SOFR Loan is prepaid on any day other than the last day of the Interest Period applicable thereto, the Borrower shall also pay any amounts owing pursuant to Section 2.20.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Partial prepayments of Revolving Loans shall be in an aggregate principal amount of $1,000,000 or a whole multiple of $100,000 in excess thereof. The application of any prepayment pursuant to this Section 2.10 shall be made first, to ABR Loans and second, to Term SOFR Loans. 2.11 Mandatory Prepayment of Loans. (a) In the event and on such occasion that (i) the Total Revolving Extensions of Credit exceed the Total Commitments or (ii) the Total Revolving Extensions of Credit (excluding for such purposes Protective Advances) exceed the Borrowing Base, the Borrower shall promptly (and in any event within two Business Days) prepay (or in the case of L/C Exposure, cash collateralize to 103% of the aggregate undrawn face amount thereof) the Revolving Loans, L/C Exposure and/or (in the case of clause (i) above) the Protective Advances in an aggregate amount equal to such excess (it being understood that the Borrower shall prepay Revolving Loans and/or Protective Advances prior to cash collateralization of L/C Exposure). (b) [Reserved]. (c) The application of any prepayment pursuant to this Section 2.11 shall be applied first, to Protective Advances, second, to Revolving Loans and third to cash collateralize L/C Obligations and, with respect to Protective Advances and Revolving Loans, first to ABR Loans and second to Term SOFR Loans. (d) On each Business Day during any Full Cash Dominion Period, the Administrative Agent shall apply, subject to Section 2.17(b) of this Agreement and Section 8.1(b) of the Guarantee and Collateral Agreement, all funds credited to any applicable Collection Account as of 10:00 A.M., New York City time, on such Business Day (whether or not immediately available) and first to prepay any Protective Advances that may be outstanding, second to prepay other Revolving Loans (without a corresponding reduction in Commitments). 2.12 Conversion and Continuation Options. (a) The Borrower may elect from time to time to convert Term SOFR Loans to ABR Loans by giving the Administrative Agent prior irrevocable notice of such election substantially in the form of Exhibit B attached hereto (an “Interest Election Request”) no later than 12:00 Noon, New York City time, on the Business Day preceding the proposed conversion date, provided that any such conversion of Term SOFR Loans may only be made on the last day of an Interest Period with respect thereto. The Borrower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7"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elect from time to time to convert ABR Loans to Term SOFR Loans by giving the Administrative Agent prior irrevocable notice of such election no later than 12:00 Noon, New York City time, on the second U.S. Government Securities Business Day preceding the proposed conversion date (which Interest Election Request shall specify the length of the initial Interest Period therefor), provided that no ABR Loan may be converted into a Term SOFR Loan when (i) any Event of Default has occurred and is continuing and the Administrative Agent or the Required Lenders have determined in its or their sole discretion not to permit such conversion or (ii) if a Specified Event of Default is in existence. Upon receipt of any such Interest Election Request the Administrative Agent shall promptly notify each relevant Lender thereof. (b) Any Term SOFR Loan may be continued as such upon the expiration of the then current Interest Period with respect thereto by the Borrower giving irrevocable notice by submitting an Interest Election Request to the Administrative Agent, in accordance with the applicable provisions of the term “Interest Period” set forth in Section 1.1, of the length of the next Interest Period to be applicable to such Loans, provided that no Term SOFR Loan under a particular Facility may be continued as such (i) when any Event of Default has occurred and is continuing and the Administrative Agent has or the Required Lenders have determined in its or their sole discretion not to permit such continuations or (ii) if a Specified Event of Default is in existence, and provided, further, that if the Borrower shall fail to give any required Interest Election Request as described above in this paragraph or if such continuation is not permitted pursuant to the preceding proviso such Loans shall be automatically converted to ABR Loans on the last day of such then expiring Interest Period. Upon receipt of any such Interest Election Request the Administrative Agent shall promptly notify each relevant Lender thereof. 2.13 Limitations on Term SOFR Borrowings. Notwithstanding anything to the contrary in this Agreement, all borrowings, conversions and continuations of Term SOFR Loans and all selections of Interest Periods shall be in such amounts and be made pursuant to such elections so that, (a) after giving effect thereto, the aggregate principal amount of the Term SOFR Loans comprising each Term SOFR Borrowing shall be equal to $3,000,000 or a whole multiple of $1,000,000 in excess thereof and (b) no more than 15 Term SOFR Borrowings shall be outstanding at any one time. 2.14 Interest Rates and Payment Dates. Subject to Section 2.16, (a) each Term SOFR Loan shall bear interest for each day during each Interest Period with respect thereto at a rate per annum equal to Adjusted Term SOFR determined for such day plus the Applicable Margin. (b) Each ABR Loan shall bear interest at a rate per annum equal to the Alternate Base Rate plus the Applicable Margin. (c) (i)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2.14 plus 2% or (y) in the case of Reimbursement Obligations, the rate applicable to Revolving Loans that are ABR Loans plus 2%, and (ii) if all or a portion of any interest payable on any Loan or Reimbursement Obligation or any commitment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8"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fee or other amount payable hereunder shall not be paid when due (whether at the stated maturity, by acceleration or otherwise), such overdue amount shall bear interest at a rate per annum equal to the rate then applicable to Revolving Loans that are ABR Loans plus 2%, in each case, with respect to clauses (i) and (ii) above, from the date of such non-payment until such amount is paid in full (as well after as before judgment). (d) Interest shall be payable in arrears on each Interest Payment Date, provided that interest accruing pursuant to paragraph (c) of this Section 2.14 shall be payable from time to time on demand. 2.15 Computation of Interest and Fees. (a) Interest and fees payable pursuant hereto shall be calculated on the basis of a 360-day year for the actual days elapsed, except that, with respect to ABR Loans the rate of interest on which is calculated on the basis of the Prime Rate, the interest thereon shall be calculated on the basis of a 365- (or 366-, as the case may be) day year for the actual days elapsed (including the first day, but excluding the last day; provided that if a Loan is repaid on the same day on which it is made, one day’s interest shall be paid on such Loan). (b) 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Section 2.14(a). 2.16 Alternate Rate of Interest. (a) Subject to clauses (b), (c), (d), (e), (f) and (g) of this Section 2.16, if prior to the commencement of any Interest Period for a Term SOFR Borrowing: (i) the Administrative Agent determines (which determination shall be conclusive and binding absent manifest error) that adequate and reasonable means do not exist for ascertaining Term SOFR, the Term SOFR Reference Rate or Adjusted Term SOFR, as applicable for a Loan for such Interest Period; provided that no Benchmark Transition Event shall have occurred at such time, or (ii) the Administrative Agent is advised by the Required Lenders that Adjusted Term SOFR for a Loan for such Interest Period will not adequately and fairly reflect the cost to such Lenders (as conclusively certified by such Lenders) of making or maintaining their Loans (or its Loan) included in such Borrowing for such Interest Period, 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(which notification shall be made promptly after the Administrative Agent obtains knowledge of the cessation of the circumstances referenced in clause (i) above or receives notice from the Required Lenders in respect of the cessation of circumstances referenced in clause (ii) above), (A) any Interest Election Request that requests the conversion of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9"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Revolving Borrowing to, or continuation of any Revolving Borrowing as, a Term SOFR Borrowing shall be ineffective and (B) if any Borrowing Request requests a Term SOFR Borrowing, such Borrowing shall be made as an ABR Borrowing. (b) Notwithstanding anything to the contrary herein or in any other Loan Document (and any Swap Agreement shall be deemed not to be a “Loan Document” for purposes of this Section 2.16), if a Benchmark Transition Event and its related Benchmark Replacement Date have occurred prior to the Reference Time in respect of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(c) [Reserved]. (d)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(e) The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0"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Notwithstanding anything to the contrary herein or in any other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(g) Upon the Borrower’s receipt of notice of the commencement of a Benchmark Unavailability Period, the Borrower may revoke any request for a Term SOFR Revolving Borrowing of, conversion to or continuation of Term SOFR Loans to be made, converted or continued during any Benchmark Unavailability Period and, failing that, the Borrower will be deemed to have converted any such request into a request for a Revolving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 2.17 Pro Rata Treatment and Payments. (a) Each borrowing by the Borrower from the Revolving Lenders hereunder, each payment by the Borrower on account of any commitment fee and any reduction of the Commitments of the Lenders shall be made pro rata according to the Revolving Percentages of the Lenders, in each case unless otherwise provided in this Agreement. (b) Any proceeds of Collateral of any Loan Party received by the Administrative Agent (i) after an Event of Default has occurred and is continuing and the Required Lenders so direct or (ii) at any other time, not constituting (A) a specific payment of principal, interest, fees or other sum payable under the Loan Documents (which shall be applied as specified by the Borrower), (B) a mandatory prepayment (which shall be applied in accordance with Section 2.11(c)) or (C) amounts to be applied from the Collection Account (which shall be applied in accordance with Section 2.11(d)), shall be applied, subject to the Intercreditor Agreement, ratably first, to pay any fees, indemnities, or expense reimbursements then owing to the Administrative Agent and any Issuing Lender from, or guaranteed by, such Loan Party under the Loan Documents (other than in connection with Banking Services Obligations or Swap Obligations), second, to pay any fees or expense reimbursements then owing to the Lenders from, or guaranteed by, such Loan Party under the Loan Documents (other than in connection with Banking Services or Swap Obligations), third, to pay interest due in respect of the Protective Advances owing by or guaranteed by such Loan Party, fourth, to pay the principal of the Protective Advances owing by or guaranteed by such Loan Party, fifth, to pay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1"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then due and payable on the Loans (other than the Protective Advances) and unreimbursed L/C Disbursements, in each case owing or guaranteed by such Loan Party, ratably, sixth, to prepay principal on the Loans (other than the Protective Advances) and unreimbursed L/C Disbursements owing or guaranteed by such Loan Party and to the payment of any amounts owing with respect to Reported Banking Services Obligations and Reported Secured Swap Obligations owing or guaranteed by such Loan Party, ratably, seventh, to pay an amount to the Administrative Agent equal to 103% of the aggregate undrawn face amount of all outstanding Letters of Credit issued on behalf of, or guaranteed by, such Loan Party, to be held as cash collateral for such Obligations, eighth, to the payment of any amounts owing with respect to Banking Services Obligations (other than Reported Banking Services Obligations) and Secured Swap Obligations (other than Reported Secured Swap Obligations) owing or guaranteed by such Loan Party, ratably, ninth, to the payment of any other Obligations owing to the Administrative Agent or any Lender by, or guaranteed by, such Loan Party, ratably, and tenth, any balance remaining after the Obligations shall have been paid in full and no Letters of Credit shall be outstanding (other than Letters of Credit which have been cash collateralized in accordance with the foregoing) shall be paid over to the applicable Loan Party at its account designated for such purpose by written notice by such Loan Party to the Administrative Agent or to whomsoever else may be lawfully entitled to receive the same. The application of any payment pursuant to this Section 2.17(b) shall be made first, to ABR Loans and second, to Term SOFR Loans. Each of the Administrative Agent and the Lenders shall have the continuing and exclusive right to apply and reverse and reapply any and all such proceeds and payments to any portion of the Obligations to maximize realization of the Collateral (it being understood that, notwithstanding the foregoing, in no event shall payments be made pursuant to levels “eighth” or “ninth” above prior to the payment in full of all obligations described in levels “first” through “seventh” above). Notwithstanding the foregoing, no amount received from any Loan Party shall be applied to any Excluded Swap Obligation of such Loan Party. (c) Each payment (including each prepayment) by the Borrower on account of principal of and interest on the Revolving Loans shall be made pro rata according to the respective outstanding principal amounts of the Revolving Loans then held by the Revolving Lenders, unless otherwise provided by this Agreement. (d) All payments (including prepayments) to be made by the Borrower hereunder, whether on account of principal, interest, fees or otherwise, shall be made without setoff or counterclaim and shall be made prior to 2:00 P.M., New York City time, on the due date thereof to the Administrative Agent, for the account of the Lenders, at the Funding Office, in Dollars and in immediately available funds. The Administrative Agent shall distribute such payments to each relevant Lender promptly upon receipt in like funds as received, net of any amounts owing by such Lender pursuant to Section 9.7. If any payment hereunder (other than payments on Term SOFR Loans) becomes due and payable on a day other than a Business Day, such payment shall be extended to the next succeeding Business Day. If any payment on a Term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 During any Full Cash Dominion Period, solely for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2"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purposes of determining the amount of Loans available for borrowing purposes, checks (in addition to immediately available funds applied pursuant to Section 2.11(d)) from collections of items of payment and proceeds of any Collateral shall be applied in whole or in part against the applicable Obligations as of 10:00 A.M., New York City time, on the Business Day of receipt, subject to actual collection. (e) 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NYFRB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Revolving Loans that are ABR Loans, on demand, from the Borrower. (f) Unless the Administrative Agent shall have been notified in writing by the Borrower prior to the date of any payment due to be made by the Borrower pursuant to the terms hereof or any other Loan Document (including any date that is fixed for prepayment by notice from the Borrower to the Administrative Agent pursuant to Section 2.11(d))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NYFRB Rate. Nothing herein shall be deemed to limit the rights of the Administrative Agent or any Lender against the Borrower. (g) If any Lender shall fail to make any payment required to be made by it pursuant to Section 2.17(e), 2.17(f), 2.19(e), 3.4(a) or 10.7, then the Administrative Agent may, in its discretion and notwithstanding any contrary provision hereof, (i) apply any amounts thereafter received by the Administrative Agent for the account of such Lender for the benefit of the Administrative Agent or the Issuing Lender to satisfy such Lender’s obligations to it under such Sections until all such unsatisfied obligations are fully paid, and/or (ii) hold any such amounts in a segregated account as cash collateral for, and application to, any future funding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3"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of such Lender under any such Section, in the case of each of clauses (i) and (ii) above, in any order as determined by the Administrative Agent in its discretion. 2.18 Requirements of Law. (a) If the adoption of or any change in any Requirement of Law or in the interpretation, administration, implementation or application thereof or compliance by any Lender or other Credit Party with any request or directive (whether or not having the force of law) from any central bank or other Governmental Authority, in each case made or occurring subsequent to the Closing Date: (i) shall subject any Credit Party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(ii) shall impose, modify or hold applicable any reserve, special deposit, compulsory loan, insurance charge or similar requirement against assets held by, deposits or other liabilities in or for the account of, advances, loans or other extensions of credit (or participations therein) by, or any other acquisition of funds by, any office of such Lender that is not otherwise included in the determination of Adjusted Term SOFR; or (iii) shall impose on such Lender any other condition (other than Taxes); and the result of any of the foregoing is to increase the cost to such Lender or such other Credit Party, by an amount that such Lender or other Credit Party deems to be material, of making, converting into, continuing or maintaining Loans or issuing or participating in Letters of Credit, or to reduce any amount receivable hereunder in respect thereof, then, in any such case, the Borrower shall promptly pay such Lender or such other Credit Party, upon its demand, any additional amounts necessary to compensate such Lender or such other Credit Party for such increased cost or reduced amount receivable. If any Lender or such other Credit Party becomes entitled to claim any additional amounts pursuant to this paragraph, it shall promptly notify the Borrower (with a copy to the Administrative Agent) of the event by reason of which it has become so entitled. (b) If any Lender shall have determined that the adoption of or any change in any Requirement of Law regarding capital or liquidity requirements or in the interpretation, administration, implementation or application thereof or compliance by such Lender or any corporation controlling such Lender with any request or directive regarding capital or liquidity requirements (whether or not having the force of law) from any Governmental Authority made subsequent to the Closing Date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or liquidity) by an amount deemed by such Lender to be material, then from time to time, after submission by such 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4"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 to the Borrower (with a copy to the Administrative Agent) of a written request therefor, the Borrower shall pay to such Lender such additional amount or amounts as will compensate such Lender or such corporation for such reduction. (c) 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 (d) A certificate as to any additional amounts payable pursuant to this Section 2.18 submitted by any Lender to the Borrower (with a copy to the Administrative Agent) shall be conclusive in the absence of manifest error. Notwithstanding anything to the contrary in this Section 2.18, the Borrower shall not be required to compensate a Lender pursuant to this Section 2.18 for any amounts incurred more than six months prior to the date that such Lender notifies the Borrower of such Lender’s intention to claim compensation therefor; provided that, if the circumstances giving rise to such claim have a retroactive effect, then such six-month period shall be extended to include the period of such retroactive effect. The obligations of the Borrower pursuant to this Section 2.18 shall survive the termination of this Agreement and the payment of the Loans and all other amounts payable hereunder. (e) Notwithstanding any other provision of this Section 2.18 to the contrary, no Lender shall be entitled to receive any compensation pursuant to this Section 2.18 unless it shall be the general policy or practice of such Lender to seek compensation from other similarly situated borrowers in the syndicated loan market in the United States with respect to its similarly affected loans under agreements with such borrowers having provisions similar to this Section 2.18. 2.19 Taxes. (a)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2.19), the amounts received with respect to this agreement equal the sum which would have been received had no such deduction or withholding been made.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5"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Loan Parties shall timely pay to the relevant Governmental Authority in accordance with applicable law, or at the option of the Administrative Agent timely reimburse it for, Other Taxes. (c) As soon as practicable after any payment of Taxes by any Loan Party to a Governmental Authority pursuant to this Section 2.19,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(d) The Loan Parties shall jointly and severally indemnify each Credit Party, within 10 days after demand therefor, for the full amount of any Indemnified Taxes (including Indemnified Taxes imposed or asserted on or attributable to amounts payable under this Section 2.19) payable or paid by such Credit Party or required to be withheld or deducted from a payment to such Credit Party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 Each Lender shall severally indemnify the Administrative Agent, within 10 days after demand therefor, for (i) any Taxes attributable to such Lender (but only to the extent that any Loan Party has not already indemnified the Administrative Agent for such Indemnified Taxes and without limiting the obligation of the Loan Parties to do so) and (ii) any Taxes attributable to such Lender’s failure to comply with the provisions of Section 10.6(c)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 (f)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6"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completion, execution and submission of such documentation (other than such documentation set forth in Section 2.19(f)(ii)(A), (ii)(B) and (ii)(D)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the Borrower is a U.S. Person, (A)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 (B) 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 (1) in the case of a Non-U.S. Lender claiming the benefits of an income tax treaty to which the United States is a party (x) with respect to payments of interest under any Loan Document, executed originals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 (2) executed originals of IRS Form W-8ECI; (3) in the case of a Non-U.S. Lender claiming the benefits of the exemption for portfolio interest under Section 881(c) of the Code, (x) a certificate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7"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substantially in the form of Exhibit H-1 to the effect that such Non-U.S. Lender is not a “bank” within the meaning of Section 881(c)(3)(A) of the Code, a “10 percent shareholder” of the Borrower within the meaning of Section 881(c)(3)(B) of the Code, or a “controlled foreign corporation” related to the Borrower as described in Section 881(c)(3)(C) of the Code (a “U.S. Tax Compliance Certificate”) and (y) executed originals of IRS Form W-8BEN or IRS Form W-8BEN-E; or (4) to the extent a Non-U.S. Lender is not the beneficial owner, executed originals of IRS Form W-8IMY, accompanied by IRS Form W-8ECI, IRS Form W-8BEN, IRS Form W-8BEN-E, a U.S. Tax Compliance Certificate substantially in the form of Exhibit H-2 or Exhibit H-3,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U.S. Tax Compliance Certificate substantially in the form of Exhibit H-4 on behalf of each such direct and indirect partner; (C) 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8"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Closing Date.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(g) 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2.19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2.19 shall not be construed to require any indemnified party to make available its Tax returns (or any other information relating to its Taxes that it deems confidential) to the indemnifying party or any other Person. (h) Each party’s obligations under this Section 2.19 shall survive the resignation or replacement of the Administrative Agent or any assignment of rights by, or the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9"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replacement of, a Lender, the termination of the Commitments and the repayment, satisfaction or discharge of all obligations under the Loan Documents. (i) For purposes of this Section 2.19, the term “Lender” includes the Issuing Lender and the term “applicable law” includes FATCA. 2.20 Indemnity. The Borrower agrees to indemnify each Lender for, and to hold each Lender harmless from, any loss or expense that such Lender sustains or incurs as a consequence of (a) default by the Borrower in making a borrowing of, conversion into or continuation of Term SOFR Loans after the Borrower has given a notice requesting the same in accordance with the provisions of this Agreement, (b) default by the Borrower in making any prepayment of or conversion from Term SOFR Loans after the Borrower has given a notice thereof in accordance with the provisions of this Agreement or (c) the making of a prepayment of Term SOFR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2.20 submitted to the Borrower by any Lender shall be conclusive in the absence of manifest error. This covenant shall survive the termination of this Agreement and the payment of the Loans and all other amounts payable hereunder for nine months. 2.21 Change of Lending Office. Each Lender agrees that, upon the occurrence of any event giving rise to the operation of Section 2.18 or 2.19(a) with respect to such Lender, it will, if requested by the Borrower, use reasonable efforts (subject to overall policy considerations of such Lender) to designate another lending office for any Loans affected by such event or to assign and delegate its rights and obligations hereunder to another of its offices, branches or Affiliates with the object of avoiding the consequences of such event; provided, that such designation or assignment is made on terms that, in the sole judgment of such Lender, cause such Lender and its lending offices to suffer no material economic, legal or regulatory disadvantage, and provided, further, that nothing in this Section 2.21 shall affect or postpone any of the obligations of the Borrower or the rights of any Lender pursuant to Section 2.18 or 2.19(a). 2.22 Replacement of Lenders. The Borrower shall be permitted to replace any Lender that (a) requests reimbursement for amounts owing pursuant to Section 2.18 or 2.19(a), (b) becomes a Defaulting Lender or (c) does not consent to any proposed amendment, supplement, modification, consent or waiver of any provision of this Agreement or any other Loan Document that requires the consent of the Supermajority Lenders, each of the Lenders or each of the Lenders affected thereby (so long as the consent of the Required Lenders has been obtained), with a replacement financial institution; provided that (i) such replacement does not conflict with any Requirement of Law, (ii) [reserved], (iii) prior to any such replacement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0"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pursuant to the preceding clause (a), such Lender shall have not eliminated the continued need for payment of amounts owing pursuant to Section 2.18 or 2.19(a), (iv) the replacement financial institution shall purchase, at par, all Loans and other amounts owing to such replaced Lender on or prior to the date of replacement, (v) the Borrower shall be liable to such replaced Lender under Section 2.20 if any Term SOFR Loan owing to such replaced Lender shall be purchased other than on the last day of the Interest Period relating thereto, (vi) the replacement financial institution, if not already a Lender, an affiliate of a Lender or an Approved Fund, shall be reasonably satisfactory to the Administrative Agent (in its capacity as such), (vii) the replaced Lender shall be obligated to make such replacement in accordance with the provisions of Section 10.6 (provided that the Borrower shall be obligated to pay the registration and processing fee referred to therein), (viii) until such time as such replacement shall be consummated, the Borrower shall pay all additional amounts (if any) required pursuant to Section 2.18 or 2.19(a), as the case may be, and (ix) any such replacement shall not be deemed to be a waiver of any rights that the Borrower, the Administrative Agent or any other Lender shall have against the replaced Lender.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 in order for such assignment to be effective. 2.23 Defaulting Lenders. Notwithstanding any provision of this Agreement to the contrary, if any Lender becomes a Defaulting Lender, then the following provisions shall apply for so long as such Lender is a Defaulting Lender: (a) fees shall cease to accrue on the unfunded portion of the Commitment of such Defaulting Lender pursuant to Section 2.8(a); (b) the Commitment and Revolving Extensions of Credit of such Defaulting Lender shall not be included in determining whether the Required Lenders have taken or may take any action hereunder (including any consent to any amendment, waiver or other modification pursuant to Section 10.1); provided, that this clause (b) shall not apply to the vote of a Defaulting Lender in the case of an amendment, waiver or other modification requiring the consent of such Lender or each Lender affected thereby; (c) if any L/C Exposure or Protective Advance Exposure exists at the time such Lender becomes a Defaulting Lender then: (i) all or any part of the L/C Exposure and Protective Advance Exposure of such Defaulting Lender shall be reallocated among the non-Defaulting Lenders in accordance with their respective Revolving Percentages but only to the extent the sum of all non-Defaulting Lenders’ Revolving Extensions of Credit plus such Defaulting Lender’s L/C Exposure and Protective Advance Exposure does not exceed the total of all non-Defaulting Lenders’ Commitments; (ii) if the reallocation described in clause (i) above cannot, or can only partially, be effected, the Borrower shall within one Business Day following notice by the Administrative Agent (x) first, prepay such Protective Advance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1"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Exposure and (y) second, cash collateralize for the benefit of the Issuing Lender only the Borrower’s obligations corresponding to such Defaulting Lender’s L/C Exposure (after giving effect to any partial reallocation pursuant to clause (i) above) in accordance with the procedures set forth in Section 8 for so long as such L/C Exposure is outstanding; (iii) if the Borrower cash collateralizes any portion of such Defaulting Lender’s L/C Exposure pursuant to clause (ii) above, the Borrower shall not be required to pay any fees to such Defaulting Lender pursuant to Section 3.3(a) with respect to such Defaulting Lender’s L/C Exposure during the period such Defaulting Lender’s L/C Exposure is cash collateralized; (iv) if the L/C Exposure of the Defaulting Lender is reallocated pursuant to clause (i) above, then the fees payable to the Lenders pursuant to Section 2.8(a) and Section 3.3(a) shall be adjusted in accordance with the non-Defaulting Lenders’ Revolving Percentages; and (v) if all or any portion of such Defaulting Lender’s L/C Exposure is neither reallocated nor cash collateralized pursuant to clause (i) or (ii) above, then, without prejudice to any rights or remedies of the Issuing Lender or any other Lender hereunder, all fees payable under Section 3.3(a) with respect to such Defaulting Lender’s L/C Exposure shall be payable to the Issuing Lender until and to the extent that such L/C Exposure is reallocated and/or cash collateralized; and (d) so long as such Lender is a Defaulting Lender, the Issuing Lender shall not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2.23(c), and participating interests in any newly issued or increased Letter of Credit shall be allocated among non-Defaulting Lenders in a manner consistent with Section 2.23(c)(i) (and such Defaulting Lender shall not participate therein). If (i) a Bankruptcy Event with respect to a Lender Parent of any Lender shall occur following the Closing Date and for so long as such event shall continue or (ii) the Issuing Lender has a good faith belief that any Lender has defaulted in fulfilling its obligations under one or more other agreements in which such Lender commits to extend credit, the Issuing Lender shall not be required to issue, amend or increase any Letter of Credit, unless the Issuing Lender, as the case may be, shall have entered into arrangements with the Borrower or such Lender, satisfactory to the Issuing Lender, as the case may be, to defease any risk to it in respect of such Lender hereunder. In the event that the Administrative Agent, the Borrower and the Issuing Lender each agrees that a Defaulting Lender has adequately remedied all matters that caused such Lender to be a Defaulting Lender, then the L/C Exposure and Protective Advance Exposure of the Lenders shall be readjusted to reflect the inclusion of such Lender’s Commitment and on 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2"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date such Lender shall purchase at par such of the Loans of the other Lenders as the Administrative Agent shall determine may be necessary in order for such Lender to hold such Loans in accordance with its Revolving Percentage. 2.24 Incremental Facilities. (a) The Borrower and any one or more Lenders (including New Lenders) may from time to time agree that such Lenders shall make, obtain or increase the amount of their Commitments (any such new or increased Commitments, “Incremental Commitments”) by executing and delivering to the Administrative Agent an Increased Facility Activation Notice specifying (x) the amount of such Incremental Commitments and (y) the applicable Increased Facility Closing Date (which shall be a date not less than five (5) Business Days after the date on which such notice is delivered to the Administrative Agent (or such earlier date as shall be agreed by the Administrative Agent)); provided that (i) with respect to any Increased Facility Closing Date, the Incremental Commitments shall be in a minimum amount of $10,000,000 and (ii) the aggregate amount of Incremental Commitments obtained after the Closing Date pursuant to this Section 2.24 shall not exceed $125,000,000. No Lender shall have any obligation to participate in any increase described in this paragraph unless it agrees to do so in its sole discretion, and the Borrower shall have no obligation to offer to any Lender the opportunity to so participate. (b) Any additional bank, financial institution or other entity which, with the consent of the Borrower, the Issuing Lender and the Administrative Agent (which consent shall not be unreasonably withheld), elects to become a “Lender” under this Agreement in connection with any transaction described in Section 2.24(a) shall execute a New Lender Supplement (each, a “New Lender Supplement”), substantially in the form of Exhibit I-2, whereupon such bank, financial institution or other entity (a “New Lender”) shall become a Lender for all purposes and to the same extent as if originally a party hereto and shall be bound by and entitled to the benefits of this Agreement. (c) Unless otherwise agreed or otherwise directed by the Administrative Agent, on each Increased Facility Closing Date, the Administrative Agent shall (i) effect a settlement of all outstanding Revolving Loans among the Lenders that will reflect the adjustments to the Total Commitments of the applicable Lenders as a result of the Incremental Commitments and (ii) notify the Lenders of the occurrence of the Incremental Commitments to be effected on the Increased Facility Closing Date. (d) It shall be a condition precedent to the availability of any Incremental Commitments that (i) no Default or Event of Default shall have occurred and be continuing immediately prior to and immediately after giving effect to the making of such Incremental Commitments, (ii) the representations and warranties set forth in each Loan Document shall be true and correct in all material respects (or, if qualified by materiality, in all respects) on and as of the Increased Facility Closing Date immediately prior to and immediately after giving effect to the making of such Incremental Commitments, except to the extent expressly made as of an earlier date, in which case they shall be so true and correct as of such earlier date and (iii) the Borrower shall have delivered such customary legal opinions, board resolutions, secretary’s certificate, officer’s certificate and other documents, in each case consistent with those delivered 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3"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the Closing Date, as shall be reasonably requested by the Administrative Agent in connection with any Incremental Commitments. (e) On each Increased Facility Closing Date, the fixed dollar portions of any Availability-based thresholds hereunder shall be increased by an amount proportional to the increase, if any, in the Total Commitments above the Total Commitments in effect on the Closing Date effected by the Incremental Commitments on such Increased Facility Closing Date. SECTION 3. LETTERS OF CREDIT 3.1 L/C Commitment. (a) Subject to the terms and conditions hereof, the Issuing Lender, in reliance on the agreements of the other Revolving Lenders set forth in Section 3.4(a), agrees to issue letters of credit (“Letters of Credit”) during the Revolving Commitment Period for the account of the Borrower on any Business Day during the Revolving Commitment Period in such form as may be approved from time to time by the Issuing Lender; provided that the Issuing Lender shall not issue any Letter of Credit if, after giving effect to such issuance, (i) the Total Revolving Extensions of Credit would exceed the Line Cap, subject to the authority of the Administrative Agent, in its sole discretion, to make Protective Advances pursuant to the terms of Section 2.3 or (ii) more than ten (10) Letters of Credit would be outstanding at one time. Each Letter of Credit shall (i) be denominated in Dollars and (ii) expire no later than the earlier of (x) the first anniversary of its date of issuance (or such longer period as agreed to by the applicable Issuing Lender in its sole discretion) and (y) unless such Letter of Credit has been cash collateralized or other arrangements backstopping such Letter of Credit have been made, in each case, reasonably satisfactory to the Issuing Lender, the date that is five Business Days prior to the Revolving Termination Date, provided that any Letter of Credit with a one-year term may provide for the renewal thereof for additional one-year periods (which shall in no event extend beyond the date referred to in clause (y) above unless such Letter of Credit has been cash collateralized or other arrangements backstopping such Letter of Credit have been made, in each case, reasonably satisfactory to the Issuing Lender). In the event of any conflict between the terms and conditions of this Agreement and the terms and conditions of any form of letter of credit application or other agreement submitted by the Borrower to, or entered into by the Borrower with, the Issuing Lender relating to any Letter of Credit, the terms and conditions of this Agreement shall control. (b) The Issuing Lender shall not at any time be obligated to issue, amend or extend any Letter of Credit if the issuance of such Letter of Credit would (i) result in such Issuing Lender’s L/C Obligations exceeding such Lender’s L/C Commitment, (ii) violate one or more policies of the Issuing Lender applicable to letters of credit generally or (iii) conflict with, or cause the Issuing Lender or any L/C Participant to exceed any limits imposed by, any applicable Requirement of Law. Without limiting the foregoing and without affecting the limitations contained herein, it is understood and agreed that the Borrower may from time to time request that an Issuing Lender issue Letters of Credit in excess of such Issuing Lender’s L/C Commitment in effect at the time of such request, and each Issuing Lender agrees to consider any such request in good faith. Any Letter of Credit so issued by an Issuing Lender in excess of its L/C Commitment then in effect shall nonetheless constitute a Letter of Credit for all purposes of this Agreement, and shall not affect the L/C Commitment of any other Issuing Lender.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14"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The parties hereto agree that (i) the Existing Letters of Credit shall be deemed to be Letters of Credit for all purposes under this Agreement, without any further action by the Borrower, the Issuing Lender or any other Person and (ii) the extension or renewal of the Existing Letters of Credit by JPMCB (other than the Specified Letter of Credit) shall not be permitted if after giving effect to such renewal or extension, the aggregate face amount of Letters of Credit issued by JPMCB would exceed JPMCB’s L/C Commitment. 3.2 Procedure for Issuance of Letter of Credit. The Borrower may from time to time request that the Issuing Lender issue a Letter of Credit (or the amendment, renewal or extension of an outstanding Letter of Credit) by delivering to the Issuing Lender at its address for notices specified herein, with a copy to the Administrative Agent, an Application therefor, completed to the reasonable satisfaction of the Issuing Lender, and such other certificates, documents and other papers and information as the Issuing Lender may reasonably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amended, renew or extend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 3.3 Fees and Other Charges. (a) The Borrower will pay a fee on all outstanding Letters of Credit at a per annum rate equal to the Applicable Margin then in effect with respect to Revolving Loans that are Term SOFR Loans, shared ratably among the Revolving Lenders and payable quarterly in arrears on each Fee Payment Date after the issuance date. In addition, the Borrower shall pay to the Issuing Lender for its own account a fronting fee of 0.125% per annum on the undrawn and unexpired amount of each Letter of Credit, payable quarterly in arrears on each Fee Payment Date after the issuance date. (b) 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 3.4 L/C Participations. (a) The Issuing Lender irrevocably agrees to grant and hereby grants to each L/C Participant, and, to induce the Issuing Lender to issue Letters of Credit, each L/C Participant irrevocably, absolutely and unconditionally agrees to accept and purchase and hereby accepts and purchases from the Issuing Lender, on the terms and conditions set forth below, for such L/C Participant’s own account and risk an undivided interest equal to such L/C Participant’s Revolving Percentage in the Issuing Lender’s obligations and rights under and in respect of each Letter of Credit and the amount of each draft paid by the Issuing Lender thereunder. Each L/C Participant agrees with the Issuing Lender that, if a draft is paid under any 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5"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Letter of Credit for which the Issuing Lender is not reimbursed in full by the Borrower in accordance with the terms of this Agreement (or in the event that any reimbursement received by the Issuing Lender shall be required to be returned by it at any time), such L/C Participant shall pay to the Issuing Lender upon demand at the Issuing Lender’s address for notices specified herein an amount equal to such L/C Participant’s Revolving Percentage of the amount that is not so reimbursed (or is so returned). Each L/C Participant’s obligation to pay such amount shall be absolute and unconditional and shall not be affected by any circumstance, including (i) any setoff, counterclaim, recoupment, defense or other right that such L/C Participant may have against the Issuing Lender, the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(iv) any breach of this Agreement or any other Loan Document by the Borrower, any other Loan Party or any other L/C Participant or (v) any other circumstance, happening or event whatsoever, whether or not similar to any of the foregoing. (b) If any amount required to be paid by any L/C Participant to the Issuing Lender pursuant to Section 3.4(a) in respect of any unreimbursed portion of any payment made by the Issuing Lender under any Letter of Credit is not paid to the Issuing Lender within three Business Days after the date such payment is due, such L/C Participant shall pay to the Issuing Lender on demand an amount equal to the product of (i) such amount, times (ii) the greater of (x) the daily average NYFRB Rate during the period from and including the date such payment is required to the date on which such payment is immediately available to the Issuing Lender and (y) a rate determined by the Administrative Agent in accordance with banking industry rules on interbank compensation, times (iii) a fraction the numerator of which is the number of days that elapse during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the Alternate Base Rate plus the Applicable Margin. A certificate of the Issuing Lender submitted to any L/C Participant with respect to any amounts owing under this Section shall be conclusive in the absence of manifest error. (c) Whenever, at any time after the Issuing Lender has made payment under any Letter of Credit and has received from any L/C Participant its pro rata share of such payment in accordance with Section 3.4(a), the Issuing Lender receives any payment related to such Letter of Credit (whether directly from the Borrower or otherwise, including proceeds of Collateral applied thereto by the Issuing Lender), or any payment of interest on account thereof, the Issuing Lender will distribute to such L/C Participant its pro rata share thereof; provided, however, that in the event that any such payment received by the Issuing Lender shall be required to be returned by the Issuing Lender, such L/C Participant shall return to the Issuing Lender the portion thereof previously distributed by the Issuing Lender to it. 3.5 Reimbursement Obligation of the Borrower. If any draft is paid under any Letter of Credit, the Borrower shall reimburse the Issuing Lender for the amount of (a) the draft so paid and (b) any taxes, fees, charges or other costs or expenses incurred by the Issuing Lender in connection with such payment, not later than 2:00 p.m., New York City time, on the Business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6"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Day immediately following the Business Day that the Borrower receives notice of such draft. Each such payment shall be made to the Issuing Lender at its address for notices referred to herein in Dollars and in immediately available funds. Interest shall be payable on any such amounts from the date on which the relevant draft is paid until payment in full at the rate set forth in (x) until the Business Day next succeeding the date of the relevant notice, Section 2.14(b) and (y) thereafter, Section 2.14(c). 3.6 Obligations Absolute. The Borrower’s obligations under this Section 3 shall be absolute, unconditional and irrevocable under any and all 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Reimbursement Obligations under Section 3.5 shall not be affected by, among other things, (a) any lack of validity or enforceability of any Letter of Credit or this Agreement, or any term or provision therein, (b) any draft or other document presented under a Letter of Credit proving to be invalid, fraudulent or forged in any respect or any statement therein being untrue or inaccurate in any respect, (c) any dispute between or among the Borrower and any beneficiary of any Letter of Credit or any other party to which such Letter of Credit may be transferred or any claims whatsoever of the Borrower against any beneficiary of such Letter of Credit or any such transferee, (d) payment by the Issuing Lender under a Letter of Credit against presentation of a draft or other document that does not comply with the terms of such Letter of Credit, or (e) any other event or circumstance whatsoever, whether or not similar to any of the foregoing, that might, but for the provisions of this Section, constitute a legal or equitable discharge of, or provide a right of setoff against, the Borrower's obligations hereunder. The Issuing Lender shall not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message or advice, however transmitted, in connection with any Letter of Credit (including any document required to make a drawing thereunder), any error in interpretation of technical terms or any consequence arising from causes beyond the control of the Issuing Lender; provided that the foregoing shall not be construed to excuse the Issuing Lender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Lender's failure to exercise care when determining whether drafts and other documents presented under a Letter of Credit comply with the terms thereof. The parties hereto expressly agree that, in the absence of gross negligence, bad faith or willful misconduct on the part of the Issuing Lender (as finally determined by a court of competent jurisdiction), the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7"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Letter of Credit Payments. If any draft shall be presented for payment under any Letter of Credit, the Issuing Lender shall promptly notify the Borrower and the Administrative Agent of the date and amount thereof; provided that any failure to give or delay in giving such notice shall not relieve the Borrower of its obligation to reimburse the Issuing Lender and the Revolving Lenders pursuant to Section 3.5. 3.8 Applications. To the extent that any provision of any Application related to any Letter of Credit is inconsistent with the provisions of this Section 3, the provisions of this Section 3 shall apply. 3.9 Replacement and Resignation of Issuing Lenders. (a) An Issuing Lender may be replaced at any time by written agreement among the Borrower, the Administrative Agent, the replaced Issuing Lender and the successor Issuing Lender. The Administrative Agent shall notify the Lenders of any such replacement of an Issuing Lender. At the time any such replacement shall become effective, the Borrower shall pay all unpaid fees accrued for the account of the replaced Issuing Lender pursuant to Section 3.3. From and after the effective date of any such replacement, (i) the successor Issuing Lender shall have all the rights and obligations of an Issuing Lender under this Agreement with respect to Letters of Credit to be issued thereafter and (ii) references herein to the term “Issuing Lender” shall be deemed to refer to such successor or to any previous Issuing Lender, or to such successor and all previous Issuing Lender, as the context shall require. After the replacement of an Issuing Lender hereunder, the replaced Issuing Lender shall remain a party hereto and shall continue to have all the rights and obligations of an Issuing Lender under this Agreement with respect to Letters of Credit then outstanding and issued by it prior to such replacement, but shall not be required to issue additional Letters of Credit or extend or otherwise amend any existing Letter of Credit. (b) Subject to the appointment and acceptance of a successor Issuing Lender, any Issuing Lender may resign as an Issuing Lender at any time upon thirty days’ prior written notice to the Administrative Agent, the Borrower and the Lenders, in which case, such resigning Issuing Lender shall be replaced in accordance with Section 3.9(a) above. 3.10 International Standby Practices. Unless otherwise expressly agreed by an Issuing Lender and the Borrower when a Letter of Credit is issued by such Issuing Lender, the rules of the International Standby Practices shall be stated therein to apply to each standby Letter of Credit. Notwithstanding the foregoing, no Issuing Lender shall be responsible to the Borrower for, and such Issuing Lender’s rights and remedies against the Borrower shall not be impaired by, any action or inaction of such Issuing Lender required or permitted under any law, order, or practice that is required or permitted to be applied to any Letter of Credit or this Agreement, including the laws or any order of a jurisdiction where such Issuing Lender or the beneficiary is located, the practice stated in the International Standby Practices or Uniform Customs and Practice for Documentary Credits, as applicable, or in the decisions, opinions, practice statements, or official commentary of the International Chamber of Commerce Banking Commission, the Bankers Association for Finance and Trade, or the Institute of International Banking Law &amp; Practice, whether or not any Letter of Credit chooses such laws or practice rules.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18"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4. REPRESENTATIONS AND WARRANTIES To induce the Administrative Agent and the Lenders to enter into this Agreement and to make the Loans and issue or participate in the Letters of Credit, the Borrower hereby represents and warrants to the Administrative Agent and each Lender that: 4.1 Financial Condition. (a) The unaudited pro forma consolidated balance sheet and related pro forma consolidated statement of income of the Borrower and its consolidated Restricted Subsidiaries as of and for the 12 months ended September 30, 2020 (the “Pro Forma Financial Statements”), copies of which have heretofore been furnished to the Administrative Agent, have been prepared giving effect (as if such events had occurred on such date (in the case of the balance sheet) or at the beginning of such period (in the case of the statement of income)) to the consummation of the Transactions and the payment of fees and expenses in connection therewith. The Pro Forma Financial Statements have been prepared in good faith and are based on assumptions believed by the Borrower to be reasonable as of the date of delivery thereof, and present fairly in all material respects on a pro forma basis the estimated financial condition and results of operations of Borrower and its consolidated Restricted Subsidiaries as of and for the 12 months ended at September 30, 2020, assuming that the events specified in the preceding sentence had actually occurred at such date or at the beginning of such period, as applicable. (b) The audited consolidated balance sheet of the Borrower and its consolidated Restricted Subsidiaries as at December 31, 2019, and the related consolidated statements of income, stockholders’ equity and cash flows for the fiscal year ended on such date, reported on by and accompanied by an unqualified report from Ernst &amp; Young LLP, present fairly, in all material respects, the consolidated financial condition of the Borrower and its consolidated Restricted Subsidiaries (prior to giving effect to the consummation of the Transactions) as at such date, and the consolidated results of its operations and its consolidated cash flows for the fiscal year then ended. The unaudited consolidated balance sheet of the Borrower and its consolidated Restricted Subsidiaries as at March 31, 2020, June 30, 2020 and September 30, 2020, and the related unaudited consolidated statements of income, stockholders’ equity and cash flow for the three-month periods ended on such dates, present fairly, in all material respects, the consolidated financial condition of the Borrower and its consolidated Restricted Subsidiaries (prior to giving effect to the consummation of the Transactions) as at such dates, and the consolidated results of its operations and its consolidated cash flow for the three-month periods then ended (subject to normal year-end audit adjustments and the absence of footnotes). All such financial statements, including the related schedules and notes thereto, have been prepared in accordance with GAAP applied consistently throughout the periods involved (except as approved by the aforementioned firm of accountants and disclosed therein), except that the interim financial statements are subject to year-end adjustments and the absence of footnotes. 4.2 No Change. Since December 31, 2019, there has been no development or event that has had or would reasonably be expected to have a Material Adverse Effect. 4.3 Existence; Compliance with Law. Each Group Member (a) is duly organized or formed, validly existing and in good standing under the laws of the jurisdiction of 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9"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its organization, (b) has the corporate or similar organizational power and authority, and the legal right, to own and operate its property, to lease the property it operates as lessee and to conduct the business in which it is currently engaged, (c) is duly qualified as a foreign corporation or other organization and in good standing under the laws of each jurisdiction where its ownership, lease or operation of property or the conduct of its business requires such qualification, except where the failure to be so qualified and in good standing would not, in the aggregate, reasonably be expected to have a Material Adverse Effect and (d) is in compliance with all Requirements of Law except to the extent that the failure to comply therewith would not, in the aggregate, reasonably be expected to have a Material Adverse Effect. 4.4 Power; Authorization; Enforceable Obligations. (a) Each Loan Party has the corporate or similar organizational power and authority, and the legal right, to make, deliver and perform the Loan Documents to which it is a party and, in the case of the Borrower, to obtain extensions of credit hereunder. Each Loan Party has taken all necessary corporate or similar organizational action to authorize the execution, delivery and performance of the Loan Documents to which it is a party and, in the case of the Borrower, to authorize the extensions of credit on the terms and conditions of this Agreement.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(b) No consent or authorization of, filing with, notice to or other act by or in respect of, any Governmental Authority or any other Person is required in connection with the extensions of credit hereunder or with the execution, delivery, performance, validity or enforceability of this Agreement or any of the Loan Documents, except (i) consents, authorizations, filings and notices that have been obtained or made and are in full force and effect, (ii) the filings referred to in Section 4.19, (iii) filings with the SEC that may be required to be made following the execution and delivery hereof in connection herewith and (iv) immaterial consents, authorizations, filings and notices. 4.5 No Legal Bar. The execution, delivery and performance of this Agreement and the other Loan Documents, the issuance of Letters of Credit, the borrowings hereunder and the use of the proceeds thereof will not violate any Requirement of Law or any Contractual Obligation of any Group Member, except (other than with respect to such Group Member’s Organizational Documents) for violations that would not reasonably be expected to have a Material Adverse Effect, and will not result in, or require, the creation or imposition of any Lien on any of their respective properties or revenues pursuant to any Requirement of Law or any such Contractual Obligation (other than the Liens created by the Security Documents and other Permitted Liens). 4.6 Litigation. No litigation, investigation or proceeding of or before any arbitrator or Governmental Authority is pending or, to the knowledge of the Borrower, 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0"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threatened by or against any Group Member or against any of their respective properties or revenues that would reasonably be expected to have a Material Adverse Effect. 4.7 No Default. No Group Member is in default under or with respect to any of its Contractual Obligations in any respect that would reasonably be expected to have a Material Adverse Effect. No Default or Event of Default has occurred and is continuing. 4.8 Ownership of Property; Liens. Each Group Member has title in fee simple to, or a valid leasehold interest in, all its real property, and good title to, or a valid leasehold interest in, all its other property (except where the failure to have such title would not reasonably be expected to have a Material Adverse Effect), and none of such property is subject to any Lien except as permitted by Section 7.3. 4.9 Intellectual Property. Except as would not reasonably be expected, individually or in the aggregate, to have a Material Adverse Effect, (i) each Group Member owns or otherwise has a valid right to use all Intellectual Property material to the conduct of its business as currently conducted, free and clear of all Liens, except as permitted by Section 7.3, and any such Intellectual Property that is owned by any Group Member and registered with any Governmental Authority is subsisting, unexpired and, to the knowledge of each Group Member, valid and enforceable; (ii) the use thereof and the conduct of the business of each of the Group Members does not infringe upon or otherwise violate the rights of any Person; and (iii) no Group Member has, within the past three years, received any material written claim in which any Person challenged the use of any Intellectual Property by any Group Member, or the validity or effectiveness of any Intellectual Property owned by any Loan Party, nor does the Borrower know of any valid basis for any such material claim. 4.10 Taxes. Each Group Member has filed or caused to be filed all federal, state and other material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(i) the amount or validity of which are currently being contested in good faith by appropriate proceedings and with respect to which reserves in conformity with GAAP have been provided on the books of the relevant Group Member, or (ii) to the extent that the failure to file or pay, individually or in the aggregate, would not reasonably be expected to have a Material Adverse Effect). 4.11 Federal Regulations. No part of the proceeds of any Borrowing hereunder will be used for “buying” or “carrying” any Margin Stock within the respective meanings of each of the quoted terms under Regulation U as now and from time to time hereafter in effect except in compliance with the provisions of the regulations of the Board. 4.12 Labor Matters. Except as, in the aggregate, would not reasonably be expected to have a Material Adverse Effect: (a) there are no strikes or other labor disputes against any Group Member pending or, to the knowledge of the Borrower, threatened; (b) hours worked by and payment made to employees of each Group Member have not been in violation of the Fair Labor Standards Act or any other applicable Requirement of Law dealing with such matters; and (c) all payments due from any Group Member on account of employee health and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1"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welfare insurance have been paid or accrued as a liability on the books of the relevant Group Member. 4.13 ERISA. Except as would not reasonably be expected, individually or in the aggregate, to have a Material Adverse Effect: (a) each Group Member and each of their respective ERISA Affiliates (and in the case of a Pension Plan or a Multiemployer Plan, each of their respective ERISA Affiliates) are in compliance with all applicable provisions and requirements of ERISA and the Code and other federal and state laws and the regulations and published interpretations thereunder with respect to each Plan and Pension Plan and have performed all their obligations under each Plan and Pension Plan; (b) no ERISA Event or Foreign Plan Event has occurred or is reasonably expected to occur, and no ERISA Affiliate is aware of any fact, event or circumstance that could reasonably be expected to constitute or result in an ERISA Event; (c) each Plan or Pension Plan which is intended to qualify under Section 401(a) of the Code has received a favorable determination letter from the IRS indicating that such Plan or Pension Plan is so qualified and the trust related thereto has been determined by the Internal Revenue Service to be exempt from federal income tax under Section 501(a) of the Code or an application for such a determination is currently pending before the Internal Revenue Service and, to the knowledge of the Borrower, nothing has occurred subsequent to the issuance of the most recent determination letter which would cause such Plan or Pension Plan to lose its qualified status; (d) no liability to the PBGC (other than required premium payments), the IRS, any Plan or Pension Plan or any trust established under Title IV of ERISA has been or is expected to be incurred by any Group Member or any of their ERISA Affiliates; (e) each of the Group Members’ ERISA Affiliates has complied with the requirements of Section 515 of ERISA with respect to each Multiemployer Plan and is not in “default” (as defined in Section 4219(c)(5) of ERISA) with respect to payments to a Multiemployer Plan; (f) all amounts required by applicable law with respect to, or by the terms of, any retiree welfare benefit arrangement maintained by any Group Member or any ERISA Affiliate or to which any Group Member or any ERISA Affiliate has an obligation to contribute have been accrued in accordance with ASC Topic 715-60; (g) as of the most recent valuation date for each Multiemployer Plan for which the actuarial report is available, no Group Member nor any of their respective ERISA Affiliates has any potential liability for a complete withdrawal from such Multiemployer Plan (within the meaning of Section 4203 of ERISA), when aggregated with such potential liability for a complete withdrawal from all Multiemployer Plans, based on information available pursuant to Section 4221(e) of ERISA; (h) there has been no Prohibited Transaction or violation of the fiduciary responsibility rules with respect to any Plan or Pension Plan that has resulted or would reasonably be expected to result in a Material Adverse Effect; and (i) neither any Group Member nor any ERISA Affiliate maintains or contributes to, or has any unsatisfied obligation to contribute to, or liability under, any active or terminated Pension Plan other than (i) on the Closing Date, those listed on Schedule 4.13 hereto and (ii) thereafter, Pension Plans not otherwise prohibited by this Agreement. The present value of all accumulated benefit obligations under each Pension Plan, did not, as of the close of its most recent plan year, exceed by more than $10,000,000 the fair market value of the assets of such Pension Plan allocable to such accrued benefits (determined in both cases using the applicable assumptions under Section 430 of the Code and the Treasury Regulations promulgated thereunder), and the present value of all accumulated benefit obligations of all underfunded Pension Plans did not, as of the date of the most recent financial statements reflecting such amounts, exceed by more than $10,000,000 the fair market value of the assets of all such underfunded Pension Plans (determined in both cases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2"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using the applicable assumptions under Section 430 of the Code and the Treasury Regulations promulgated thereunder). 4.14 Investment Company Act; Other Regulations. No Loan Party is an “investment company” within the meaning of the Investment Company Act of 1940, as amended. 4.15 Subsidiaries; Capital Stock. As of the Closing Date, (a) Schedule 4.15 sets forth the name and jurisdiction of incorporation of each Subsidiary and, as to each such Subsidiary, the percentage of each class of Capital Stock owned by any Loan Party and (b) there are no outstanding subscriptions, options, warrants, calls, rights or other agreements or commitments (other than stock options and restricted stock units granted to employees or directors and directors’ qualifying shares) of any nature relating to any Capital Stock of any Restricted Subsidiary, except (i) with respect to Capital Stock of Loan Parties, as created by the Loan Documents or the Term Loan Documents (or any security documents in respect of Permitted Refinancing Indebtedness thereof) and (ii) otherwise, as permitted by this Agreement. 4.16 Use of Proceeds. The proceeds of the Revolving Loans and the Letters of Credit will be used by the Borrower (a) on the Closing Date, to pay, directly or indirectly, the consideration for the Acima Acquisition, for the Debt Repayment, to fund any original issue discount or upfront fees due in connection with the “flex” provisions in connection with the Transactions, to pay costs and expenses in respect of the Transactions, for backstop or replacement letters of credit (or the rolling of letters of credit) outstanding on the Closing Date and for the issuance of Letters of Credit and for other general corporate purposes and (b) at all other times, for general corporate purposes (including Restricted Payments, Permitted Acquisitions, other Investments and paying fees and expenses in connection with the execution and delivery of this Agreement, and other uses not prohibited by this Agreement). 4.17 Environmental Matters. Except as, individually or in the aggregate, would not reasonably be expected to have a Material Adverse Effect: (a) Materials of Environmental Concern are not present at, on, under, in, or about any real property now or formerly owned, leased or operated by any Group Member or at any other location (including any location to which Materials of Environmental Concern have been sent for re-use or recycling or for treatment, storage, or disposal), in amounts or concentrations or under circumstances that constitute a violation of, or would reasonably be expected to give rise to liability on the part of any Group Member under, any Environmental Law; (b) no Group Member has received or is aware of any notice of violation, alleged violation, non-compliance, liability or potential liability under or relating to any Environmental Law, nor does the Borrower have knowledge or reason to believe that any such notice will be received or is being threatened; (c) no judicial, arbitral, governmental or administrative litigation, disclosed-investigation or similar proceeding is pending or, to the knowledge of the Borrower, threatened, under any Environmental Law to which any Group Member is or will be named as a party, nor has any Group Member entered into or agreed to any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3"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settlements, consent decrees or other decrees, consent orders, administrative orders or other orders, or other administrative or judicial agreements relating to compliance with or liability under any Environmental Law that have not been fully and finally resolved; (d) each Group Member is in compliance, and within the period of all applicable statutes of limitation has been in compliance, with all applicable Environmental Laws; and (e) no Group Member has assumed or retained, by or as a result of any contract or other agreement, any liability of any other Person under Environmental Laws or with respect to any Material of Environmental Concern. 4.18 Accuracy of Information, etc. All written information (other than projections, pro forma financial information, financial estimates, forecasts, forward-looking information and information of a general or economic nature) furnished by or on behalf of any Loan Party to the Administrative Agent or the Lenders, or any of them, for use in connection with the transactions contemplated by this Agreement or the other Loan Documents, does not (taken as a whole) contain, as of the date such statements, information, documents or certificates were so furnished, any untrue statement of a material fact or omit to state a material fact necessary to make the statements contained therein (taken as a whole) not materially misleading in light of the circumstances so made. The projections and pro forma financial information contained in the materials referenced above are based upon good faith estimates and assumptions believed by management of the Borrower to be reasonable at the time made, it being recognized by the Lenders that such projections and financial information as they relate to future events are not to be viewed as fact and that actual results during the period or periods covered by such financial information may differ from the projected results set forth therein and such difference may be material. 4.19 Security Documents. The Guarantee and Collateral Agreement is effective to create in favor of the Administrative Agent, for the benefit of the Secured Parties, a legal, valid and enforceable security interest in the Collateral described therein and the proceeds thereof. In the case of the Pledged Collateral (as defined in the Guarantee and Collateral Agreement), when such Pledged Collateral is delivered (in accordance with the Intercreditor Agreement) to the Administrative Agent or the Term Loan Administrative Agent (together with a properly completed and signed undated endorsement), in the case of Collateral consisting of Deposit Accounts, when such Deposit Accounts are subject to a Deposit Account Control Agreement, and in the case of the other Collateral described in the Guarantee and Collateral Agreement that can be perfected by the filing of a financing statement or other filing, when financing statements and other filings specified on Schedule 4.19 in appropriate form are filed in the offices specified on Schedule 4.19, the Administrative Agent will have, for the benefit of the Secured Parties, a fully perfected Lien on, and security interest in, all right, title and interest of the Loan Parties in such Collateral and the proceeds thereof, as security for the Obligations (as defined in the Guarantee and Collateral Agreement), in each case prior and superior in right to the Lien of any other Person (except Liens permitted by Section 7.3). 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4"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4.20 Solvency. As of the Closing Date and after giving effect to the Transactions, the Borrower and its Restricted Subsidiaries, on a consolidated basis, are Solvent. 4.21 Senior Indebtedness. The Obligations, and the obligations of each Subsidiary Guarantor under the Guarantee and Collateral Agreement, constitute “senior debt” or “senior indebtedness” (or any comparable term) under all Indebtedness that is subordinated or required to be subordinated in right of payment to the Obligations (if applicable). 4.22 [Reserved]. 4.23 Anti-Corruption Laws, Anti-Money Laundering and Sanctions.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Neither the Borrower nor any Subsidiary of the Borrower, nor, to their knowledge, any of their respective directors, officers, or employees, is a Sanctioned Person. The Loan Parties will not directly use the proceeds of any Loans to violate any Anti-Corruption Law or applicable Sanctions. 4.24 Affected Financial Institutions. No Loan Party is an Affected Financial Institution. 4.25 Subject Agreements. Neither the Borrower nor any other Loan Party has provided, or has taken any steps to provide, any Person other than the Administrative Agent with “control” (as defined in and provided for in the New York Uniform Commercial Code) over any Subject Agreement. SECTION 5. CONDITIONS PRECEDENT 5.1 Conditions to Initial Extension of Credit. The agreement of each Lender to make the Commitments available and make the initial extension of credit requested to be made by it is subject to the satisfaction, prior to or concurrently with the making of such extension of credit on the Closing Date, of the following conditions precedent: (a) Loan Documents. The Administrative Agent shall have received (i) this Agreement, executed and delivered by the Administrative Agent, the Borrower and each Person listed on Schedule 1.1, (ii) the Guarantee and Collateral Agreement, executed and delivered by the Borrower and each Subsidiary Guarantor and (iii) the Intercreditor Agreement, executed and delivered by the Administrative Agent, the Borrower and each Person party thereto. (b) Target Acquisition. The Acima Acquisition shall have been consummated, or substantially simultaneously with the funding of the Loans and issuances of Letters of Credit on the Closing Date hereunder shall be consummated, in all material respects in accordance with the terms of the Acquisition Agreement, and the Acquisition Agreement shall not have been altered, amended or otherwise changed or supplemented or any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5"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provision waived or any consent given thereunder, in each case, in any respect that would be materially adverse to the Lenders or the Arrangers without the prior written consent of the Arrangers, such consent not to be unreasonably withheld, delayed or conditioned; provided that (i) any decrease in the purchase price shall not be deemed to be materially adverse to the Lenders or the Arrangers so long as such reduction of the purchase price is allocated to a reduction in the amounts to be funded under the Unsecured Notes until zero and then allocated to a reduction of the amounts to be funded under the Term Loan Credit Agreement and does not exceed 15% of the purchase price, (ii) any increase in the purchase price shall not be materially adverse to the Lenders so long as such increase is funded by equity or internally generated cash of the Borrower and (iii) any amendment, waiver or consent with respect to Section 3.8(b) of the Acquisition Agreement or any defined terms as used therein shall be deemed to be materially adverse to the Lenders and the Arrangers. (c) Pro Forma Financial Statements; Financial Statements. Each Arranger shall have received (i) the Pro Forma Financial Statements, (ii) (a) audited consolidated financial statements for the Borrower and its Subsidiaries (prior to giving effect to the Transactions) for the three most recent fiscal years ended at least 90 days before the Closing Date, provided that the Arrangers acknowledge that they have received the audited consolidated financial statements for the fiscal years ended December 31, 2017, December 31, 2018 and December 31, 2019, and (b) unaudited consolidated financial statements for the Borrower and its Subsidiaries (prior to giving effect to the Transactions) for each fiscal quarter (other than the fourth fiscal quarter) ended after the date of the most recent balance sheet delivered pursuant to clause (ii)(a) above and at least 45 days before the Closing Date (and, in the case of each of clauses (ii)(a) and (ii)(b), such financial statements shall be prepared in conformity with GAAP; provided that such financial statements specified in clause (ii)(b) shall be subject to year-end adjustments and absence of footnotes), provided that the Arrangers acknowledge that the financial statements delivered with respect to the fiscal quarters ended March 31, 2020, June 30, 2020 and September 30, 2020 have been received, and (iii) (a) audited consolidated balance sheets and related statements of income, stockholders’ equity and cash flows and related notes thereto of the Acquired Business for the two fiscal years most recently ended at least 90 days prior to the Closing Date, provided that the Arrangers acknowledge that they have received the audited consolidated balance sheets and related statements of income, stockholders’ equity and cash flows and related notes thereto for the fiscal years ended December 31, 2018 and December 31, 2019, and (b) unaudited consolidated balance sheets and related statements of income, cash flows and related notes thereto of the Acquired Business for each subsequent fiscal quarter (excluding the fourth quarter of any fiscal year) ended at least 45 days prior to the Closing Date in each case, with comparative financial information for the equivalent period of the prior year (and, in the case of each of clauses (iii)(a) and (iii)(b), such financial statements are prepared in accordance with GAAP; provided that such financial statements specified in clause (iii)(b) shall be subject to year-end adjustments and absence of footnotes), provided that the Arrangers acknowledge that the financial statements of the Acquired Business delivered with respect to the fiscal quarters ended March 31, 2020, June 30, 2020 and September 30, 2020 have been received.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26"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Lien Searches. The Administrative Agent shall have received the results of a recent Lien search with respect to each Loan Party and the Acquired Business, and such search shall reveal no Liens on any of the assets of the Loan Parties except for Liens permitted by Section 7.3 or discharged on or prior to the Closing Date pursuant to documentation satisfactory to the Administrative Agent. (e) Fees. All costs, fees and expenses required to be paid or reimbursed by the Borrower to the Administrative Agent, the Arrangers and the Lenders in connection with this Agreement (including the reasonable and documented fees and expenses of legal counsel to the Administrative Agent) and all costs, fees and expenses required to be paid or reimbursed by the Borrower pursuant to the letter agreements entered into with the Administrative Agent (including the Upfront Fee Letter) and the Arrangers shall have been paid or shall have been authorized to be deducted from the proceeds of the initial extensions of credit under this Agreement to the extent due and invoiced to the Borrower at least three Business Days prior to the date hereof. (f) Officer’s Certificate; Good Standing Certificates. The Administrative Agent shall have received (i) a certificate of each Loan Party, dated the Closing Date, substantially in the form of Exhibit C, with appropriate insertions and attachments, including (A) the certificate of incorporation, in the case of a Loan Party that is a corporation, and certificate of formation, in the case of a Loan Party that is a limited liability company, in each case, certified by the relevant authority of the jurisdiction of organization of such Loan Party as of a recent date, (B) the bylaws, in the case of a Loan Party that is a corporation, and limited liability company agreement or operating agreement, in the case of a Loan Party that is a limited liability company, certified as of the Closing Date by its secretary, an assistant secretary or a Responsible Officer as being in full force and effect without modification or amendment, (C) resolutions of the governing bodies of each Loan Party approving and authorizing the execution, delivery and performance of Loan Documents to which it is a party, certified as of the Closing Date by its secretary, an assistant secretary or a Responsible Officer as being in full force and effect without modification or amendment and (D) signature and incumbency certificates of the Responsible Officers of each Loan Party executing the Loan Documents to which it is a party, and (ii) a long form good standing certificate for each Loan Party from its jurisdiction of organization. (g) Legal Opinions. The Administrative Agent shall have received the executed legal opinions of Sullivan &amp; Cromwell LLP, New York counsel to the Borrower and its Restricted Subsidiaries and certain other local counsel to the Borrower and its Restricted Subsidiaries, as reasonably requested by the Administrative Agent, each in form and substance reasonably acceptable to the Administrative Agent. (h) Pledged Stock; Stock Powers; Pledged Notes. Subject to the last paragraph of this Section 5.1 and to Section 6.9(a), the Term Loan Administrative Agent shall have received (i) the certificates (if any) representing the shares of Capital Stock pledged pursuant to the Guarantee and Collateral Agreement, together with an undated endorsement for each such certificate executed in blank by a duly authorized officer of the pledgor thereof and (ii) each promissory note (if any) pledged to the Administrative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7"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pursuant to the Guarantee and Collateral Agreement endorsed (without recourse) in blank (or accompanied by an executed transfer form in blank) by the pledgor thereof. (i) Filings, Registrations and Recordings. Subject to the last paragraph of this Section 5.1 and to Section 6.9(a), each document (including any Uniform Commercial Code financing statement) required by the Security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7.3), shall be in proper form for filing, registration or recordation. (j) Officer’s Certificate. The Administrative Agent shall have received a certificate of the Borrower, dated the Closing Date certifying that the conditions in Section 5.1(n), 5.2(a), Section 5.2(b) have been met. (k) Solvency Certificate. The Administrative Agent shall have received a solvency certificate from a Responsible Officer in the form of Exhibit L. (l) [Reserved]. (m) Patriot Act. The Administrative Agent shall have received, at least three Business Days prior to the Closing Date, all documentation and other customary information about any Loan Party to the extent reasonable and customary and requested by the Administrative Agent in writing at least 10 Business Days prior to the Closing Date that is reasonably required by United States bank regulatory authorities under applicable “know your customer”, beneficial ownership and anti-money laundering rules and regulations, including the Patriot Act. (n) Representations and Warranties. The Specified Acquisition Agreement Representations with respect to the Acima Acquisition shall be true and correct in all respects to the extent required by the definition thereof. (o) Field Examination and Appraisal. The Administrative Agent shall have received an appraisal of the Rental Agreement Portfolio of the Acquired Business from a firm (or firms) satisfactory to the Administrative Agent, which appraisal(s) shall be reasonably satisfactory to the Administrative Agent in its Permitted Discretion (and the Administrative Agent hereby confirms that it has received such appraisal). (p) Borrowing Base Certificate. The Administrative Agent shall have received a Borrowing Base Certificate, dated as of the Closing Date and giving pro forma effect to the Transactions and the rental agreements of the Acquired Business to be included in the Borrowing Base as Eligible Rental Agreements, and including the other information required by Section 6.2(g) and otherwise in form and substance reasonably satisfactory to the Administrative Agent. (q) [Reserved].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8"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 Debt Repayment/Funded Debt. The Debt Repayment shall have occurred, or substantially simultaneously with the initial funding of the Loans and issuances of Letters of Credit on the Closing Date hereunder shall occur, and immediately following consummation of the Transactions, neither the Borrower nor any of the Restricted Subsidiaries shall have any outstanding Indebtedness other than Indebtedness outstanding under this Agreement and other Indebtedness permitted pursuant to this Agreement. (s) Availability. No more than $200,000,000 of funded debt (excluding, for the avoidance of doubt, undrawn and cash collateralized letters of credit) may be outstanding under this Agreement on the Closing Date after giving effect to the Transactions. For the purpose of determining compliance with the conditions specified in this Section 5.1, each Lender that has signed this Agreement shall be deemed to have accepted, and to be satisfied with, each document or other matter required under this Section 5.1 unless the Administrative Agent shall have received written notice from such Lender prior to the proposed Closing Date specifying its objection thereto. Notwithstanding the foregoing, to the extent that any security interest in the Collateral (other than (x) the delivery of certificates evidencing equity interests for the Subsidiary Guarantors (other than, in the case of the Acquired Business, with respect to any such certificate that has not been made available to the Borrower at least three Business Days prior to the Closing Date, to the extent the Borrower has used commercially reasonable efforts to procure delivery thereof) or (y) any Collateral the security interest in which may be perfected by the filing of a UCC financing statement for entities organized in the United States) is not or cannot be granted, provided or perfected on the Closing Date after the Borrower’s use of commercially reasonable efforts to do so or without undue burden or expense, then the provision and/or perfection of security interests in such Collateral shall not constitute a condition precedent to this Agreement or any extension of credit on the Closing Date, but shall be required to be granted, delivered and/or perfected as required pursuant to Section 6.9(a). 5.2 Conditions to Each Extension of Credit. The agreement of each Lender to make available Revolving Loans (excluding any continuation or conversion thereof) and to issue Letters of Credit requested to be made by it on any date (including, for the avoidance of doubt, the making of its Commitments and the making of its initial extension of credit on the Closing Date, but excluding any Protective Advance) is subject to the satisfaction or waiver in accordance with the terms hereof, prior to or concurrently with the making of such Revolving Loans or the issuance of such Letters of Credit, of the following conditions precedent: (a) Representations and Warranties. Each of the representations and warranties made by any Loan Party in or pursuant to the Loan Documents shall be true and correct in all material respects (or in all respects if qualified by materiality) on and as of such date as if made on and as of such date, except to the extent expressly made as of an earlier date, in which case such representations and warranties shall have been so true and correct as of such earlier date.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9"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No Default. No Default or Event of Default shall have occurred and be continuing at the time of or immediately after giving effect to the making of such Revolving Loans or the issuance of such Letters of Credit. Each borrowing of Revolving Loans (excluding any continuation or conversion thereof) by, and issuance of a Letter of Credit on behalf of, the Borrower hereunder (other than the initial extensions of credit on the Closing Date and other than with respect to a Protective Advance), shall constitute a representation and warranty by the Borrower at the time of the borrowing of such Revolving Loans or the issuance of such Letters of Credit that the conditions contained in this Section 5.2 have been satisfied or waived in accordance with the terms hereof. SECTION 6. AFFIRMATIVE COVENANTS The Borrower hereby agrees that, so long as the Commitments remain in effect, any Letter of Credit remains outstanding or any Loan or other amount is owing to any Lender or the Administrative Agent hereunder (other than contingent obligations and expense reimbursement not yet due and payable, Banking Services Obligations and Secured Swap Obligations), the Borrower shall and, in the case of Sections 6.3 through 6.8, 6.10, 6.13 and 6.14, shall cause each of its Restricted Subsidiaries to and, in the case of Section 6.12, shall cause each of its Domestic Subsidiaries to: 6.1 Financial Statements. Furnish to the Administrative Agent, on behalf of each Lender: (a) as soon as available, but in any event within 90 days after the end of each fiscal year of the Borrower, a copy of the audited consolidated balance sheet of the Borrower and its consolidated Subsidiaries as at the end of such year and the related audited consolidated statements of income, stockholders’ equity and cash flows for such year (together with, in all cases, customary management discussion and analysis), setting forth in each case in comparative form the figures for the previous year, reported on without a “going concern” or like qualification or exception (other than any qualification or exception that is expressed solely with respect to, or resulting solely from, (i) an upcoming maturity date under any Indebtedness or (ii) any actual or potential inability to satisfy a financial maintenance covenant at such time or on a future date or in a future period), or qualification arising out of the scope of the audit, by Ernst &amp; Young LLP or other independent certified public accountants of nationally recognized standing; (b) as soon as available, but in any event not later than 45 days after the end of each of the first three quarterly periods of each fiscal year of the Borrower, the unaudited consolidated balance sheet of the Borrower and its consolidated Subsidiaries as at the end of such quarter and the related unaudited consolidated statements of income, stockholders’ equity and cash flows for such quarter and/or the portion of the fiscal year through the end of such quarter (together with, in all cases, customary management discussion and analysis), setting forth in each case in comparative form the figures for the corresponding period or periods of the previous fiscal year (or, in the case of the balance sheet, as of the end of the previous fiscal year), certified by a Responsible Officer as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30"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being fairly stated in all material respects (subject to normal year-end audit adjustments and the absence of footnotes); (c) as soon as available, but in any event not later than 30 days after the end of each calendar month of the Borrower (other than, with respect to the following clause (i), (A) the third, sixth, ninth and twelfth months of each calendar year and (B) any month that does not end during a Monthly Financial Statement Period), (i) the unaudited consolidated balance sheet of the Borrower and its consolidated Subsidiaries as at the end of such month and the related unaudited consolidated statements of income and cash flows for such month and the portion of the fiscal year through the end of such month, setting forth in each case in comparative form the figures for the comparable period in the previous year, certified by a Responsible Officer as being fairly stated in all material respects (subject to normal year-end audit adjustments and the absence of footnotes) and (ii) a Collateral Monitoring Template; and (d) if any Unrestricted Subsidiary exists, concurrently with each delivery of financial statements under clause (a), (b) or (c)(i) above, financial statements (in substantially the same form as the financial statements delivered pursuant to clause (a), (b) or (c)(i) above, as applicable) prepared on the basis of consolidating the accounts of the Borrower and its Restricted Subsidiaries and treating any Unrestricted Subsidiaries as if they were not consolidated with the Borrower, together with an explanation of reconciliation adjustments in reasonable detail. 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 Documents required to be delivered pursuant to Section 6.1(a), (b) or (c)(i) or Section 6.2(b), (c) or (e) may be delivered electronically and if so delivered, shall be deemed to have been delivered on the date on which (i) such documents are posted on the Borrower’s behalf on IntraLinks/IntraAgency or another relevant Internet or intranet website, if any, to which each Lender and the Administrative Agent have access (whether a commercial, third-party website or whether sponsored by the Administrative Agent) or (ii) such documents are filed of record with the SEC; provided that, upon written request by the Administrative Agent, the Borrower shall deliver paper copies of such documents to the Administrative Agent for further distribution to each Lender until a written request to cease delivering paper copies is given by the Administrative Agent. The Administrative Agent shall have no obligation to request the delivery of or to maintain or deliver to Lenders paper copies of the documents referred to above, and in any event shall have no responsibility to monitor compliance by the Borrower with any such request for delivery, and each Lender shall be solely responsible for timely accessing posted documents or requesting delivery of paper copies of such documents from the Administrative Agent and maintaining its copies of such documents. 6.2 Certificates; Borrowing Base; Other Information. Furnish to the Administrative Agent, on behalf of each Lender: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1"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[reserved]; (b) concurrently with the delivery of any financial statements pursuant to Sections 6.1(a) and 6.1(b), (i) a Compliance Certificate executed by a Responsible Officer, which Compliance Certificate shall (x) include a statement that such Responsible Officer has obtained no knowledge of any Default or Event of Default except as specified in such certificate, (y) in the case of quarterly or annual financial statements, set forth, in reasonable detail, the calculation of the Consolidated Fixed Charge Coverage Ratio for the Reference Period ending as of the last day of the fiscal year or fiscal quarter for which financial statements are being delivered pursuant to Section 6.1 and (ii) in the case of quarterly or annual financial statements, to the extent not previously disclosed to the Administrative Agent, a description of any change in the jurisdiction of organization of any Loan Party; (c) as soon as available, and in any event no later than 90 days after the end of each fiscal year of the Borrower, a detailed consolidated budget for the following fiscal year (including a projected consolidated balance sheet of the Borrower and its Restricted Subsidiaries as of the end of the following fiscal year, the related consolidated statements of projected cash flow and projected income and a description of the underlying assumptions applicable thereto) (collectively, the “Projections”), which Projections shall in each case be accompanied by a certificate of a Responsible Officer stating that such Projections are based on reasonable estimates, information and assumptions at the time made, it being understood that such Projections as they relate to future events are not to be viewed as fact and that actual results during the period or periods covered by such Projections may differ from the projected results set forth therein and such difference may be material; (d) [Reserved]; (e) promptly after the same are sent, copies of all financial statements and reports that the Borrower sends to the holders of any class of its public debt securities or public equity securities and, promptly after the same are filed, copies of all financial statements and reports that the Borrower may make to, or file with, the SEC; (f) promptly following receipt thereof, copies of (i) any documents described in Section 101(k) or 101(l) of ERISA that any Group Member or any ERISA Affiliate may request with respect to any Multiemployer Plan or any documents described in Section 101(f) of ERISA that any Group Member or any ERISA Affiliate may request with respect to any Pension Plan; provided, that if the relevant Group Members or ERISA Affiliates have not requested such documents or notices from the administrator or sponsor of the applicable Multiemployer Plans, then, upon reasonable request of the Administrative Agent, such Group Member or the ERISA Affiliate shall promptly make a request for such documents or notices from such administrator or sponsor and the Borrower shall provide copies of such documents and notices to the Administrative Agent promptly after receipt thereof;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2"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as soon as available but in any event within 30 calendar days of the end of each calendar month (or within five Business Days of the end of each week during a Weekly Borrowing Base Period), as of the last day of the period then ended, a Borrowing Base Certificate together with the information supporting the Borrowing Base calculation required by the Borrowing Base Certificate including: (i) a detailed aging of the Loan Parties’ Accounts, including all invoices aged by invoice date and due date, prepared in a manner reasonably acceptable to the Administrative Agent; (ii) a schedule detailing the Loan Parties’ Inventory Held for Rent, in form reasonably satisfactory to the Administrative Agent, by location (showing Inventory in transit and any Inventory located with a third party under any consignment, bailee arrangement or warehouse agreement), by product type and by volume on hand, which Inventory shall be valued at the lower of cost (determined on a first-in, first-out basis) or market and adjusted for Reserves as the Administrative Agent has previously indicated to the Borrower are deemed by the Administrative Agent to be appropriate; (iii) a schedule detailing the Loan Parties’ Eligible Rental Agreements; (iv) a worksheet of calculations prepared by the Borrower to determine Eligible Installment Sale Accounts, Eligible Inventory Held for Rent and Eligible Rental Agreements, such worksheets detailing the Accounts, Inventory and rental agreements excluded from Eligible Installment Sale Accounts, Eligible Inventory Held for Rent and Eligible Rental Agreements and the reason for such exclusion; (v) a reconciliation of the Borrower’s Eligible Installment Sale Accounts, Eligible Inventory Held for Rent and Eligible Rental Agreements between the amounts shown in the Borrower’s general ledger and financial statements and the reports delivered pursuant to clauses (i), (ii) and (iii) above; and (vi) a reconciliation of the loan balance per the Borrower’s general ledger to the loan balance under this Agreement; (h) [Reserved]; (i) prior to any (i) Disposition (in one transaction or a series of related transactions) of assets that provide an aggregate amount in excess of $25,000,000 of value to the Borrowing Base and/or (ii) Disposition of any assets in connection with a Securitization Transaction, a Borrowing Base Certificate (giving effect to such sale or other disposition) and supporting information in connection therewith; and (j) promptly, such (x) additional financial and other customary information as the Administrative Agent (or any Lender through the Administrative Agent) may from time to time reasonably request and (y) information and documentation reasonably requested by the Administrative Agent or any Lender for purposes of compliance with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3"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“know your customer”, beneficial ownership and anti-money laundering rules and regulations, including the Patriot Act. 6.3 Payment of Taxes. Pay, discharge or otherwise satisfy as they become due or before they become delinquent, as the case may be, all its material obligations in respect of Taxes, except where (a) the amount or validity thereof is currently being contested in good faith by appropriate proceedings and reserves to the extent required by GAAP with respect thereto have been provided on the books of the relevant Group Member or (b) the failure to make such payments, individually or in the aggregate, would not reasonably be expected to have a Material Adverse Effect. 6.4 Maintenance of Existence; Compliance. (a)(i) Preserve, renew and keep in full force and effect its organizational existence and (ii) take all reasonable action to maintain all rights, privileges and franchises necessary in the normal conduct of its business, except, in each case, as otherwise permitted by Section 7.4 and except, in the case of clause (ii) above, to the extent that failure to do so would not reasonably be expected to have a Material Adverse Effect; (b) comply with all Requirements of Law except to the extent that failure to comply therewith would not, in the aggregate, reasonably be expected to have a Material Adverse Effect; and (c) maintain in effect and enforce policies and procedures designed to ensure material compliance by the Borrower, its Subsidiaries and their respective directors, officers, employees and agents with Anti-Corruption Laws and applicable Sanctions. 6.5 Maintenance of Insurance. (a) Maintain, with financially sound and reputable insurance companies (after giving effect to self-insurance), insurance in such amounts and against such risks as are customarily maintained by companies engaged in the same or similar businesses operating in the same or similar locations and (b) use commercially reasonable efforts to cause all insurance policies or certificates, as requested by the Administrative Agent, to be endorsed to the benefit of the Administrative Agent (including by naming the Administrative Agent as lender loss payee and/or additional insured). 6.6 Books and Records; Inspection of Property; Discussions; Appraisals; Field Examinations. (a)(i) Keep proper books of records and account in which full, true and correct (in all material respects) entries in conformity with GAAP (other than for Foreign Subsidiaries, in which case the applicable accounting standard shall be the accounting standard used in such Foreign Subsidiary’s jurisdiction) and all Requirements of Law shall be made of all dealings and transactions in relation to its business and activities and (ii) upon reasonable prior notice and subject to the provisions of Section 10.15, permit representatives of the Administrative Agent or any Lender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and employees of the Group Members and, accompanied by one or more officers or designees of the Borrower if requested by the Borrower, with their independent certified public accountants; provided that excluding any such visits and inspections during the continuation of an Event of Default (x) only the Administrative Agent, acting individually or on behalf of the Lenders may exercise rights under this Section 6.6(a) and (y) the Administrative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4"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shall not exercise rights under this Section 6.6(a) more often than one time during any calendar year. (b) No more than once in each twelve month period, at the request of the Administrative Agent, the Loan Parties will cooperate with an appraiser selected and engaged by the Administrative Agent (after consultation with the Borrower) to provide Inventory and Rental Agreement Portfolio appraisals or updates thereof, prepared on a basis reasonably satisfactory to the Administrative Agent, such appraisals and updates to include information required by applicable law and regulations; provided that (i) if a Specified Event of Default has occurred and is continuing, there shall be no limitation on the number or frequency of such appraisals and (ii) if Availability is less than the greater of $60,000,000 or 15% of the Line Cap for a period of five consecutive Business Days, the Loan Parties will cooperate with the Administrative Agent to provide one additional Inventory appraisal and one additional Rental Agreement Portfolio appraisal (each at the request of the Administrative Agent) during the twelve month period commencing with any month during which clause (ii) is triggered. For purposes of this Section 6.6(b), it is understood and agreed that a single appraisal may consist of appraisals conducted at multiple relevant sites and involve one or more relevant Loan Parties and their assets. All such appraisals shall be commenced upon reasonable prior written notice to the Borrower and performed during normal business hours of the Loan Parties and in a manner such as not to disrupt the normal operation of the Loan Parties’ business, and all reasonable and documented out-of-pocket costs of such appraisals shall be at the sole expense of the Loan Parties. (c) No more than once in each twelve month period, at the request of the Administrative Agent, the Loan Parties will permit, upon reasonable prior written notice, the Administrative Agent or its designee to conduct a field examination to ensure the adequacy of Collateral included in any Borrowing Base and related reporting and control systems; provided that (i) if a Specified Event of Default has occurred and is continuing, there shall be no limitation on the number or frequency of such field examinations and (ii) if Availability is less than the greater of $60,000,000 or 15% of the Line Cap for a period of five consecutive Business Days, the Loan Parties will permit the Administrative Agent to conduct one additional such examination (at the request of the Administrative Agent) during the twelve month period commencing with any month during which clause (ii) above is triggered. For purposes of this Section 6.6(c), it is understood and agreed that (i) a single field examination may be conducted at multiple relevant sites and involve one or more relevant Loan Parties and their assets and (ii) the Administrative Agent shall use commercially reasonable efforts to coordinate any such field exams. All such field examinations shall be commenced upon reasonable prior written notice to the Borrower and performed during normal business hours of the Loan Parties and in a manner such as not to disrupt the normal operations of the Loan Parties’ business, and all reasonable and documented out-of-pocket costs of such field examinations shall be at the sole expense of the Loan Parties. 6.7 Notices. Promptly give notice to the Administrative Agent, on behalf of each Lender, of: (a) the occurrence of any Default or Event of Default; 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5"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any litigation, investigation or proceeding that may exist at any time between any Group Member and any Governmental Authority that, in each case, has a reasonable probability of not being cured or of being adversely determined and that, if not cured or if adversely determined, as the case may be, would reasonably be expected to have a Material Adverse Effect; (c) any litigation or proceeding affecting the Borrower or any of its Restricted Subsidiaries in which injunctive or similar relief is sought which has a reasonable probability of being determined adversely and if adversely determined would reasonably be expected to be granted and which, if granted, would reasonably be expected to have a Material Adverse Effect; (d) (i) as soon as reasonably possible upon becoming aware of the occurrence of or forthcoming occurrence of any material ERISA Event, a written notice specifying the nature thereof, what action the Borrower, any of the other Group Members or any of their respective ERISA Affiliates has taken, is taking or proposes to take with respect thereto and, when known, any action taken or threatened by the IRS, the Department of Labor or the PBGC with respect thereto; and (ii) with reasonable promptness, upon the Administrative Agent’s reasonable request, copies of (A) each Schedule SB (Actuarial Information) to the annual report (Form 5500 Series) filed by the Borrower, any of the other Group Members or any of their respective ERISA Affiliates with the IRS with respect to each Pension Plan; (B) all notices received by the Borrower, any of the other Group Members or any of their respective ERISA Affiliates from a Multiemployer Plan sponsor concerning a material ERISA Event; and (C) copies of such other documents or governmental reports or filings relating to any Plan or Pension Plan as the Administrative Agent shall reasonably request; and (e) any other development or event that has had or would reasonably be expected to have a Material Adverse Effect. Each notice pursuant to this Section 6.7 shall be accompanied by a statement of a Responsible Officer setting forth details of the occurrence referred to therein and stating what action the relevant Group Member proposes to take with respect thereto. 6.8 Environmental Laws. (a) Comply with, and ensure compliance by all tenants, subtenants, contractors, subcontractors, and invitees, if any, with, all applicable Environmental Laws, and obtain and comply with and maintain, and ensure that all tenants, subtenants, contractors, subcontractors, and invitees obtain and comply with and maintain, any and all Environmental Permits (with respect to tenants, subtenants, contractors, and invitees, the foregoing applies to their presence and conduct on, affecting or relating to any property of the Borrower or any of its Restricted Subsidiaries). It being understood that any noncompliance with this Section 6.8(a) shall be deemed not to constitute a breach of this covenant provided that, upon learning of any actual or suspected noncompliance, the Borrower shall promptly undertake all reasonable efforts to achieve compliance, and provided further that, in any case, such noncompliance, and any other noncompliance with Environmental Law, individually or in the aggregate, would not reasonably be expected to have a Material Adverse Effect. 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6"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Promptly comply with all orders and directives of all Governmental Authorities regarding Environmental Laws, other than such orders and directives as to which an appeal has been timely and properly taken in good faith, and provided that the pendency of any and all such appeals would not reasonably be expected to give rise to a Material Adverse Effect. 6.9 Post-Closing Actions. (a) To the extent that in accordance with the last paragraph of Section 5.1, any security interest in the Collateral is not granted, provided or perfected on the Closing Date, then (i) with respect to any certificate evidencing Capital Stock of the Acquired Business that was not made available to the Borrower at least three Business Days prior to the Closing Date, such certificate (together with an undated endorsement for such certificate executed in blank by a duly authorized officer of the pledgor thereof) shall be delivered to the Term Loan Administrative Agent within ten (10) Business Days after the Closing Date (or such later date as the Term Loan Administrative Agent may have agreed, such consent not to be unreasonably withheld, conditioned or delayed), (ii) with respect to any deposit account maintained by a Loan Party on the Closing Date, within sixty (60) days following the Closing Date, the Loan Parties shall deliver to the Administrative Agent any Deposit Account Control Agreement required to be delivered pursuant to the Guarantee and Collateral Agreement in form and substance reasonably satisfactory to the Administrative Agent and (iii) with respect to any other Collateral, the provision and/or perfection of security interests in such Collateral to the extent required by the Guarantee and Collateral Agreement shall be granted, delivered and/or perfected within 90 days after the Closing Date (in each case, subject to extensions to be reasonably agreed upon by the Administrative Agent). (b) Within thirty (30) days following the Closing Date (or such later date as the Administrative Agent may agree in its sole discretion), the Borrower deliver insurance certificates with respect to Inventory satisfying the requirements of Section 6.5. 6.10 Additional Collateral, etc. (a) With respect to any property acquired after the Closing Date by any Loan Party (other than (A) any property described in paragraph (b) or (c) below, (B) any property subject to a Lien expressly permitted by Section 7.3(g), (C) so long as the Fixed Obligations Payment Date has not occurred, any Fixed Asset Priority Collateral as to which the Controlling Fixed Asset Representative determines, in its reasonable discretion and in consultation with the Borrower, that the cost of obtaining a security interest therein is excessive in relation to the value of the security to be afforded thereby and (D) any property as to which the Administrative Agent determines, in its reasonable discretion and in consultation with the Borrower, that the cost of obtaining a security interest therein is excessive in relation to the value of the security to be afforded thereby, (E) any property that is Excluded Property (as defined in the Guarantee and Collateral Agreement) and (F) any real property)) as to which the Administrative Agent, for the benefit of the Secured Parties, does not have a perfected Lien, promptly (i) execute and deliver to the Administrative Agent such amendments to the Guarantee and Collateral Agreement or such other documents as the Administrative Agent deems necessary or reasonably advisable to grant to the Administrative Agent, for the benefit of the Secured Parties, a security interest in such property and (ii) take all actions necessary or reasonably advisable to grant to the Administrative Agent, for the benefit of the Secured Parties, a perfected security interest in any such property (with the priority required by the Intercreditor Agreement),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7"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including the filing of Uniform Commercial Code financing statements in such jurisdictions as may be required by the Guarantee and Collateral Agreement or by law or as may be reasonably requested by the Administrative Agent. (b) With respect to any new Domestic Subsidiary (other than any Excluded Subsidiary) created or acquired after the Closing Date by any Loan Party (which, for the purposes of this paragraph (c), shall include (1) any existing Subsidiary that becomes a Domestic Subsidiary that is not an Excluded Subsidiary and (2) any existing Domestic Subsidiary that ceases to be an Excluded Subsidiary) within thirty (30) days after the creation or acquisition of such new Domestic Subsidiary (or such later date as the Administrative Agent shall agree to in its reasonable discretion) (i) execute and deliver to the Administrative Agent such amendments to the Guarantee and Collateral Agreement as the Administrative Agent deems necessary or reasonably advisable to grant to the Administrative Agent, for the benefit of the Secured Parties, a perfected security interest with the priority required by the Intercreditor Agreement in the Capital Stock of such new Subsidiary that is owned by any Loan Party, (ii) subject to the Intercreditor Agreement, deliver to the Administrative Agent the certificates, if any, representing such Capital Stock, together with undated endorsements, in blank, executed and delivered by a duly authorized officer of the relevant Loan Party and (iii) cause such new Subsidiary (A) to become a party to the Guarantee and Collateral Agreement, (B) to take such actions necessary or reasonably advisable to grant to the Administrative Agent for the benefit of the Secured Parties a perfected security interest with the priority required by the Intercreditor Agreement in the Collateral described in the Guarantee and Collateral Agreement with respect to such new Subsidiary, including the filing of Uniform Commercial Code financing statements in such jurisdictions as may be required by the Guarantee and Collateral Agreement or by law or as may be reasonably requested by the Administrative Agent and (C) subject to the Intercreditor Agreement, to deliver to the Administrative Agent a certificate of such Subsidiary, substantially in the form of Exhibit C, with appropriate insertions and attachments. (c) With respect to any new CFC Holding Company or Foreign Subsidiary created or acquired after the Closing Date by any Loan Party (which, for the purposes of this paragraph (d), shall include any existing Subsidiary that becomes a CFC Holding Company or a Foreign Subsidiary), within sixty (60) days after the creation or acquisition of such new CFC Holding Company or Foreign Subsidiary (or such later date as the Administrative Agent shall agree to in its reasonable discretion) (i) execute and deliver to the Administrative Agent such amendments to the Guarantee and Collateral Agreement as the Administrative Agent deems necessary or reasonably advisable to grant to the Administrative Agent, for the benefit of the Secured Parties, a perfected security interest with the priority required by the Intercreditor Agreement in the Capital Stock of such CFC Holding Company or Foreign Subsidiary that is owned by any such Loan Party (provided that in no event shall more than 65% of the total outstanding voting Capital Stock of any such CFC Holding Company or Foreign Subsidiary be required to be so pledged), (ii) subject to the Intercreditor Agreement, deliver to the Administrative Agent the certificates, if any, representing such pledged Capital Stock, together with undated stock powers, in blank, executed and delivered by a duly authorized officer of the relevant Loan Party and take such other action as the Administrative Agent deems necessary or reasonably advisable to perfect the Administrative Agent’s security interest therein. 112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38"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6.11 Designation of Subsidiaries. The Borrower may at any time after the Closing Date designate any Restricted Subsidiary as an Unrestricted Subsidiary or any Unrestricted Subsidiary as a Restricted Subsidiary by delivering to the Administrative Agent a certificate of a Responsible Officer specifying such designation and certifying that the conditions to such designation set forth in this Section 6.11 are satisfied; provided that: (a) both immediately before and immediately after any such designation, no Event of Default shall have occurred and be continuing; (b) in the case of a designation of a Restricted Subsidiary as an Unrestricted Subsidiary, the pro forma Consolidated Leverage Ratio for the Applicable Reference Period, calculated on a Pro Forma Basis, is no greater than 3.00 to 1.00; (c) in the case of a designation of a Restricted Subsidiary as an Unrestricted Subsidiary, each Subsidiary of such Subsidiary has been, or concurrently therewith will be, designated as an Unrestricted Subsidiary in accordance with this Section 6.11; (d) in the case of a designation of a Restricted Subsidiary as an Unrestricted Subsidiary, such Subsidiary shall substantially simultaneously be designated as an “Unrestricted Subsidiary” under the Term Loan Credit Agreement and the Unsecured Notes Indenture (and, to the extent applicable, any other agreement governing Permitted Refinancing Indebtedness in respect of the Term Loans or the Unsecured Notes) and in the case of a designation of an Unrestricted Subsidiary as a Restricted Subsidiary, such Subsidiary shall substantially simultaneously be designated as a “Restricted Subsidiary” under the Term Loan Credit Agreement and the Unsecured Notes Indenture (and, to the extent applicable, any other agreement governing Permitted Refinancing Indebtedness in respect of the Term Loans or the Unsecured Notes). The designation of any Restricted Subsidiary as an Unrestricted Subsidiary shall constitute an Investment by the Borrower in such Subsidiary on the date of designation in an amount equal to the fair market value of the Borrower’s Investment therein (as determined reasonably and in good faith by a Responsible Officer). The designation of any Unrestricted Subsidiary as a Restricted Subsidiary shall constitute the incurrence at the time of designation of any Investment, Indebtedness or Liens of such Subsidiary existing at such time. 6.12 Deposit Account Control Agreements; Controlled Accounts. (a) With respect to any new deposit account opened by a Loan Party after the Closing Date or any Excluded Account (as defined in the Guarantee and Collateral Agreement) that ceases to be an Excluded Account after the Closing Date, (i) give notice to the Administrative Agent within three (3) Business Days following the opening or change in status of such account (or such longer period as the Administrative Agent may agree in its reasonable discretion) and (ii) within sixty (60) days (or such longer period as the Administrative Agent may agree in its reasonable discretion) following the opening of such account, deliver to the Administrative Agent any Deposit Account Control Agreement required to be delivered pursuant to the Guarantee and Collateral Agreement, in each case, in form and substance reasonably satisfactory to the Administrative Agent. 113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9"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Take all reasonable steps to ensure that (i) all proceeds received in connection with a Disposition by a Loan Party permitted under Section 7.5(m) are placed into a deposit account that is subject to a Deposit Account Control Agreement, (ii) all Securitization Residual Interests (to the extent constituting cash) and any cash proceeds of Securitization Residual Interests are placed into a deposit account that is subject to a Deposit Account Control Agreement and (iii) following the consummation of a Securitization Transaction, all proceeds received in connection with a Qualified Securitization Transaction by a Securitization Subsidiary are received in a deposit account that is maintained separately from those of the Borrower and its other Restricted Subsidiaries in a manner that is acceptable to the Administrative Agent in its Permitted Discretion. 6.13 Rental and Sales Agreements. (a) (i) Any rental agreements entered into by a Loan Party with a customer of such Loan Party and any installment sales agreements entered into by a Loan Party with a customer of such Loan Party (the foregoing agreements, the “Subject Agreements”) shall be held by the Loan Parties at one or more locations as directed by the Borrower (other than with respect to such Subject Agreements that constitute Electronic Chattel Paper) and (ii) the Loan Parties shall use commercially reasonable efforts to maintain customary measures consistent with past practice with respect to access to, and security of, such Subject Agreements. (b) From and after the date that is sixty (60) days after the first date on which either (i) Availability is less than the greater of (A) 20% of the Line Cap and (B) $75,000,000 or (ii) the Administrative Agent notifies the Borrower in its Permitted Discretion, continuing until the time at which (x) Availability shall have exceeded (A) 35% of the Line Cap and (B) $131,250,000 for a period of sixty (60) consecutive days and (y) the Administrative Agent no longer deems necessary in its Permitted Discretion to hold Subject Agreements, any Subject Agreements (other than with respect to such Subject Agreements that constitute Electronic Chattel Paper) shall be promptly delivered to either (I) the Specified Administrative Agent Location or (II) to the Administrative Agent (or a designee thereof), and if so delivered to the Administrative Agent (or a designee thereof), duly indorsed in a manner reasonably satisfactory to the Administrative Agent. (c) The Loan Parties shall ensure that all Subject Agreements entered into following the Closing Date bear the following legend: “This writing and the obligations evidenced hereby are subject to the security interest of JPMorgan Chase Bank, N.A., as Administrative Agent”. (d) With respect to Subject Agreements constituting Electronic Chattel Paper, the Loan Parties shall ensure that a single authoritative copy of such Subject Agreement exists which is unique, identifiable and, except as otherwise provided in Section 9-105 of the New York Uniform Commercial Code, unalterable. SECTION 7. NEGATIVE COVENANTS The Borrower hereby agrees that, so long as the Commitments remain in effect, any Letter of Credit remains outstanding or any Loan or other amount is owing to any Lender or 114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40"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Administrative Agent hereunder (other than contingent obligations and expense reimbursement not yet due and payable, Banking Services Obligations and Secured Swap Obligations), the Borrower shall not, and shall not permit any of its Restricted Subsidiaries to, directly or indirectly: 7.1 Consolidated Fixed Charge Coverage Ratio. During any period commencing on a date (each a “Commencement Date”) (a) on which a Specified Event of Default has occurred and is continuing or (b) on which Availability is less than or equal to the greater of (i) 15% of the Line Cap and (ii) $56,250,000, and continuing until the first succeeding date on which (A) no Specified Event of Default shall be continuing and (B) Availability shall have exceeded each threshold set forth in clause (b) for at least 30 consecutive days, permit the Consolidated Fixed Charge Coverage Ratio for the Applicable Reference Period in effect at any such time (including, for the avoidance of doubt, the Applicable Reference Period in effect on the applicable Commencement Date) to be less than 1.00 to 1.00. 7.2 Indebtedness. Create, issue, incur, assume, become liable in respect of or suffer to exist any Indebtedness, except: (a) Indebtedness of any Loan Party under this Agreement; (b) Indebtedness of the Loan Parties under the Term Loan Credit Agreement (and any Permitted Refinancing Indebtedness in respect thereof) in an aggregate amount not to exceed (i) $875,000,000, plus (ii) the Base Incremental Amount plus (iii) the Voluntary Prepayment Amount plus (iv) the Maximum Term Loan Incremental Amount; (c) Indebtedness of the Borrower or any Restricted Subsidiary owing to the Borrower or any Restricted Subsidiary; provided that (i) any Indebtedness of any Loan Party shall be unsecured and shall be subordinated in right of payment to the Obligations on terms customary for intercompany subordinated Indebtedness, as reasonably determined by the Administrative Agent and (ii) any such Indebtedness owing by any Restricted Subsidiary that is not a Loan Party to any Loan Party shall be incurred in compliance with Section 7.7; (d) Guarantee Obligations incurred by any Group Member of obligations of any Group Member to the extent such obligations are not prohibited hereunder; provided that (i) to the extent any such obligations are subordinated to the Obligations, any such related Guarantee Obligations incurred by a Loan Party shall be subordinated to the guarantee of such Loan Party of the Obligations on terms no less favorable to the Lenders than the subordination provisions of the obligations to which such Guarantee Obligation relates and (ii) any Guarantee Obligations incurred by any Loan Party of obligations of a Restricted Subsidiary that is not a Loan Party shall be permitted to the extent the aggregate amount of outstanding Guarantee Obligations incurred pursuant to this clause (ii) does not exceed $50,000,000; (e) Indebtedness outstanding on the Closing Date (provided that Indebtedness in an aggregate principal amount in excess of $5,000,000 shall be listed on Schedule 7.2(e)) and any Permitted Refinancing Indebtedness in respect thereof; 115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41"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Indebtedness of any Group Member incurred to finance the acquisition of fixed or capital assets (and any Permitted Refinancing Indebtedness in respect thereof) in an aggregate principal amount not to exceed $25,000,000 at any time outstanding; (g) Indebtedness representing deferred compensation to employees, officers or directors of the Borrower and its Restricted Subsidiaries incurred in the ordinary course of business; (h) Indebtedness incurred in the ordinary course of business and owed in respect of any overdrafts and related liabilities arising from treasury, depository and cash management services or in connection with any automated clearing-house transfers of funds; (i) Indebtedness arising under any Swap Agreement permitted by Section 7.11; (j) Indebtedness (other than for borrowed money) that may be deemed to exist pursuant to any guarantees, warranty or contractual service obligations, performance, surety, statutory, appeal, bid, prepayment guarantee, payment (other than payment of Indebtedness) or completion of performance guarantees or similar obligations incurred in the ordinary course of business; (k) Indebtedness in respect of workers’ compensation claims, payment obligations in connection with health, disability or other types of social security benefits, unemployment or other insurance obligations, reclamation and statutory obligations, in each case in the ordinary course of business; (l) Indebtedness arising from the honoring by a bank or other financial institution of a check, draft or similar instrument drawn against insufficient funds, so long as such Indebtedness is covered or extinguished within five Business Days; (m) Indebtedness consisting of (i) the financing of insurance premiums or self-insurance obligations or (ii) take-or-pay obligations contained in supply or similar agreements in each case in the ordinary course of business; (n) Indebtedness in the form of purchase price adjustments (including in respect of working capital), earnouts, deferred compensation, indemnification or other arrangements representing acquisition consideration or deferred payments of a similar nature incurred in connection with the Acima Acquisition, any Permitted Acquisitions or other Investments permitted under Section 7.7 or Dispositions permitted under Section 7.5; (o) (i) Indebtedness of any Person that becomes a Restricted Subsidiary (or of any Person not previously a Restricted Subsidiary that is merged or consolidated with or into the Borrower or a Restricted Subsidiary in a transaction permitted hereunder) after the Closing Date, or Indebtedness of any Person that is assumed by the Borrower or any Restricted Subsidiary in connection with an acquisition of assets by the Borrower or such Restricted Subsidiary in a Permitted Acquisition; provided that such Indebtedness exists 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2"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 the time such Person becomes a Restricted Subsidiary (or is so merged or consolidated) or such assets are acquired and is not created in contemplation of or in connection with such Person becoming a Restricted Subsidiary (or such merger or consolidation) or such assets or Capital Stock being acquired and (ii) Permitted Refinancing Indebtedness in respect of such Indebtedness; provided that after giving effect to the applicable acquisition (or merger or consolidation) or such assumption of Indebtedness, the Consolidated Leverage Ratio for the Applicable Reference Period, calculated on a Pro Forma Basis as of the date of such acquisition (or merger or consolidation) or assumption, is equal to or less than either (A) 3.50 to 1.00 or (B) the Consolidated Leverage Ratio for the Applicable Reference Period, calculated on a Pro Forma Basis immediately prior to such acquisition (or merger or consolidation) or assumption; provided further that the aggregate principal amount of Indebtedness of Subsidiaries that are not Loan Parties outstanding under this Section 7.2(o) shall not exceed $20,000,000; (p) Guarantee Obligations of the Borrower or any Restricted Subsidiary in respect of Indebtedness of franchisees in an aggregate amount not to exceed $25,000,000 at any time outstanding; (q) Indebtedness of the Borrower and any Restricted Subsidiary owed to the Insurance Subsidiary in an aggregate principal amount not to exceed the Insurance Subsidiary Indebtedness Cap at any time outstanding that cannot be subordinated to the obligations of any Loan Party under the Loan Documents for regulatory reasons or would cause the carrying value for regulatory valuation purposes to be increased; (r) Indebtedness of the Insurance Subsidiary permitted by Section 7.7(v)(i); (s) Indebtedness permitted to survive the Closing Date under the terms of the Acima Acquisition Agreement (provided that Indebtedness in an aggregate principal amount in excess of $2,500,000 shall be listed on Schedule 7.2(s)) and any Permitted Refinancing Indebtedness in respect thereof;[reserved]; (t) Term Loan Incremental Equivalent Debt (and any Permitted Refinancing Indebtedness in respect thereof) in an aggregate amount not to exceed (x) the Base Incremental Amount plus (y) the Term Loan Voluntary Prepayment Amount plus (z) the Maximum Term Loan Incremental Amount; provided that immediately prior to and immediately after giving effect to the incurrence of any Indebtedness under this Section 7.2(t), no Default or Event of Default shall have occurred and be continuing; (u) (i) Permitted Unsecured Indebtedness so long as, at the time of incurrence of such Permitted Unsecured Indebtedness, the Consolidated Leverage Ratio for the Applicable Reference Period, calculated on a Pro Forma Basis as of the date of incurrence thereof, is equal to or less than either (A) 2.75 to 1.00 or (B) in the case of any such Indebtedness incurred in connection with a Permitted Acquisition or Investment, the Consolidated Leverage Ratio for the Applicable Reference Period, calculated on a Pro Forma Basis immediately prior to incurrence of such Permitted Unsecured Indebtedness; provided that (A) immediately prior to and immediately after giving effect to the 117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3"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incurrence of any Permitted Unsecured Indebtedness under this Section 7.2(u), no Default or Event of Default shall have occurred and be continuing and (B) the aggregate principal amount of Permitted Unsecured Indebtedness of Restricted Subsidiaries that are not Loan Parties outstanding under this Section 7.2(u) shall not exceed $20,000,000 and (ii) any Permitted Refinancing Indebtedness in respect thereof; (v) (i) Indebtedness incurred by any Securitization Subsidiary in connection with any Qualified Securitization Transaction and (ii) Standard Securitization Undertakings incurred by any Group Member in connection with any Qualified Securitization Transaction; provided that (A) the aggregate principal amount of Indebtedness outstanding under this Section 7.2(v) shall not exceed $500,000,000 and (B) at least five (5) Business Days prior to the incurrence of any such Indebtedness or Standard Securitization Undertakings, the Borrower shall have provided the Administrative Agent with a certificate of a Responsible Officer certifying that the consummation of such Qualified Securitization Transaction is permitted hereunder and that attached thereto are drafts of the definitive documentation relating thereto; (w) additional Indebtedness of the Borrower or any of its Restricted Subsidiaries in an aggregate principal amount (for the Borrower and all Restricted Subsidiaries) not to exceed at any time outstanding the greater of (i) $250,000,000 and (ii) 50% of Consolidated EBITDA (for the Applicable Reference Period); provided that the aggregate principal amount of Indebtedness of Restricted Subsidiaries that are not Loan Parties outstanding under this Section 7.2(w) shall not exceed $50,000,000; (x) Attributable Indebtedness in an aggregate principal amount not to exceed $15,000,000 at any time outstanding, in each case which Attributable Indebtedness arises out of a sale and leaseback transaction permitted under Section 7.10; (y) Indebtedness of any Loan Party in an aggregate principal amount not to exceed the Net Cash Proceeds (Not Otherwise Applied) received after the Closing Date and on or prior to such date from any issuance of Qualified Capital Stock by the Borrower (other than any such issuance to a Group Member); (z) Guarantee Obligations incurred by any Group Member of obligations of any Joint Venture or Unrestricted Subsidiary to the extent permitted under Section 7.7(u); (aa) Indebtedness of the Borrower to the Insurance Subsidiary in connection with an Investment that is permitted pursuant to Section 7.7(z); and (bb) the Unsecured Notes in an aggregate principal amount not to exceed $450,000,000 and, in each case, any Permitted Refinancing Indebtedness in respect thereof. For purposes of determining compliance with this Section 7.2, in the event that an item of Indebtedness meets the criteria of more than one of the categories of Indebtedness described in clauses (a) through (bb) above, the Borrower may, in its sole discretion, divide or classify or later divide, classify or reclassify all or a portion of such item of Indebtedness in a manner that complies with this Section 7.2 and will only be required to include the amount and type of such 118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4"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Indebtedness in one or more of the above clauses; provided that all Indebtedness outstanding under the Loan Documents and the Term Loan Credit Agreement and, in each case, any Permitted Refinancing Indebtedness in respect thereof, will at all times be deemed to be outstanding in reliance only on the exception in Section 7.2(a) and Section 7.2(b), respectively. For the avoidance of doubt, a permitted refinancing in respect of Indebtedness incurred pursuant to a Dollar-denominated or Consolidated EBITDA-governed basket shall not increase capacity to incur Indebtedness under such Dollar-denominated or Consolidated EBITDA-governed basket, and such Dollar-denominated or Consolidated EBITDA-governed basket shall be deemed to continue to be utilized by the amount of the original Indebtedness incurred unless and until the Indebtedness incurred to effect such permitted refinancing is no longer outstanding. 7.3 Liens. Create, incur, assume or suffer to exist any Lien upon any of its property, whether now owned or hereafter acquired, except: (a) Liens for Taxes, assessments or other government charges or levies not yet due or that are being contested in good faith by appropriate proceedings; provided that adequate reserves with respect thereto are maintained on the books of the Borrower or its Restricted Subsidiaries, as the case may be, to the extent required by GAAP; (b) carriers’, warehousemen’s, mechanics’, materialmen’s, repairmen’s or other like Liens arising in the ordinary course of business that are not overdue for a period of more than 60 days or that are being contested in good faith by appropriate proceedings; (c) pledges or deposits in connection with workers’ compensation, unemployment insurance and other social security legislation; (d) pledges or deposits to secure the performance of bids, supplier and other trade contracts (other than for borrowed money), leases, statutory obligations (other than for borrowed money), leases, statutory obligations (other than any such obligation imposed pursuant to Section 430(k) of the Code or Sections 303(k) or 4068 of ERISA), surety and appeal bonds, performance bonds and other obligations of a like nature incurred in the ordinary course of business; (e) [reserved]; (f) Liens in existence on the Closing Date (provided that Liens securing any Indebtedness in an aggregate principal amount in excess of $5,000,000 shall be listed on Schedule 7.3(f)), securing Indebtedness permitted by Section 7.2(e); provided that no such Lien is spread to cover any additional property after the Closing Date and that the amount of Indebtedness secured thereby is not increased (other than, in the case of Permitted Refinancing Indebtedness, by any Additional Permitted Amount); (g) Liens securing Indebtedness of any Group Member incurred pursuant to Section 7.2(f); provided that (i) such Liens shall be created within 180 days of the acquisition of such fixed or capital assets and (ii) such Liens do not at any time encumber any property other than the property financed by such Indebtedness and the proceeds and 119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5"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products and extensions thereof; provided further that in the event that purchase money obligations are owed to any Person with respect to financing of more than one purchase of any fixed or capital assets, such Liens may secure all such purchase money obligations and may apply to all such fixed or capital assets financed by such Person; (h) (i) Liens on the Collateral created pursuant to the Security Documents (or any ABL Security Documents (as defined in the Intercreditor Agreement)), (ii) Liens on cash granted in favor of any Lenders and/or the Issuing Lender created as a result of any requirement to provide cash collateral pursuant to this Agreement and (iii) subject to the Intercreditor Agreement, Liens on the Collateral created pursuant to the Term Loan Security Documents (or any Term Loan Security Documents (as defined in the Intercreditor Agreement)); (i) any interest or title of a lessor under any lease entered into by any Group Member in the ordinary course of its business and covering only the assets so leased; (j) Liens solely on any cash earnest money deposits made by the Borrower or any Restricted Subsidiary in connection with any letter of intent or purchase agreement relating to a Permitted Acquisition or other third party Investment; (k) Liens in favor of any Loan Party so long as (in the case of any Lien granted by a Loan Party) such Liens are junior to the Liens created pursuant to the Security Documents; (l) Liens arising from filing Uniform Commercial Code or personal property security financing statements (or substantially equivalent filings outside of the United States) regarding leases; (m) any option or other agreement to purchase any asset of any Group Member, the purchase, sale or other disposition of which is not prohibited by Section 7.5; (n) Liens arising from the rendering of an interim or final judgment or order against any Group Member that does not give rise to an Event of Default; (o) Liens existing on any asset prior to the acquisition thereof by the Borrower or any Restricted Subsidiary or existing on any asset of any Person that becomes a Restricted Subsidiary (or of any Person not previously a Restricted Subsidiary that is merged or consolidated with or into a Restricted Subsidiary in a transaction permitted hereunder) after the Closing Date prior to the time such Person becomes a Restricted Subsidiary (or is so merged or consolidated) to the extent the Liens on such assets secure Indebtedness permitted by Section 7.2(o) so long as (i) in the case of first-priority Liens, the Consolidated Senior Secured Leverage Ratio for the Applicable Reference Period, calculated on a Pro Forma Basis as of the date of such acquisition or such Person becoming a Restricted Subsidiary (or such merger or consolidation), is equal to or less than either (A) 2.00 to 1.00 or (B) the Consolidated Senior Secured Leverage Ratio for the Applicable Reference Period, calculated on a Pro Forma Basis immediately prior to giving pro forma effect to such acquisition or such Person becoming a Restricted Subsidiary (or such merger or consolidation) and (ii) in the case of junior-priority Liens, 120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6"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Consolidated Secured Leverage Ratio for the Applicable Reference Period, calculated on a Pro Forma Basis as of the date of such acquisition or such Person becoming a Restricted Subsidiary (or such merger or consolidation), is equal to or less than either (A) 2.00 to 1.00 or (B) the Consolidated Secured Leverage Ratio for the Applicable Reference Period, calculated on a Pro Forma Basis immediately prior to giving pro forma effect to such acquisition or such Person becoming a Restricted Subsidiary (or such merger or consolidation); provided that (i) such Liens are not created in contemplation of or in connection with such acquisition or such Person becoming a Restricted Subsidiary (or such merger or consolidation) and (ii) such Liens attach at all times only to the same assets or category of assets that such Liens (other than after acquired property that is affixed or incorporated into the property covered by such Lien) attached to, and secure only the same Indebtedness or obligations (or any Permitted Refinancing Indebtedness in respect thereof permitted by Section 7.2(o)) that such Liens secured, immediately prior to such permitted acquisition; (p) Liens arising out of conditional sale, title retention, consignment or similar arrangements for sale of goods entered into by the Borrower or any other Restricted Subsidiary in the ordinary course of business and permitted by this Agreement; (q) Liens on Securitization Assets of a Securitization Subsidiary that were sold to such Securitization Subsidiary pursuant to Section 7.5(m) in a Qualified Securitization Transaction and Liens on the Capital Stock of any Securitization Subsidiary granted to secure such a Qualified Securitization Transaction; provided that the Liens permitted under this Section 7.3(q) secure only obligations permitted under Section 7.2(v); (r) Liens encumbering reasonable and customary initial deposits and margin deposits and similar Liens attaching to brokerage accounts incurred in the ordinary course of business and not for speculative purposes; (s) Liens in favor of customs and revenue authorities arising as a matter of law to secure payment of customs duties in connection with the importation of goods in the ordinary course of business; (t) Liens on premium refunds granted in favor of insurance companies (or their financing affiliates) in connection with the financing of insurance premiums; (u) banker’s liens, rights of setoff or similar rights and remedies as to deposit accounts or other funds maintained with depository institutions and securities accounts and other financial assets maintained with a securities intermediary; provided that such deposit accounts or funds and securities accounts or other financial assets are not established or deposited for the purpose of providing collateral for any Indebtedness and are not subject to restrictions on access by the Borrower or any Restricted Subsidiary in excess of those required by applicable banking regulations; (v) Liens (i) on cash advances in favor of the seller of any property to be acquired in an Investment permitted pursuant to Section 7.7 to be applied against the 121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7"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 price for such Investment or (ii) consisting of an agreement to dispose of any property in a Disposition permitted by Section 7.5, in each case, solely to the extent such Investment or Disposition, as the case may be, would have been permitted on the date of the creation of such Lien; (w) Liens on assets of Restricted Subsidiaries that are not Loan Parties so long as the aggregate outstanding principal amount of the obligations secured thereby does not exceed (as to all Group Members) $50,000,000; (x) Liens on the Collateral securing (i) Term Loan Incremental Equivalent Debt permitted under Section 7.2(t) and (ii) any Permitted Refinancing Indebtedness in respect thereof; provided that the Liens on the Collateral securing any such Indebtedness shall be (A) junior, with respect to ABL Priority Collateral, to the Liens on the Collateral securing the Obligations and (B) subject to the Intercreditor Agreement or such other intercreditor agreement in form and substance reasonably satisfactory to the Administrative Agent; (y) Liens on the Collateral securing (i) Permitted Refinancing Indebtedness incurred pursuant to Section 7.2(b) and (ii) any Permitted Refinancing Indebtedness in respect thereof; provided that the Liens on the Collateral securing any such Indebtedness shall be (A) junior, with respect to ABL Priority Collateral, to the Liens on the Collateral securing the Obligations and (B) subject to the Intercreditor Agreement or such other intercreditor agreement in form and substance reasonably satisfactory to the Administrative Agent; (z) Liens not otherwise permitted by this Section 7.3 so long as the aggregate outstanding principal amount of the obligations secured thereby does not exceed (as to all Group Members) $50,000,000; (aa) Liens on property purportedly rented to, or leased by, the Borrower or any of its Restricted Subsidiaries pursuant to a sale and leaseback transaction permitted under Section 7.10; provided that (i) such Liens do not encumber any other property of the Borrower or its Restricted Subsidiaries and (ii) such Liens secure only Indebtedness permitted under Section 7.2(x); (bb) Liens in favor of the applicable trustee on amounts deposited into escrow in connection with the redemption, defeasance or satisfaction and discharge of bonds, debentures, notes or similar instruments; (cc) (i)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any Group Member; 122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48"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(dd) easements, trackage rights, leases, licenses, special assessments, rights of way covenants, zoning restrictions, covenants, conditions, restrictions and declarations on or with respect to the use of real property, servicing agreements, development agreements, site plan agreements, encumbrances and title defects or irregularities that are of a minor nature that, in each case, do not, in the aggregate, interfere in any material respect with the ordinary conduct of the business of Borrower or any of the Restricted Subsidiaries; (ee) Liens on Capital Stock of any joint venture (i) securing obligations of such joint venture or (ii) pursuant to the relevant joint venture agreement or arrangement; and (ff) Liens securing Indebtedness of any Foreign Subsidiary that is not a Subsidiary Guarantor securing Indebtedness of such Foreign Subsidiary that is permitted by this Agreement.; and (gg) Liens on deposit and reserve accounts established with intermediary financial institutions securing obligations of Brigit to intermediary financial institutions in connection with Brigit customer loan programs. provided, that (i) it is understood and agreed for the avoidance of doubt that this Agreement does not permit any Liens on ABL Priority Collateral that secure Indebtedness on a pari passu basis with the Loans and (ii) this Agreement does not permit any Lien on real property securing Indebtedness for borrowed money except pursuant to Sections 7.3(h)(iii), (o), (w), (x), (y), (z) and (ff). For purposes of determining compliance with this Section 7.3, in the event that a Lien securing an item of Indebtedness (or any portion thereof) meets the criteria for more than one of the categories of Liens described in clauses (a) through (ffgg) above, the Borrower may, in its sole discretion, divide or classify or later divide, classify or reclassify all or a portion of such Lien in a manner that complies with this Section 7.3 and will only be required to include the amount and type of such Lien in one or more of the above clauses; provided that all Liens securing Indebtedness outstanding under the Loan Documents and the Term Loan Credit Agreement and, in each case, any Permitted Refinancing thereof, will at all times be deemed to be outstanding in reliance only on the exception in Section 7.3(h) or (y). 7.4 Fundamental Changes. Merge, consolidate or amalgamate, or liquidate, wind up or dissolve itself (or suffer any liquidation or dissolution), or Dispose of all or substantially all of its property or business (taken as a whole), except that: (a) any Restricted Subsidiary of the Borrower may be merged or consolidated with or into the Borrower (provided that the Borrower shall be the continuing or surviving corporation) or with or into any other Restricted Subsidiary (provided, that when any Subsidiary Guarantor is merging with or into another Restricted Subsidiary that is not a Subsidiary Guarantor (except as permitted by Section 7.4(b)), such Subsidiary Guarantor shall be the continuing or surviving corporation or the continuing or surviving corporation shall, substantially simultaneously with such merger or consolidation, become a Subsidiary Guarantor); 123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49"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any Restricted Subsidiary may merge, consolidate or amalgamate with any other Person (other than the Borrower) in order to effect an Investment permitted pursuant to Section 7.7; provided that if such Restricted Subsidiary is a Subsidiary Guarantor the continuing or surviving Person shall be a Subsidiary Guarantor; (c) any Restricted Subsidiary of the Borrower may Dispose of any or all of its assets (i) to the Borrower or any Subsidiary Guarantor (upon voluntary liquidation or otherwise) or (ii) pursuant to a Disposition permitted by Section 7.5; (d) any Restricted Subsidiary of the Borrower that is not a Subsidiary Guarantor may (i) dispose of any or all or substantially all of its assets to any Group Member (upon voluntary liquidation or otherwise) or (ii) liquidate or dissolve if the Borrower determines in good faith that such liquidation or dissolution is in the best interest of the Borrower and is not materially disadvantageous to the Administrative Agent or the Lenders; and (e) any Subsidiary of the Borrower may merge, consolidate or amalgamate with the Borrower in connection with the consummation of the Transactions. 7.5 Disposition of Property. Dispose of any of its property, whether now owned or hereafter acquired, or, in the case of any Restricted Subsidiary, issue or sell any shares of such Restricted Subsidiary’s Capital Stock to any Person, except: (a) the Disposition of surplus, outdated, obsolete or worn out property in the ordinary course of business; (b) Dispositions of Inventory, equipment, cash and Cash Equivalents, in each case, in the ordinary course of business; (c) Dispositions permitted by Section 7.4(c)(i) or Section 7.4(d)(i); (d) the sale or issuance of any Restricted Subsidiary’s Capital Stock to the Borrower or any Subsidiary Guarantor or on a pro rata basis to the owners of its Capital Stock; (e) Dispositions of Accounts in connection with the compromise, settlement or collection thereof in the ordinary course of business consistent with past practice and not (i) as part of any accounts receivables, rental agreements or chattel paper financing transaction (including any Securitization Transaction) or (ii) to any Securitization Subsidiary; (f) Dispositions of assets (including as a result of like-kind exchanges) to the extent that (i) 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 124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50"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Dispositions resulting from any casualty or other insured damage to, or any taking under power of eminent domain or by condemnation or similar proceeding of, any asset of any Group Member; (h) licenses and sublicenses and similar rights granted with respect to Intellectual Property granted in the ordinary course of business; (i) the abandonment, cancellation, non-renewal or discontinuance of use or maintenance of non-material Intellectual Property or rights relating thereto that the Borrower determines in its reasonable judgment to be desirable to the conduct of its business and not materially disadvantageous to the interests of the Lenders; (j) licenses, leases or subleases entered into in the ordinary course of business, to the extent that they do not materially interfere with the business of the Borrower or any Restricted Subsidiary; (k) Dispositions to any Group Member; provided that any such Disposition involving a Restricted Subsidiary that is not a Subsidiary Guarantor shall be made in compliance with Sections 7.7 and 7.9; (l) (i) Dispositions of assets to the extent that such Disposition constitutes an Investment referred to in and permitted by Section 7.7, (ii) Dispositions of assets to the extent that such Disposition constitutes a Restricted Payment referred to in and permitted by Section 7.6, (iii) Dispositions set forth on Schedule 7.5(l) and (iv) sale and leaseback transactions permitted under Section 7.10; (m) any sale, issuance, conveyance, transfer, participation, factoring, lease or other disposition of Securitization Assets of the Acquired Business in connection with a Qualified Securitization Transaction; provided that (i) no Event of Default then exists or would result from such Disposition, (ii) such Disposition is for cash and is not materially less favorable to the Borrower and the Restricted Subsidiaries (other than such Securitization Subsidiary) as determined by the Borrower in good faith than would be obtainable in a comparable arms-length sale of such Securitization Assets with a Person that is not an Affiliate of the Borrower, (iii) the proceeds thereof are deposited in accordance with Section 6.12(b) and (iv) the aggregate amount of all such Dispositions do not exceed $1,000,000,000 in any fiscal year of the Borrower; (n) other Dispositions of assets (including Capital Stock); provided that (A) it shall be for fair market value (determined as if such Disposition was consummated on an arm’s-length basis), (B) at least 75% of the total consideration for any such Disposition in excess of $10,000,000 received by the Borrower and its Restricted Subsidiaries shall be in the form of cash or Cash Equivalents and (C) no Event of Default then exists or would result from such Disposition (except if such Disposition is made pursuant to an agreement entered into at a time when no Event of Default exists); provided, however, that for purposes of clause (B) above, the following shall be deemed to be cash: (I) any liabilities (as shown on the Borrower’s or such Restricted Subsidiary’s most recent balance sheet provided hereunder or in the footnotes thereto) of the Borrower or such 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51"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Restricted Subsidiary (other than liabilities that are by their terms subordinated to the Obligations) that are assumed by the transferee with respect to the applicable Disposition and for which the Borrower and its Restricted Subsidiaries shall have been validly released by all applicable creditors in writing, (II) any securities received by the Borrower or such Restricted Subsidiary from such transferee that are converted by the Borrower or such Restricted Subsidiary into cash or Cash Equivalents (to the extent of the cash or Cash Equivalents received in the conversion) within 180 days following the closing of the applicable Disposition and (III) any Designated Non-Cash Consideration received by the Borrower or any of its Restricted Subsidiaries in such Disposition having an aggregate fair market value, taken together with all other Designated Non-Cash Consideration received pursuant to this Section 7.5(n) that is at that time outstanding, not to exceed $25,000,000 (with the fair market value of each item of Designated Non-Cash Consideration being measured at the time received and without giving effect to subsequent changes in value); (o) other Dispositions in any fiscal year of other property having a fair market value not to exceed 7.5% of Consolidated Total Assets when made; provided that no Event of Default then exists or would result from such Disposition (except if such Disposition is made pursuant to an agreement entered into at a time when no Event of Default exists); (p) Dispositions (i) to or by the Insurance Subsidiary of Capital Stock of the Borrower, (ii) to or by the Insurance Subsidiary of Indebtedness described in Section 7.2(r) to the Borrower or any Wholly Owned Subsidiary that is a Loan Party and (iii) by the Insurance Subsidiary effected solely for the purpose of liquidating assets in order to permit the Insurance Subsidiary to pay expenses and to make payments on insurance claims of the Borrower or any of its Restricted Subsidiaries with the proceeds of such Disposition; (q) Dispositions of real property in the ordinary course to the extent such real property is Disposed of for fair market value and the proceeds of such Disposition are applied within 360 days to the purchase price of similar or replacement real property; (r) Dispositions of non-core assets acquired in connection with any acquisition or Investment permitted hereunder; provided that (i) the Consolidated EBITDA generated by such non-core assets (as determined by the Borrower in good faith) shall not have been included in the calculation of Consolidated EBITDA in respect of any testing of ratios or governors on a Pro Forma Basis in connection with such acquisition and (ii) no Event of Default exists on the date on which the definitive agreement governing the relevant Disposition is executed; and (s) Dispositions of the Mexico Operations for fair market value.; (t) Dispositions of stores owned by the Borrower and its Subsidiaries to franchisees and other purchasers together with franchisees; and 126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52"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 Dispositions in the ordinary course of business of customer loans, account receivables or related assets by Brigit in connection with its loan programs. provided, that the foregoing provisions of this Section 7.5 do not permit (i) any Dispositions pursuant to a Securitization Transaction or to a Securitization Subsidiary other than pursuant to Section 7.5(m), (ii) any Dispositions to the Acquired Business (or any direct or indirect subsidiary of Acima acquired or formed after the Closing Date) of any Securitization Assets or (iii) any Dispositions by the Acquired Business (or any direct or indirect subsidiary of Acima acquired or formed after the Closing Date) of any Securitization Assets to the Borrower or any other Restricted Subsidiary (other than the Acquired Business). 7.6 Restricted Payments.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(other than Disqualified Capital Stock) of any Group Member, whether now or hereafter outstanding, or make any other distribution in respect thereof, either directly or indirectly, whether in cash or property or in obligations of any Group Member (collectively, “Restricted Payments”), except that: (a) any Restricted Subsidiary may make Restricted Payments ratably to its equity holders (or if not ratably, on a basis more favorable to the Borrower and the other Loan Parties); (b) the Borrower may purchase or redeem its common stock or common stock options from present, future or former directors, officers or employees of any Group Member upon the death, disability or termination of employment of such director, officer or employee, provided, that the aggregate amount of payments under this Section 7.6(b) after the Closing Date (net of any proceeds received by the Borrower after the Closing Date in connection with resales of any common stock or common stock options so purchased) shall not exceed $15,000,000 in any fiscal year (with unused amounts in any period permitted to be carried over to succeeding periods until used in full; provided that the total amount of such purchases or redemptions under this Section 7.6(b) in any fiscal year shall not exceed $25,000,000); (c) the Borrower may declare and pay dividends with respect to its Capital Stock payable solely in shares of Qualified Capital Stock; (d) the Borrower may make cash payments in lieu of the issuance of fractional shares representing insignificant interests in the Borrower in connection with the exercise of warrants, options or other securities convertible into or exchangeable for Capital Stock in the Borrower; (e) the Borrower may acquire its Capital Stock upon the exercise of stock options for such Capital Stock of the Borrower if such Capital Stock represents a portion of the exercise price of such stock options or in connection with tax withholding obligations arising in connection with the exercise of options by, or the vesting of 127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53"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restricted Capital Stock held by, any current or former director, officer or employee of any Group Member; (f) the Borrower may convert or exchange any of its Capital Stock for or into Qualified Capital Stock; (g) so long as the Payment Conditions are met, the Borrower may make Restricted Payments; (h) so long as no Event of Default shall have occurred and be continuing or would result therefrom, the Borrower may on any date make Restricted Payments in an aggregate amount, together with Restricted Debt Payments made under Section 7.8(a)(iv), not to exceed $100,000,000 in any fiscal year; (i) the Borrower may repurchase shares of its common stock from the Insurance Subsidiary in an amount necessary to (i) pay operating costs and expenses of the Insurance Subsidiary incurred in the ordinary course of business (not to exceed $250,000 per fiscal year of the Borrower) and (ii) permit the Insurance Subsidiary to make payments on insurance claims of the Borrower and/or any of its Subsidiaries with the proceeds of such repurchase; (j) the Insurance Subsidiary may purchase shares of the common stock of the Borrower from the Borrower or any Restricted Subsidiary; (k) the Borrower may repurchase shares of its common stock from the Insurance Subsidiary in exchange for the issuance of one or more notes or other forms of Indebtedness owed to the Insurance Subsidiary; (l) the Borrower may make Restricted Payments to consummate the Transactions[reserved]; and (m) distributions or payments of Securitization Fees. For purposes of determining compliance with this Section 7.6, in the event that a Restricted Payment meets the criteria of more than one of the categories of Restricted Payments described in clauses (a) through (m) above, the Borrower may, in its sole discretion, divide or classify or later divide, classify or reclassify all or a portion of such Restricted Payment in a manner that complies with this Section 7.6 and will only be required to include the amount and type of such Restricted Payment in one or more of the above clauses. 7.7 Investments. Make any advance, loan, extension of credit (by way of guaranty or otherwise) or capital contribution to, or purchase any Capital Stock, bonds, notes, debentures or other debt securities of, or any assets constituting a business unit of, or make any other investment in, any other Person (all of the foregoing, “Investments”), except: (a) extensions of trade credit in the ordinary course of business; (b) investments in cash and Cash Equivalents; 128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54"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Guarantee Obligations permitted by Section 7.2 (other than any Guarantee Obligations incurred under Section 7.2(z), which Guarantee Obligations shall solely be permitted to the extent permitted pursuant to Section 7.7(u)); (d) loans and advances to directors, officers and employees of any Group Member in the ordinary course of business (including for travel, entertainment and relocation expenses) in an aggregate amount for the Borrower and its Restricted Subsidiaries not to exceed $5,000,000 at any one time outstanding; (e) [reserved]; (f) Investments in assets useful in the business of the Borrower and its Restricted Subsidiaries made by any Group Member with the proceeds of any Reinvestment Deferred Amount (as defined in the Term Loan Credit Agreement as in effect on the date hereof, together with any amendments and modifications that are not materially adverse to the Lenders); (g) intercompany Investments by any Group Member in any other Group Member; provided that any Investment by any Loan Party in a Restricted Subsidiary that is not a Loan Party shall be permitted to the extent the aggregate amount of outstanding Investments pursuant to this clause (g) (less any returns (including dividends, interest, distributions, returns of principal, profits on sale, repayments, income and similar amounts) actually received in respect of any such Investments (excluding any returns in excess of the amount originally invested)) does not exceed $50,000,000; (h) any Permitted Acquisition; provided that (i) to the extent reasonably requested by the Administrative Agent, the Borrower shall have delivered ((I) in the case of a Permitted Acquisition made pursuant to Section 7.7(h)(iv)(A) and (II) in the case of all other Permitted Acquisitions to the extent made available to the Loan Parties), the most recently available consolidated balance sheet of the entity being acquired and its consolidated subsidiaries (or the assets, if an acquisition of assets) as at the end of the most recently ended fiscal year and/or quarter, as applicable, and the related consolidated statements of income, stockholders’ equity and cash flows for such period, which statements need not be GAAP compliant, (ii) after giving effect thereto, the Borrower and its Restricted Subsidiaries are in compliance with Section 7.15, (iii) any such newly created or acquired Subsidiary has complied with the requirements of Section 6.10 and (iv) either (A)(1) for 20 consecutive days prior to such Permitted Acquisition, pro forma Availability is no less than the greater of (x) 15% of the Line Cap and (y) $60,000,000 and (2) the pro forma Consolidated Fixed Charge Coverage Ratio for the last four quarters is no less than 1.10:1.00 or (B) for 20 consecutive days prior to such Permitted Acquisition, pro forma Availability is no less than the greater of (x) 30% of the Line Cap and (y) $120,000,000; (i) promissory notes and other non-cash consideration received in connection with Dispositions permitted by Section 7.5; 129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5"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 Investments acquired as a result of the purchase or other acquisition by any Group Member in connection with a Permitted Acquisition; provided, that such Investments were not made in contemplation of such Permitted Acquisition and were in existence at the time of such Permitted Acquisition; (k) Investments existing on the Closing Date (provided that Investments in an aggregate outstanding amount in excess of $5,000,000 shall be set forth on Schedule 7.7(k)) and any modification, refinancing, renewal, refunding, replacement or extension thereof; provided that the amount of any Investment permitted pursuant to this Section 7.7(k) is not increased from the amount of such Investment on the Closing Date; (l) Investments received in connection with the bankruptcy or reorganization of, or settlement of delinquent accounts and disputes with, customers and suppliers, in each case in the ordinary course of business; (m) Investments of a Restricted Subsidiary acquired after the Closing Date or of a corporation merged into the Borrower or merged or consolidated with any Restricted Subsidiary, in each case in accordance with Section 7.4 after the Closing Date, to the extent that such Investments were not made in contemplation of or in connection with such acquisition, merger or consolidation and were in existence on the date of such acquisition, merger or consolidation; (n) Guarantees by the Borrower or any Restricted Subsidiary of leases (other than Finance Lease Obligations) or of other obligations that do not constitute Indebtedness, in each case entered into in the ordinary course of business; (o) Investments made to effect the pledges and deposits described in, and permitted under, Section 7.3(c) and (d); (p) Investments by the Borrower or any Restricted Subsidiary that result solely from the receipt by the Borrower or such Restricted Subsidiary from any of its Subsidiaries of a dividend or other Restricted Payment in the form of Capital Stock, evidences of Indebtedness or other securities (but not any additions thereto made after the date of the receipt thereto); (q) mergers and consolidations permitted under Section 7.4 that do not involve any Person other than the Borrower and Restricted Subsidiaries that are Wholly Owned Subsidiaries; (r) Investments; provided that the Payment Conditions are met; (s) Investments by the Borrower or any Restricted Subsidiary in the form of Standard Securitization Undertakings in any Securitization Subsidiary in connection with a Qualified Securitization Transaction; (t) Investments by the Borrower or any of its Restricted Subsidiaries in an aggregate amount (valued at cost), taken together with all other outstanding Investments made pursuant to this Section 7.7(t) (less any returns (including dividends, interest, 130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6"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distributions, returns of principal, profits on sale, repayments, income and similar amounts) actually received in respect of any such Investments (excluding any returns in excess of the amount originally invested)), not to exceed from and after the Closing Date the greater of (i) $75,000,000 and (ii) 15% of Consolidated EBITDA for the Applicable Reference Period, calculated on a Pro Forma Basis as of the date of such Investment; (u) (i) any Investment in any Joint Venture or Unrestricted Subsidiary and (ii) any Permitted Acquisition of Persons that do not, upon acquisition thereof, become Subsidiary Guarantors, and property that is not, upon acquisition thereof, owned by Loan Parties; provided that the aggregate outstanding amount of the Investments and Permitted Acquisitions consummated pursuant to this Section 7.7(u) (with respect to Investments pursuant to clause (i), valued at cost, and with respect to Permitted Acquisitions pursuant to clause (ii), the Investment amount thereof shall be as valued in good faith by the Borrower and shall include cash and equity (including Disqualified Capital Stock of any Subsidiaries not organized under the laws of any jurisdiction within the United States, but excluding any other equity of such Subsidiaries)), less any returns (including dividends, interest, distributions, returns of principal, profits on sale, repayments, income and similar amounts) actually received in respect of any such Investments (excluding any returns in excess of the amount originally invested), shall not exceed at any time outstanding the greater of (i) $75,000,000 and (ii) 15% of Consolidated EBITDA for the Applicable Reference Period, calculated on a Pro Forma Basis as of the date of such Investment or Permitted Acquisition (or at the Borrower’s option, as of the date of entry into the binding documentation in respect of such Permitted Acquisition); (v) Investments made in the Insurance Subsidiary (i) to the extent required to meet regulatory capital guidelines, policies or rules in an amount not exceed $35,000,000 in the aggregate at any one time outstanding and (ii) in amounts not to exceed, in any fiscal year of the Borrower, the lesser of (x) $75,000,000 and (y) the amount that will appear as an expense for self-insurance costs on the Borrower’s consolidated income statement; (w) Investments in the Insurance Subsidiary consisting of the contribution of common stock of the Borrower and Investments by the Insurance Subsidiary in the common stock of the Borrower; (x) Investments by the Insurance Subsidiary in Indebtedness of the Group Members permitted by Section 7.2(r); (y) Investments by the Borrower in the Insurance Subsidiary in connection with the repurchase of the Borrower’s common stock from the Insurance Subsidiary in exchange for the issuance of one or more notes or other forms of Indebtedness owed to the Insurance Subsidiary; (z) Investments, taken together with all other outstanding Investments made pursuant to this Section 7.7(z) (less any returns (including dividends, interest, distributions, returns of principal, profits on sale, repayments, income and similar amounts) actually received in respect of any such Investments (excluding any returns in 131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7"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excess of the amount originally invested)), in an aggregate amount (valued at cost) not to exceed the Net Cash Proceeds (Not Otherwise Applied) received after the Closing Date and on or prior to such date from any issuance of Qualified Capital Stock by the Borrower (other than any such issuance to a Group Member); and (aa) Investments made to consummate the Transactions.by any Loan Party in any Group Member organized in Mexico that is not a Loan Party in an aggregate amount not to exceed $100,000,000; (bb) Investments by Brigit in the ordinary course of business in the form of deposits and funding of reserve accounts with intermediary financial institutions; (cc) Investments by Brigit in the form of extensions of credit to customers of Brigit pursuant to the customer loan programs of Brigit; and (dd) Investments in the form of purchases of Brigit customer loans from third-party financial institutions. provided, that the foregoing provisions of this Section 7.7 do not permit (i) any Investments in a Securitization Subsidiary other than pursuant to Section 7.7(s), (ii) any Investments by the Acquired Business (or any direct or indirect subsidiary of Acima acquired or formed after the Closing Date) of any Securitization Assets to the Borrower or any other Restricted Subsidiary (other than the Acquired Business). For purposes of determining compliance with this Section 7.7, in the event that an Investment meets the criteria of more than one of the categories of Investments described in clauses (a) through (aadd) above, the Borrower may, in its sole discretion, divide or classify or later divide, classify or reclassify all or a portion of such Investment in a manner that complies with this Section 7.7 and will only be required to include the amount and type of such Investment in one or more of the above clauses. 7.8 Optional Payments and Modifications of Certain Debt Instruments. (a) Make or offer to make any optional or voluntary payment, prepayment, repurchase or redemption of or otherwise optionally or voluntarily defease or segregate funds with respect to any Restricted Indebtedness (any of the foregoing, a “Restricted Debt Payment”) other than: (i) refinancings of Restricted Indebtedness with the proceeds of Permitted Refinancing Indebtedness permitted in respect thereof under Section 7.2; (ii) Restricted Debt Payments made solely with Qualified Capital Stock or the conversion of any Restricted Indebtedness into Qualified Capital Stock; (iii) Restricted Debt Payments; provided that the Payment Conditions are met; 132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8"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so long as no Event of Default shall have occurred and be continuing or would result therefrom, Restricted Debt Payments in an aggregate amount not to exceed, together with the aggregate amount of Restricted Payments made pursuant to Section 7.6(h), $100,000,000 per fiscal year of the Borrower; and (v) prepayments of intercompany Restricted Indebtedness permitted hereunder owed by the Borrower or any Restricted Subsidiary to the Borrower or any Restricted Subsidiary; provided that no prepayment of any Restricted Indebtedness owed by any Loan Party to any Restricted Subsidiary that is not a Loan Party shall be permitted so long as the Payment Conditions are not met. For purposes of determining compliance with this Section 7.8(a), in the event that a Restricted Debt Payment meets the criteria of more than one of the categories of Restricted Debt Payments described in clauses (i) through (v) above, the Borrower may, in its sole discretion, divide or classify or later divide, classify or reclassify all or a portion of such Restricted Debt Payment in a manner that complies with this Section 7.7(a) and will only be required to include the amount and type of such Restricted Debt Payment in one or more of the above clauses. Notwithstanding anything to the contrary contained in this Section 7.8(a), in no event shall any payment in respect of Subordinated Indebtedness be permitted if such payment is in violation of the subordination provisions of such Subordinated Indebtedness. (b) Amend, modify, waive or otherwise change, or consent or agree to any amendment, modification, waiver or other change to, any of the terms of any Restricted Indebtedness (other than any such amendment, modification, waiver or other change that would not materially and adversely affect the interests of the Lenders). 7.9 Transactions with Affiliates. Enter into any transaction, including any purchase, sale, lease or exchange of property, the rendering of any service or the payment of any management, advisory or similar fees, with any Affiliate in excess of $10,000,000, unless such transaction is on terms not materially less favorable to the Borrower or such Restricted Subsidiary, as applicable, than would be obtainable in a comparable arms-length transaction with a person that is not an Affiliate; provided that this Section 7.9 shall not limit: (a) issuances of securities, or other payments, awards or grants in cash, securities or otherwise pursuant to, or the funding of, employment arrangements, equity purchase agreements, stock options, stock ownership plans and similar and like arrangements approved by the board of directors of the Borrower; (b) compensation, insurance, employment, employee benefit and severance arrangements between the Borrower or any Subsidiary and any director, officer, employee or consultant thereof; (c) the payment of directors’ fees and indemnification and reimbursement of expenses to directors, officers or employees; 133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59"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transactions between or among the Loan Parties; (e) transactions between or among the Borrower and its Restricted Subsidiaries or by and among Restricted Subsidiaries in the ordinary course of business; (f) Investments permitted by Section 7.7(d), Restricted Payments or Restricted Debt Payments expressly permitted by this Agreement; (g) intercompany transactions undertaken in good faith for the purpose of improving the consolidated tax efficiency of the Group Members; (h) transactions disclosed in the Borrower’s SEC filings made prior to the Closing Date; (i) any transaction with any Person who is not an Affiliate immediately before the consummation of such transaction that becomes an Affiliate as a result of such transaction; (j) payroll, travel, business entertainment and similar advances to officers, directors, employees and consultants of the Borrower or any Subsidiary to cover matters that are expected at the time of such advances to be treated as expenses of the Borrower or such Subsidiary for accounting purposes and that are made in the ordinary course of business; and (k) any (i) sale, conveyance, participation, factoring or other transfer of Securitization Assets to or by a Securitization Subsidiary pursuant to Section 7.5(m), (ii) grant of security pursuant to Section 7.3(q), (iii) incurrence of Indebtedness pursuant to Section 7.2(v) or (iv) payment of any associated Securitization Fees, in each case pursuant to any Qualified Securitization Transaction. 7.10 Sales and Leasebacks. Enter into any arrangement with any Person providing for the leasing by any Group Member of real property that has been or is to be sold or transferred by such Group Member to such Person or to any other Person to whom funds have been or are to be advanced by such Person on the security of such property or rental obligations of such Group Member, unless the Net Cash Proceeds received by the applicable Group Member in connection with such transaction are at least equal to the fair market value (as determined by the Borrower) of such property; provided that the aggregate amount of consideration paid to the Group Members (and the aggregate principal amount of any Attributable Indebtedness) in respect of transactions permitted under this Section 7.10 shall not exceed $15,000,000. 7.11 Swap Agreements. Enter into any Swap Agreement, except Swap Agreements entered into for bona fide hedging purposes and not for speculation. 7.12 Changes in Fiscal Periods. Permit the fiscal year of the Borrower to end on a day other than calendar year end or change the Borrower’s method of determining fiscal quarters, in each case without the consent of the Administrative Agent (such consent not to be unreasonably withheld, conditioned or delayed). 134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60"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7.13 Negative Pledge Clauses. Enter into or suffer to exist or become effective any agreement that prohibits or limits the ability of any Group Member (other than the Insurance Subsidiary) to create, incur, assume or suffer to exist any Lien upon any of its property or revenues, whether now owned or hereafter acquired to secure its obligations under the Loan Documents to which it is a party other than (a) (i) this Agreement, the other Loan Documents, the Term Loan Documents and the Unsecured Notes Documents (ii) any agreement governing any Indebtedness incurred pursuant to Section 7.2 to the extent such prohibition or limitation is customary in agreements governing Indebtedness of such type and in any event so long as such agreement is not materially more restrictive (taken as a whole) than the Loan Documents (as conclusively determined by the Borrower in good faith) and (iii) any agreement governing any Permitted Refinancing Indebtedness in respect of the Loans, the Term Loans, the Unsecured Notes or Indebtedness incurred pursuant to Section 7.2, in each case, with respect to this clause (iii), so long as any such agreement is not materially more restrictive (taken as a whole) than the Loan Documents, the Term Loan Documents, the Unsecured Notes Documents or the documents governing the Indebtedness being refinanced, as applicable (as conclusively determined by the Borrower in good faith), (b) any agreements governing any purchase money Liens or Finance Lease Obligations otherwise permitted hereby (in which case, any prohibition or limitation shall only be effective against the assets financed thereby), (c) any agreement in effect at the time any Subsidiary becomes a Restricted Subsidiary of the Borrower, so long as such prohibition or limitation applies only to such Restricted Subsidiary (and, if applicable, its Subsidiaries) and such agreement was not entered into in contemplation of such Person becoming a Restricted Subsidiary of the Borrower, as such agreement may be amended, restated, supplemented, modified extended renewed or replaced, so long as such amendment, restatement, supplement, modification, extension, renewal or replacement does not expand in any material respect the scope of any restriction contemplated by this Section 7.13 contained therein, (d) customary provisions restricting assignments, subletting, sublicensing, pledging or other transfers contained in leases, subleases, licenses or sublicenses, so long as such restrictions are limited to the property or assets subject to such leases, subleases, licenses or sublicenses, as the case may be, (e) (i) restrictions imposed by applicable law and (ii) contractual encumbrances or restrictions in effect on the Closing Date and listed on Schedule 7.13, (f) customary provisions in joint venture agreements and other similar agreements entered into in the ordinary course of business, (g) customary provisions restricting assignment of any agreement entered into in the ordinary course of business, (h) customary restrictions and conditions contained in the document relating to any Lien other than relating to Indebtedness, so long as (i) such Lien is a Lien permitted by Section 7.3 and such restrictions or conditions relate only to the specific asset subject to such Lien and (ii) such restrictions and conditions are not created for the purpose of avoiding the restrictions imposed by this Section 7.13, (i) customary net worth provisions contained in real property leases entered into by the Group Members, so long as the Borrower has determined in good faith that such net worth provisions would not reasonably be expected to impair the ability of the Group Members to meet their ongoing obligations, (j) restrictions on cash or other deposits imposed by customers under contracts entered into in the ordinary course of business, (k) customary restrictions and conditions contained in agreements relating to the sale of a Restricted Subsidiary or any assets pending such sale, provided that such restrictions or conditions apply only to the Restricted Subsidiary or assets that is to be sold and such sale is permitted hereunder and (l) customary prohibitions, conditions and restrictions (as determined by the Borrower in 135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61"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good faith) contained in agreements and documents relating to any Qualified Securitization Transaction. 7.14 Clauses Restricting Subsidiary Distributions. Enter into or suffer to exist or become effective any consensual encumbrance or restriction on the ability of any Restricted Subsidiary of the Borrower to (a) make Restricted Payments in respect of any Capital Stock of such Restricted Subsidiary held by, or pay any Indebtedness owed to, any Group Member, (b) make loans or advances to, or other Investments in, any Group Member or (c) transfer any of its assets to any Group Member, except for (i) any encumbrances or restrictions existing under (A) this Agreement, the other Loan Documents, the Term Loan Documents or the Unsecured Notes Documents (B) any agreement governing Indebtedness incurred pursuant to Section 7.2 so long as such encumbrance or restriction is customary in agreements governing Indebtedness of such type and is not materially more restrictive (taken as a whole) than the Loan Documents (as conclusively determined by the Borrower in good faith) or (C) any agreement governing Permitted Refinancing Indebtedness in respect of the Loans, any Term Loans, any Unsecured Notes or any other Indebtedness incurred pursuant to Section 7.2, in each case so long as any such agreement is not materially more restrictive (taken as a whole) than the Loan Documents, the Term Loan Documents, the Unsecured Notes Documents or the documents governing the Indebtedness being refinanced, as applicable (as conclusively determined by the Borrower in good faith), (ii) any encumbrances or restrictions with respect to a Restricted Subsidiary imposed pursuant to an agreement that has been entered into in connection with the Disposition of all or substantially all of the Capital Stock or assets of such Restricted Subsidiary, (iii) any encumbrance or restriction applicable to a Restricted Subsidiary (and, if applicable, its Subsidiaries) under any agreement of such Restricted Subsidiary in effect at the time such Person becomes a Restricted Subsidiary of the Borrower, so long as such agreement was not entered into in contemplation of such Person becoming a Restricted Subsidiary of the Borrower, as such agreement may be amended, restated, supplemented, modified extended renewed or replaced, so long as such amendment, restatement, supplement, modification, extension, renewal or replacement does not expand in any material respect the scope of any restriction contemplated by this Section 7.14 contained therein, (iv) customary provisions restricting assignments, subletting, sublicensing, pledging or other transfers contained in leases, subleases, licenses or sublicenses, so long as such restrictions are limited to the property or assets subject to such leases, subleases, licenses or sublicenses, as the case may be, (v) customary restrictions and conditions contained in agreements relating to the sale of a Restricted Subsidiary or any assets pending such sale, provided that such restrictions or conditions apply only to the Restricted Subsidiary or assets that is to be sold and such sale is permitted hereunder , (vi) consensual arrangements with insurance regulators with respect to the Insurance Subsidiary, (vii) (A) restrictions imposed by applicable law and (B) contractual encumbrances or restrictions in effect on the Closing Date and listed on Schedule 7.14, (viii) customary provisions in joint venture agreements and other similar agreements entered into in the ordinary course of business, (ix) customary provisions restricting assignment of any agreement entered into in the ordinary course of business, (x) customary net worth provisions contained in real property leases entered into by the Group Members, so long as the Borrower has determined in good faith that such net worth provisions would not reasonably be expected to impair the ability of the Group Members to meet their ongoing obligations, (xi) restrictions on cash or other deposits imposed by customers under contracts entered into in the ordinary course of business and (xii) restrictions on cash or other deposits imposed by customers under contracts entered into in the ordinary course of business and (xii) customary prohibitions, 136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62"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conditions and restrictions (as determined by the Borrower in good faith) contained in agreements and documents relating to any Qualified Securitization Transaction. 7.15 Lines of Business. (a) Enter into any business, either directly or through any Restricted Subsidiary, except for (i) an immaterial line of business (as determined by the Borrower in good faith) or (ii) those businesses in which the Group Members were engaged on the Closing Date and (in the case of this clause (ii)) any similar, corollary, related, incidental or complementary business or business activities or any reasonable extension, development or expansion thereof (as determined by the Borrower in good faith). (b) In the case of the Insurance Subsidiary, enter into any business, except for providing insurance services to the Borrower and its Subsidiaries and activities reasonably related thereto. 7.16 Use of Proceeds. Use, and the respective directors, officers, employees and agents of the Borrower and its Subsidiaries shall not use, the proceeds of any Revolving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 7.17 Subject Agreements. Provide, or take any steps to provide, “control” (as defined in and provided for in the New York Uniform Commercial Code) over any Subject Agreement to any Person other than the Administrative Agent. 7.18 Outbound Investment Rules. The Borrower will not, and will not permit any of its Subsidiaries to, be or become a “covered foreign person”, as that term is defined in the Outbound Investment Rules. SECTION 8. EVENTS OF DEFAULT If any of the following events shall occur: (a) the Borrower shall fail to pay any principal of any Loan or Reimbursement Obligation when due in accordance with the terms hereof; or the Borrower shall fail to pay any interest on any Loan or Reimbursement Obligation, or any other amount payable hereunder or under any other Loan Document, within five Business Days after any such interest or other amount becomes due in accordance with the terms hereof; or (b) any representation or warranty made or deemed made by any Loan Party herein or in any other Loan Document or that is contained in any certificate required to be delivered by it at any time under or in connection with this Agreement or any such other Loan Document shall prove to have been inaccurate in any material respect on or as of the date made or deemed made; or 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63"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any Loan Party shall default in the observance or performance of (i) Sections 6.2(g), 6.2(i) or 6.12(b), and such default shall continue unremedied for a period of 10 days after written notice to the Borrower from the Administrative Agent or the Required Lenders or (ii) any agreement contained in clause (i) or (ii) of Section 6.4(a) (with respect to the Borrower only), Section 6.7(a) or Section 7 of this Agreement; or (d) any Loan Party shall default in the observance or performance of any other agreement contained in this Agreement or any other Loan Document (other than as provided in paragraphs (a) through (c) of this Section 8), and such default shall continue unremedied for a period of 30 days after written notice to the Borrower from the Administrative Agent or the Required Lenders; or (e) any Group Member shall (i) default in making any payment of any principal of any Material Indebtedness (including any Guarantee Obligation) on the scheduled or original due date with respect thereto; (ii) default in making any payment of any interest on any such Material Indebtedness beyond the period of grace, if any, provided in the instrument or agreement under which such Material Indebtedness was created; or (iii) default in the observance or performance of any other agreement or condition relating to any such Material Indebtedness or contained in any instrument or agreement evidencing, securing or relating thereto, the effect of which default is to cause (with all applicable grace periods having expired), or to permit the holder or beneficiary of such Indebtedness (or a trustee or agent on behalf of such holder or beneficiary) to cause (with all applicable grace periods having expired), with the giving of notice if required, such Material Indebtedness to become due prior to its stated maturity or (in the case of any such Indebtedness constituting a Guarantee Obligation) to become payable (provided that this clause (iii) shall not apply to any Indebtedness that becomes due as a result of a refinancing in full thereof as permitted by the terms of this Agreement); or (f) (i) the Borrower or any 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(ii) there shall be commenced against the Borrower or any Material Subsidiary any case, proceeding or other action of a nature referred to in clause (i) above that (A) results in the entry of an order for relief or any such adjudication or appointment or (B) remains undismissed or undischarged for a period of 60 consecutive days; or (iii) there shall be commenced against the Borrower or any Material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Borrower or any Material Subsidiary shall take any action in furtherance of, or indicating its consent to, approval of, or acquiescence in, any of the acts set forth in clause (i), (ii), or (iii) above; or (v) the 138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64"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or any Material Subsidiary shall generally not, or shall be unable to, or shall admit in writing its inability to, pay its debts as they become due; or (vi) the Borrower or any Material Subsidiary shall make a general assignment for the benefit of its creditors; or (g) (i) an ERISA Event and/or a Foreign Plan Event shall have occurred; (ii) a trustee shall be appointed by a United States district court to administer any Pension Plan; (iii) the PBGC shall institute proceedings to terminate any Pension Plan; (iv) any Group Member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or (v) any other event or condition shall occur or exist with respect to a Plan, a Foreign Benefit Arrangement, or a Foreign Plan; and in each case in clauses (i) through (v) above, such event or condition, together with all other such events or conditions, if any, would reasonably be expected to result in a Material Adverse Effect; or (h) one or more judgments or decrees shall be entered against the Borrower or any Material Subsidiary involving in the aggregate a liability (not paid or fully covered by insurance as to which the relevant insurance company has not disputed coverage) of $75,000,000 or more, and all such judgments or decrees shall not have been vacated, discharged, stayed or bonded pending appeal within 60 consecutive days from the entry thereof; or (i) any of the Security Documents or the Intercreditor Agreement shall cease, for any reason, to be in full force and effect, or any Loan Party shall so assert, or any Lien created by any of the Security Documents on assets that constitute a material portion of the Collateral shall cease to be enforceable and of the same effect and priority purported to be created thereby (and, for the avoidance of doubt, as required by the Intercreditor Agreement), except (i) the release thereof as provided in the applicable Loan Document or Section 10.14 or (ii) as a result of the failure of the Administrative Agent (or its agent or bailee in accordance with the Intercreditor Agreement) to maintain possession of any stock certificates, promissory notes or other instruments delivered to it under the Guarantee and Collateral Agreement; or (j) the guarantee contained in Article II of the Guarantee and Collateral Agreement shall cease, for any reason, to be in full force and effect or any Loan Party shall so assert; or (k) the subordination provisions contained in any Subordinated Indebtedness with an aggregate principal amount in excess of $75,000,000 shall cease, for any reason, to be in full force and effect, or any Loan Party shall so assert; or (l) a Change of Control shall occur; then, and in any such event, (A) if such event is an Event of Default specified in clause (i) or (ii) 139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5"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paragraph (f) above with respect to the Borrower, automatically the Commitments shall immediately terminate and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Commitments to be terminated forthwith, whereupon the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Borrower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After all such Letters of Credit shall have expired or been fully drawn upon, all Reimbursement Obligations shall have been satisfied and all other Obligations of the Borrower hereunder and under the other Loan Documents shall have been paid in full, the balance, if any, in such cash collateral account shall be returned to the Borrower (or such other Person as may be lawfully entitled thereto). Except as expressly provided above in this Section 8, presentment, demand, protest and all other notices of any kind are hereby expressly waived by the Borrower. In addition to any other rights and remedies granted to the Administrative Agent and the Lenders in the Loan Documents, the Administrative Agent on behalf of the Lenders may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may in such circumstances forthwith collect, receive, appropriate and realize upon the Collateral, or any part thereof, or consent to the use by the Loan Parties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140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66"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The Borrower further agrees, at the Administrative Agent’s request, to assemble, or cause the applicable Loan Party to assemble, the Collateral and make it available to the Administrative Agent at places which the Administrative Agent shall reasonably select, whether at the Borrower’s or such Loan Party’s premises or elsewhere. The Administrative Agent shall apply the net proceeds of any action taken by it pursuant to this Section 8,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New York UCC, need the Administrative Agent account for the surplus, if any, to any Loan Party. To the extent permitted by applicable law, the Borrower on behalf of itself and the other Loan Parties, waives all claims, damages and demands it or any other Loan Party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 SECTION 9. THE AGENTS 9.1 Appointment. (a)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141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67"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(b) Each Lender hereby irrevocably appoints the entity named as Administrative Agent in the heading of this Agreement and its successors and assigns to serve as the administrative agent under the Loan Documents and each Lender and each Issuing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(c) In performing its functions and duties hereunder and under the other Loan Documents, the Administrative Agent is acting solely on behalf of the Lenders and the Issuing Lenders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or any Subsidiary thereof. Without limiting the generality of the foregoing, the Administrative Agent does not assume and shall not be deemed to have assumed any obligation or duty or any other relationship as the agent, fiduciary or trustee of or for any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(d) Nothing in this Agreement or any Loan Document shall require the Administrative Agent to account to any Lender for any sum or the profit element of any sum received by the Administrative Agent for its own account. (e)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142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8"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 (f) The Arrangers, the Persons listed as Co-Syndication Agents on the front page of this Agreement and the Persons listed as Co-Documentation Agents on the front page of this Agreement shall have no obligations or duties whatsoever in such capacity under this Agreement or any other Loan Document and shall incur no liability hereunder or thereunder in such capacity, but all such persons shall have the benefit of the indemnities provided for hereunder. (g) 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 (i)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2.12, 2.13, 2.15, 2.17 and 9.3) allowed in such judicial proceeding; and (ii) to collect and receive any monies or other property payable or deliverable on any such claims and to distribute the same; and any custodian, receiver, assignee, trustee,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Section 9.3). Nothing contained herein shall be deemed to authorize the Administrative Agent to authorize or consent to or accept or adopt on behalf of any Lender or Issuing Lender any plan of reorganization, arrangement, adjustment or composition affecting the Obligations or the rights of any Lender or Issuing Lender or to authorize the Administrative Agent to vote in respect of the claim of any Lender or Issuing Lender in any such proceeding. (h) The provisions of this Article are solely for the benefit of the Administrative Agent, the Lenders and the Issuing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143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69"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party hereto, will be deemed, by its acceptance of the benefits of the Collateral and of the Guarantees of the Obligations provided under the Loan Documents, to have agreed to the provisions of this Article. 9.2 Administrative Agent’s Reliance, Indemnification, Etc..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to perform its obligations hereunder or thereunder. (b) The Administrative Agent shall be deemed not to have knowledge of any Default unless and until written notice thereof (stating that it is a “notice of default”) is given to the Administrative Agent by the Borrower, a Lender or an Issuing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(c) Without limiting the foregoing, the Administrative Agent (i) may treat the payee of any promissory note as its holder until such promissory note has been assigned in accordance with Section 10.6, (ii) may rely on the Register to the extent set forth in Section 10.6(b),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Lender and shall not be responsible to any Lender or Issuing Lender for any statements, warranties or representations made by or on behalf of any Loan Party in connection with this Agreement or any other Loan Document, (v) in determining compliance with any condition hereunder to the 144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70"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making of a Loan, or the issuance of a Letter of Credit, that by its terms must be fulfilled to the satisfaction of a Lender or an Issuing Lender, may presume that such condition is satisfactory to such Lender or Issuing Lender unless the Administrative Agent shall have received notice to the contrary from such Lender or Issuing Lender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9.3 Posting of Communications. (a) The Borrower agrees that the Administrative Agent may, but shall not be obligated to, make any Communications available to the Lenders and the Issuing Lenders by posting the Communications on IntraLinks™, DebtDomain, SyndTrak, ClearPar or any other electronic platform chosen by the Administrative Agent to be its electronic transmission system (the “Approved Electronic Platform”). (b) 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Lenders and the Borrower hereby approves distribution of the Communications through the Approved Electronic Platform and understands and assumes the risks of such distribution. (c)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“APPLICABLE PARTIES”) HAVE ANY LIABILITY TO ANY LOAN PARTY, ANY LENDER, ANY ISSUING LENDER OR ANY OTHER PERSON OR ENTITY 145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71"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(d) 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or Issuing Lender’s (as applicable) email address to which the foregoing notice may be sent by electronic transmission and (ii) that the foregoing notice may be sent to such email address. (e) 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(f) Nothing herein shall prejudice the right of the Administrative Agent or any Lender to give any notice or other communication pursuant to any Loan Document in any other manner specified in such Loan Document. 9.4 The Administrative Agent Individually. With respect to its Commitment and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Lender, as the case may be. The terms “Lenders”, “Required Lenders” and any similar terms shall, unless the context clearly otherwise indicates, include the Administrative Agent in its individual capacity as a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Lenders. 9.5 Successor Administrative Agent. (a) The Administrative Agent may resign at any time by giving 30 days’ prior written notice thereof to the Lenders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either case, (i) such appointment shall be subject to the prior written approval of the Borrower (which approval may 146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72"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 be unreasonably withheld and shall not be required while an Event of Default has occurred and is continuing) and (ii) in no event shall a successor Administrative Agent be a Disqualified Lender.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(b) Notwithstanding paragraph (a) of this Section 9.5,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Security Document for the benefit of the Secured Parties, the retiring Administrative Agent shall continue to be vested with such security interest as collateral agent for the benefit of the Secured Parties, and continue to be entitled to the rights set forth in such Security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9.5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Article and Section 10.3,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 9.6 Acknowledgements of Lenders and Issuing Lenders. (a) Each Lender represents that (i) the Loan Documents set forth the terms of a commercial lending facility, (ii) in participating as a Lender, it is engaged in making, acquiring or holding commercial loans in the ordinary course of its business, and not for the purpose of investing in the general performance or operations of the Borrower or any Subsidiary thereof or for the purpose of purchasing, 147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73"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acquiring or holding any other type of financial instrument, such as a security (and each Lender hereby agrees not to assert a claim in contravention of the foregoing, such as a claim under the federal or state securities laws) and (iii) that it has, independently and without reliance upon the Administrative Agent, any Arranger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any Arranger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(b)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 9.7 Collateral Matters. (a) Except with respect to the exercise of setoff rights in accordance with Section 9.8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 (b) 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7.3.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9.8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148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74"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10.1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9.9 Certain ERISA Matters. (a) Each Lender (x) represents and warrants, as of the date such Person became a Lender party hereto, to, and (y) covenants, from the date such 149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75"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(i) such Lender is not using “plan assets” (within the meaning of the Plan Asset Regulations or otherwise)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(b) 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Collateral or the assets of such Lender involved in such Lender’s entrance into, participation in, administration of and 150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76"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of the Loans, the Letters of Credit, the Commitments and this Agreement (including in connection with the reservation or exercise of any rights by the Administrative Agent under this Agreement, any Loan Document or any documents related to hereto or thereto). SECTION 10. MISCELLANEOUS 10.1 Amendments and Waivers. Subject to Section 2.16(b) through (f) neither this Agreement, any other Loan Document, nor any terms hereof or thereof may be amended, supplemented or modified except in accordance with the provisions of this Section 10.1. The Required Lenders and each Loan Party party to the relevant Loan Document may, or, with the written consent of the Required Lenders, the Administrative Agent and each Loan Party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provided, however, that no such waiver and no such amendment, supplement or modification shall (i) forgive the principal amount or extend the final scheduled date of maturity of any Loan, reduce the stated rate of any interest or fee payable hereunder (except (x) in connection with the waiver of applicability of any post-default increase in interest rates (which waiver shall be effective with the consent of the Required Lenders) and (y) that any amendment or modification of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Commitment, in each case without the written consent of each Lender directly affected thereby; (ii) eliminate or reduce the voting rights of any Lender under this Section 10.1 without the written consent of such Lender; (iii) reduce any percentage specified in the definition of “Required Lenders” or “Supermajority Lenders” without the written consent of each Lender or change any other provision of this Agreement or any other Loan Document specifying the number or percentage of Lenders (or Lenders of any Facility) required to waive, amend or otherwise modify any rights thereunder or make any determination or grant any consent thereunder without the written consent of each Lender (or each Lender of the applicable Facility, as applicable), (iv) consent to the assignment or transfer by the Borrower of any of its rights and obligations under this Agreement and the other Loan Documents, release all or substantially all of the Collateral or release all or substantially all of the value of the guarantees provided by the Subsidiary Guarantors taken as a whole, in each case without the written consent of all Lenders; (v) amend, modify or waive any provision of Section 2.17 or Section 6.4 of the Guarantee and Collateral Agreement, in each case, without the written consent of each Lender adversely affected thereby; (vi) increase the advance rates set forth in the definition of “Borrowing Base” or add new categories of eligible assets, without the written consent of the Supermajority Lenders; (vii) modify eligibility criteria, as such eligibility criteria are in effect on the Closing Date (including adding new categories of eligible assets or eliminating any category of the Reserves in effect on the Closing Date; provided, however, that, for the avoidance of doubt, notwithstanding anything in this Section 10.1 to the contrary, the Administrative Agent may, in its Permitted Discretion and without the consent of any other Lenders, eliminate any category of Reserve that was added after the Closing 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77"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Borrower: with a copy to: Upbound Group, Inc. 5501 Headquarters Drive Plano, Texas 75024 Attention: Fahmi Karam, Chief Financial OfficerBryan Pechersky, General Counsel E-mail: Fahmi.Karam@upbound.bryan.pechersky@ren tacenter.com Sullivan &amp; Cromwell LLP 125 Broad Street New York, New York 10004 Attention: Ari B. Blaut Facsimile: (212) 291-9219 Date by the Administrative Agent) in any manner that has the effect of increasing the amounts available to be borrowed hereunder without the written consent of the Supermajority Lenders; (viii) amend, modify or waive any provision of Section 9 or any other provision of any Loan Document that affects the Administrative Agent without the written consent of the Administrative Agent; (ix) [reserved]; (x) amend, modify or waive any provision of Section 3 relating to the rights or obligations of the Issuing Lender without the written consent of the Issuing Lender; or (xi) amend the definition of “Interest Period” to include an additional tenor with respect to the Facility without the written consent of each Lender.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Furthermore, notwithstanding the foregoing, (i) the Administrative Agent, with the consent of the Borrower, may amend, modify or supplement any Loan Document without the consent of any Lender or the Required Lenders in order to correct, amend or cure any ambiguity, inconsistency or defect or correct any typographical error or other manifest error in any Loan Document and (ii) the Loan Documents may be amended in accordance with Section 2.24. 10.2 Notices. All notices, requests and demands to or upon the respective parties hereto to be effective shall be in writing (including by facsimile or e-mail), and, unless otherwise expressly provided herein, shall be deemed to have been duly given or made when delivered, or three Business Days after being deposited in the mail, postage prepaid, or, in the case of facsimile or e-mail notice, when sent (except that, if not given during normal business hours for the recipient, shall be deemed to have been given at the opening of business on the next Business Day for the recipient),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78"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2200 Ross Avenue, 9th Floor Dallas, Texas 75201 Attention: Alexander Vardaman Telephone: (214) 965-3275 E-mail: alexander.vardaman@jpmorgan.com E-mail: blauta@sullcrom.com Administrative Agent: Notices and other communications to the Lenders hereunder may be delivered or furnished by electronic communications pursuant to procedures approved by the Administrative Agent; provided that the foregoing shall not apply to notices delivered to any Lender pursuant to Section 2 if such Lender has notified the Administrative Agent that it is incapable of receiving notices under such Section by electronic communication.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 10.3 No Waiver; Cumulative Remedies.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10.4 Survival of Representations and Warranties.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10.5 Payment of Expenses and Taxes; Indemnification; Limitation of Liability. The Borrower agrees (a) to pay or reimburse the Administrative Agent and the Arrangers for all of their respective reasonable and documented out-of-pocket costs and expenses incurred in connection with the syndication of the Commitments and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and documented fees, disbursements and other charges of one primary counsel to the Administrative Agent and the Arrangers and, if necessary, one local counsel in each applicable jurisdiction and filing and recording fees and expenses, with statements with respect to the foregoing to be submitted to the Borrower prior to the Closing Date (in the case of amounts to be paid on the Closing Date) and from time to time thereafter on a quarterly basis or such other periodic basis as the Administrative Agent shall deem appropriate, (b) to pay or reimburse each Lender, the Issuing Lender and the Administrative Agent for its reasonable and documented costs and out-of-pocket expenses incurred in connection with the enforcement or JPMorgan Chase Bank, 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79"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preservation of any rights under this Agreement, the other Loan Documents and any such other documents, including reasonable and documented fees, disbursements and other charges of counsel to the Administrative Agent and the Lenders and including the reasonable and documented costs and expenses incurred during any workout, restructuring or negotiations (it being understood that expenses reimbursed by the Borrower under this Section 10.5 shall include costs and expenses incurred in connection with (1) appraisals, environmental reviews and insurance reviews, (2) field examinations pursuant to Section 6.6 and the preparation of Reports in connection therewith based on the fees charged by a third party retained by the Administrative Agent or the internally allocated fees for each Person employed by the Administrative Agent with respect to each field examination. and (3) forwarding loan proceeds, collecting checks and other items of payment and establishing and maintaining the accounts and lock boxes, and costs and expenses of preserving and protecting the Collateral), (c) to pay, indemnify, and hold each Lender, the Issuing Lender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 indemnify, and hold each Lender, the Issuing Lender, the Arrangers and each Agent, their respective affiliates, and their respective officers, directors, employees, agents, advisors and controlling persons (each, an “Indemnitee”) harmless from and against any and all other liabilities, obligations, losses, claims, damages, penalties, actions, judgments, suits, costs or expenses (including the reasonable and documented fees, disbursements and other charges of counsel) of any kind or nature whatsoever with respect to the execution, delivery, enforcement, performance and administration of this Agreement, the other Loan Documents and any such other documents, including any claim, litigation, investigation or proceeding regardless of whether any Indemnitee is a party thereto and whether or not the same are brought by the Borrower, its equity holders, affiliates or creditors or any other Person, including any of the foregoing relating to the use of proceeds of the Loans or Letters of Credit (including any refusal by the Issuing Lender to honor a demand for payment under a Letter of Credit if the documents presented in connection with such demand do not strictly comply with the terms of such Letter of Credit) or the violation of, noncompliance with or liability under, any Environmental Law applicable to any Group Member or its operations or properties, and the reasonable and documented fees, disbursements and other charges of legal counsel (limited to reasonable and documented fees, disbursements and other charges of one primary counsel for all Indemnitees, taken as a whole, and, if necessary, one firm of local counsel in each applicable jurisdiction (which may include a single special counsel acting in multiple jurisdictions) for all Indemnitees, taken as a whole, and one firm of special regulatory counsel for all Indemnitees, taken as a whole (and, in the case of an actual or potential conflict of interest, where an Indemnitee affected by such conflict informs the Borrower of such conflict and thereafter retains its own counsel, of another firm of counsel for all such affected Indemnitees similarly situated and, if necessary, one firm of local counsel in each applicable jurisdiction (which may include a single special counsel acting in multiple jurisdictions) for all such affected Indemnitees similarly situated) and one firm of special regulatory counsel for all such affected Indemnitees similarly situated) in connection with claims, actions or proceedings by any Indemnitee against any Loan Party under any Loan Document (all the foregoing in this clause (d), collectively, the “Indemnified Liabilities”), 154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80"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provided, that the Borrower shall have no obligation hereunder to any Indemnitee with respect to Indemnified Liabilities to the extent such Indemnified Liabilities are found by a final and nonappealable decision of a court of competent jurisdiction to have resulted from (x) the bad faith, gross negligence or willful misconduct of such Indemnitee (or any of its Affiliates, officers, directors, employees, agents, advisors or controlling persons), (y) a material breach by such Indemnitee of its obligations under the Loan Documents or (z) disputes or proceedings that are brought by an Indemnitee against any other Indemnitee (other than any claims against any Arranger or Agent in its capacity or in fulfilling its roles as an Arranger or Agent hereunder or any similar role with respect to any Facility) to the extent such disputes do not arise from any act or omission of any Loan Party or any of its Affiliates, and provided, further, that this Section 10.5(d) shall not apply with respect to Taxes other than any Taxes that represent losses or damages arising from any non-Tax claim. Except as provided in this Section 10.5, and to the extent permitted by applicable law, the Borrower agrees not to assert and to cause its Subsidiaries not to assert, and hereby waives and agrees to cause its Subsidiaries to waive, all rights for contribution with respect to all claims, demands, penalties, fines, liabilities, settlements, damages, costs and expenses of whatever kind or nature, arising under any Environmental Laws, that any of them has by statute or otherwise against any Indemnitee. To the extent permitted by applicable law (i) the Borrower shall not assert, and the Borrower hereby waives, any claim against the Administrative Agent, any Arranger, and any Lender, and any Related Party of any of the foregoing Persons (each such Person being called a “Lender-Related Person”) for any Liabilities arising from the use by others of information or other materials (including any personal data) obtained through telecommunications, electronic or other information transmission systems (including the Internet), except to the extent such Liabilities are found by a final and nonappealable decision of a court of competent jurisdiction to have resulted from (x) the bad faith, gross negligence or willful misconduct of such Person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provided that, nothing in this paragraph shall relieve the Borrower of any obligation it may have to indemnify an Indemnitee, as provided in the foregoing paragraph, against any special, indirect, consequential or punitive damages asserted against such Indemnitee by a third party. All amounts due under this Section 10.5 shall be payable not later than 30 days after written demand therefor together with reasonably detailed backup documentation. The agreements in this Section 10.5 shall survive the termination of this Agreement and the repayment of the Loans and all other amounts payable hereunder. 10.6 Successors and Assigns; Participations and Assignments. (a) The provisions of this Agreement shall be binding upon and inure to the benefit of the parties hereto and their respective successors and assigns permitted hereby (including any affiliate of the Issuing Lender that issues any Letter of Credit), except that (i) the Borrower may not assign or otherwise transfer any of its rights or obligations hereunder without the prior written consent of each Lender (and any attempted assignment or transfer by the Borrower without such consent 155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81"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be null and void) and (ii) no Lender may assign or otherwise transfer its rights or obligations hereunder except in accordance with this Section 10.6. (b) (i) Subject to the conditions set forth in paragraph (b)(ii) below, any Lender may assign to one or more Eligible Assignees (each, an “Assignee”), all or a portion of its rights and obligations under this Agreement (including all or a portion of its Commitments and the Loans at the time owing to it) with the prior written consent (such consent not to be unreasonably withheld, delayed or conditioned) of: (A) the Borrower, provided that no consent of the Borrower shall be required for an assignment to a Lender, an affiliate of a Lender, an Approved Fund (as defined below) or, if a Specified Event of Default has occurred and is continuing, any other Person; and provided, further, that the Borrower shall be deemed to have consented to any such assignment unless the Borrower shall expressly object thereto by written notice to the Administrative Agent within 10 Business Days after having received notice thereof; (B) the Administrative Agent, provided that no consent of the Administrative Agent shall be required for an assignment of all or any portion of its Commitment or Loan to a Lender, an Affiliate of a Lender or an Approved Fund; and (C) the Issuing Lender. (ii) Assignments shall be subject to the following additional conditions: (A) except in the case of an assignment to a Lender, an affiliate of a Lender or an Approved Fund or an assignment of the entire remaining amount of the assigning Lender’s Commitments or Loans, the amount of the Commitments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provided that (1) no such consent of the Borrower shall be required if a Specified Event of Default has occurred and is continuing and (2) such amounts shall be aggregated in respect of each Lender and its affiliates or Approved Funds, if any; (B) (1) the parties to each assignment shall execute and deliver to the Administrative Agent an Assignment and Assumption, together with a processing and recordation fee 156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82"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$3,500 and (2) the assigning Lender shall have paid in full any amounts owing by it to the Administrative Agent; and (C)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For the purposes of this Section 10.6, “Approved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(iii) 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 (iv)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Commitments of, and principal amount (and stated interest) of the Loans and L/C Obligations owing, to each Lender pursuant to the terms hereof from time to time (the “Register”). The entries in the Register shall be conclusive absent manifest error, and the Borrower, the Administrative Agent, the Issuing Lender and the Lenders shall treat each Person whose name is recorded in the Register pursuant to the terms 157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83"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hereof as a Lender hereunder for all purposes of this Agreement, notwithstanding notice to the contrary. (v)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 (vi) Each assignee, by its execution and delivery of an Assignment and Assumption, shall be deemed to have represented to the assigning Lender and the Administrative Agent that such assignee is an Eligible Assignee. In no event shall the Administrative Agent be obligated to ascertain, monitor or inquire as to whether any prospective assignee is an Eligible Assignee or have any liability with respect to any assignment made to a Disqualified Lender or any other Person that is not an Eligible Assignee. (c) Any Lender may, without the consent of or notice to the Borrower, the Administrative Agent or the Issuing Lender, sell participations to one or more Eligible Assignees (a “Participant”) in all or a portion of such Lender’s rights and obligations under this Agreement (including all or a portion of its Commitments and the Loans owing to it); provided that (i) such Lender’s obligations under this Agreement shall remain unchanged, (ii) such 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provided that such agreement may provide that such Lender will not, without the consent of the Participant, agree to any amendment, modification or waiver that (i) requires the consent of each Lender directly affected thereby pursuant to the proviso to the second sentence of Section 10.1 and (ii) directly affects such Participant. Each Lender that sells a participation agrees, at the Borrower’s request and expense, to use reasonable efforts to cooperate with the Borrower to effectuate the provisions of Section 2.22 with respect to any Participant. The Borrower agrees that each Participant shall be entitled to the benefits of Sections 2.18, 2.19 and 2.20 (subject to the requirements and limitations therein, including the requirements under Section 2.19(f) (it being understood that the documentation required under Section 2.19(f) shall be delivered to the participating Lender)) to the same extent as if it were a Lender and had acquired its interest by assignment pursuant to paragraph (b) of this Section 10.6; provided that such Participant (i) agrees to be subject to the provisions of Sections 2.18 and 2.19 as if it were an assignee under paragraph (b) of this Section 10.6 and (ii) shall not be entitled to receive any greater payment under Sections 2.18 or 2.19, with respect to any participation, than its participating Lender would have been entitled to receive, except to the extent that such entitlement to receive a greater 158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84"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payment results from an adoption of or any change in any Requirement of Law or in the interpretation or application thereof or compliance by any Lender with any request or directive (whether or not having the force of law) from any central bank or other Governmental Authority made subsequent to the Closing Date that occurs after the Participant acquired the applicable participation. To the extent permitted by law, each Participant also shall be entitled to the benefits of Section 10.7(b) as though it were a Lender, provided such Participant shall be subject to Section 10.7(a)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(d) Any Lender may at any time pledge or assign a security interest in all or any portion of its rights under this Agreement to secure obligations of such Lender, including any pledge or assignment to secure obligations to a Federal Reserve Bank or any other central banking authority, and this Section 10.6 shall not apply to any such pledge or assignment of a security interest; provided that no such pledge or assignment of a security interest shall release a Lender from any of its obligations hereunder or substitute any such pledgee or Assignee for such Lender as a party hereto. The Borrower, upon receipt of written notice from the relevant Lender, agrees to issue Notes to any Lender requiring Notes to facilitate transactions of the type described in this paragraph (d). (e) [Reserved]. (f) The list of Disqualified Lenders (i) shall be made available to the Lenders by posting on IntraLinks/IntraAgency or another relevant Internet or intranet website, if any, to which each Lender and the Administrative Agent have access (whether a commercial, third-party website or whether sponsored by the Administrative Agent) and (ii) shall be provided to any Lender upon request by such Lender to the Administrative Agent. A Lender may provide the list of Disqualified Lenders to any potential assignee or participant on a confidential basis in accordance with Section 10.15 hereof for the purpose of verifying whether such Person is a Disqualified Lender. (g) (i) If any assignment or participation is made to any Disqualified Lender in violation of this Section 10.6, the Borrower may, at its sole expense and effort, upon notice to the applicable Disqualified Lender and the Administrative Agent, (A) purchase or prepay such Loan by paying the lowest of (x) the principal amount thereof and (y) the amount that such 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85"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Disqualified Lender paid to acquire such Loans, in each case plus accrued interest, accrued fees and all other amounts (other than principal amounts) payable to it hereunder and/or (B) require such Disqualified Lender to assign, without recourse (in accordance with and subject to the restrictions contained in this Section 10.6), all of its interest, rights and obligations under this Agreement to one or more Eligible Assignees at the lowest of (x) the principal amount thereof and (y) the amount that such Disqualified Lender paid to acquire such interests, rights and obligations, in each case plus accrued interest, accrued fees and all other amounts (other than principal amounts) payable to it hereunder. (ii) Notwithstanding anything to the contrary contained in this Agreement, Disqualified Lenders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 consented to such matter, and (y) for purposes of voting on any Bankruptcy Plan, each Disqualified Lender party hereto hereby agrees (1) not to vote on such Bankruptcy Plan, (2) if such Disqualified Lender does vote on such Bankruptcy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Bankruptcy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 10.7 Adjustments; Set-off. (a) Except to the extent that this Agreement or a court order expressly provides for payments to be allocated to a particular Lender, if any Lender (a “Benefitted Lender”) shall receive any payment of all or part of the Obligations owing to it (other than in connection with an assignment made pursuant to Section 10.6),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provided, however, that if all or any portion of such excess payment or benefits is thereafter recovered from such Benefitted Lender, such purchase shall be rescinded, and the purchase price and benefits returned, to the extent of such recovery, but without interest; provided further, that to the extent prohibited by applicable law as described 160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86"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definition of “Excluded Swap Obligation,” no amounts received from, or set-off with respect to, any Subsidiary Guarantor shall be applied to any Excluded Swap Obligations of such Subsidiary Guarantor. (b) In addition to any rights and remedies of the Lenders provided by law, each Lender shall have the right,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provided that if any Defaulting Lender shall exercise any such right of setoff (i) all amounts so set-off shall be paid over immediately to the Administrative Agent for further application in accordance with the provisions of this Agreement and, pending such payment, shall be segregated by such Defaulting Lender from its other funds and deemed held in trust for the benefit of the Administrative Agent, the Issuing Lender and the Lenders and (ii) the Defaulting Lender shall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application made by such Lender, provided that the failure to give such notice shall not affect the validity of such application. 10.8 Counterparts; Electronic Execution. This Agreement may be executed by one or more of the parties to this Agreement on any number of separate counterparts, and all of said counterparts taken together shall be deemed to constitute one and the same instrument.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161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87"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A set of the copies of this Agreement signed by all the parties shall be lodged with the Borrower and the Administrative Agent. Without limiting the generality of the foregoing, the Borrower and each Loan Party hereby (i) agrees that, for all purposes, including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 10.9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10.10 Integration.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10.11 GOVERNING LAW. THIS AGREEMENT AND THE RIGHTS AND OBLIGATIONS OF THE PARTIES UNDER THIS AGREEMENT SHALL BE GOVERNED BY, AND CONSTRUED AND INTERPRETED IN ACCORDANCE WITH, THE LAW OF THE STATE OF NEW YORK. 162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88"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10.12 Submission To Jurisdiction; Waivers. Each of the parties hereto hereby irrevocably and unconditionally: (a) submits for itself and its property in any legal action or proceeding relating to this Agreement and the other Loan Documents to which it is a party, or for recognition and enforcement of any judgment in respect thereof,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provided, that nothing contained herein or in any other Loan Document will prevent any Lender or the Administrative Agent from bringing any action to enforce any award or judgment or exercise any right under the Security Documents or against any Collateral or any other property of any Loan Party in any other forum in which jurisdiction can be established; (b)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(c) agrees that service of process in any such action or proceeding may be effected by mailing a copy thereof by registered or certified mail (or any substantially similar form of mail), postage prepaid, in the manner set forth in Section 10.2; (d) agrees that nothing herein shall affect the right to effect service of process in any other manner permitted by law; and (e) waives, to the maximum extent not prohibited by law, any right it may have to claim or recover in any legal action or proceeding referred to in this Section 10.12 any indirect, special, exemplary, punitive or consequential damages. 10.13 Acknowledgements. The Borrower hereby acknowledges and agrees that (a) no fiduciary, advisory or agency relationship between the Loan Parties and the Credit Parties is intended to be or has been created in respect of any of the transactions contemplated by this Agreement or the other Loan Documents, irrespective of whether the Credit Parties have advised or are advising the Loan Parties on other matters, and the relationship between the Credit Parties, on the one hand, and the Loan Parties, on the other hand, in connection herewith and therewith is solely that of creditor and debtor, (b) the Credit Parties, on the one hand, and the Loan Parties, on the other hand, have an arm’s length business relationship that does not directly or indirectly give rise to, nor do the Loan Parties rely on, any fiduciary duty to the Loan Parties or their affiliates on the part of the Credit Parties, (c) the Loan Parties are capable of evaluating and understanding, and the Loan Parties understand and accept, the terms, risks and conditions of the transactions contemplated by this Agreement and the other Loan Documents, (d) the Loan Parties have been advised that the Credit Parties are engaged in a broad range of transactions that may involve interests that differ from the Loan Parties’ interests and that the Credit Parties have no obligation to disclose such interests and transactions to the Loan Parties, (e) the Loan Parties have consulted their own legal, accounting, regulatory and tax advisors to the extent the Loan 163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89"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Parties have deemed appropriate in the negotiation, execution and delivery of this Agreement and the other Loan Documents, (f) each Credit Party has been, is, and will be acting solely as a principal and, except as otherwise expressly agreed in writing by it and the relevant parties, has not been, is not, and will not be acting as an advisor, agent or fiduciary for the Loan Parties, any of their affiliates or any other Person, (g) none of the Credit Parties has any obligation to the Loan Parties or their affiliates with respect to the transactions contemplated by this Agreement or the other Loan Documents except those obligations expressly set forth herein or therein or in any other express writing executed and delivered by such Credit Party and the Loan Parties or any such affiliate and (h) no joint venture is created hereby or by the other Loan Documents or otherwise exists by virtue of the transactions contemplated hereby among the Credit Parties or among the Loan Parties and the Credit Parties. 10.14 Releases of Guarantees and Liens. (a) Upon any sale, transfer or other Disposition by any Loan Party (other than any such sale, transfer or other Disposition to another Loan Party) of any Collateral in a transaction permitted by this Agreement, including in connection with a Qualified Securitization Transaction, or upon the effectiveness of any written consent to the release of the security interest in any Collateral created under any Security Document pursuant to Section 10.1, the security interests in such Collateral created by the Security Documents shall be automatically released. In connection with any termination or release pursuant to this clause (a), the Administrative Agent shall execute and deliver to any Loan Party, at such Loan Party’s expense, all documents that such Loan Party shall reasonably request to evidence such release. (b) At such time as the Loans, the Reimbursement Obligations and the other obligations under the Loan Documents (other than indemnification or reimbursement obligations under Sections 2.18, 2.19(a), 2.19(d) or 2.20 for which the Borrower has not been notified and contingent indemnification obligations, Banking Services Obligations and Secured Swap Obligations) shall have been paid in full and the Commitments have been terminated and no Letters of Credit shall be outstanding (other than Letters of Credit cash collateralized or otherwise backstopped in a manner satisfactory to the applicable Issuing Lender and the Administrative Agent),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delivery of any instrument or performance of any act by any Person. In connection with any termination or release pursuant to this clause (b), the Administrative Agent shall execute and deliver to any Loan Party, at such Loan Party’s expense, all documents that such Loan Party shall reasonably request to evidence such termination or release. (c) Notwithstanding anything to the contrary contained herein or in any other Loan Document, the Administrative Agent is hereby irrevocably authorized by each Lender (without requirement of notice to or consent of any Lender except as expressly required by Section 10.1) to take any action requested by the Borrower having the effect of releasing any Collateral or guarantee obligations (i) to the extent necessary to permit consummation of any transaction not prohibited by any Loan Document or that has been consented to in accordance with Section 10.1 or (ii) under the circumstances described in paragraphs (a) or (b) above. 164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90"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10.15 Confidentiality. Each of the Administrative Agent and each Lender agrees to keep confidential all non-public information provided to it by any Loan Party, the Administrative Agent or any Lender pursuant to or in connection with this Agreement; provided that nothing herein shall prevent the Administrative Agent or any Lender from disclosing any such information (a) to the Administrative Agent, any other Lender or any affiliate thereof, (b) subject to an agreement to comply with the provisions of this Section 10.15, to any actual or prospective Transferee or any direct or indirect counterparty to any Swap Agreement (or any professional advisor to such counterparty), (c) to its employees, directors, agents, attorneys, accountants and other professional advisors or those of any of its affiliates, in each case, who are bound to maintain the confidentiality of such information, (d) upon the request or demand of any Governmental Authority or in response to any order or subpoena of any court or other Governmental Authority or as may otherwise be required pursuant to any Requirement of Law, (e) that has been publicly disclosed not in breach of this Section 10.15 or becomes available to the Administrative Agent or such Lender on a non-confidential basis from a source that is not to the Administrative Agent’s or such Lender’s knowledge subject to confidentiality obligations to any Loan Party, (f) to the National Association of Insurance Commissioners or any similar organization or any nationally recognized rating agency that requires access to information about a Lender’s investment portfolio in connection with ratings issued with respect to such Lender, (g) in connection with the exercise of any remedy hereunder or under any other Loan Document, (h) to data service providers (including league table providers) that serve the lending industry to the extent such information is of the type customarily provided to such providers, (i) to credit insurers or (j) if agreed by the Borrower in its sole discretion, to any other Person. 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All information, including requests for waivers and amendments, furnished by the Borrower or the Administrative Agent pursuant to, or in the course of administering, this Agreement or 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The Borrower represents and warrants that it and its Subsidiaries either (i) have no registered or publicly traded securities outstanding, or (ii) files its financial statements with the SEC and/or makes its financial statements available to potential holders of its 144A securities, and, accordingly, the Borrower hereby (i) authorizes the Administrative Agent to make the financial statements to be provided under Section 6.1(a) and (b), along with the Loan Documents, available to Public-Siders and (ii) agrees that at the time such financial statements are provided hereunder, they shall already have been made available to holders of its securities. The Borrower will not request that any other material be posted to Public-Siders without 165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91"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expressly representing and warranting to the Administrative Agent in writing that such materials do not constitute material non-public information within the meaning of the federal securities laws or that the Borrower and its Subsidiaries have no outstanding publicly traded securities, including 144A securities. For the avoidance of doubt, the Projections and monthly financial statements provided pursuant to Section 6.1(c) shall not be posted to Public-Siders. The Borrower hereby acknowledges that (a) the Administrative Agent will make available to the Lenders materials and/or information provided by or on behalf of the Loan Parties hereunder (collectively, the “Borrower Materials”) by posting the Borrower Materials on IntraLinks/IntraAgency or another similar electronic system (the “Platform”) and (b) certain of the Lenders may be Public-Siders. If any Borrower Materials are designated by the Loan Parties as “PRIVATE”, such Borrower Materials will not be made available to that portion of the Platform designated “Public Investor,” which is intended to contain only information that is either publicly available or not material information (though it may be sensitive and proprietary) with respect to Borrower, its Subsidiaries or their securities for purposes of federal and state securities laws. The Administrative Agent shall be entitled to treat any Borrower Materials that are not marked “PRIVATE” or “CONFIDENTIAL” as not containing any material non-public information with respect to the Borrower, its Subsidiaries or their securities for purposes of federal and state securities laws. 10.16 WAIVERS OF JURY TRIAL. THE BORROWER, THE ADMINISTRATIVE AGENT AND THE LENDERS HEREBY IRREVOCABLY AND UNCONDITIONALLY WAIVE TRIAL BY JURY IN ANY LEGAL ACTION OR PROCEEDING RELATING TO THIS AGREEMENT OR ANY OTHER LOAN DOCUMENT AND FOR ANY COUNTERCLAIM THEREIN. 10.17 USA Patriot Act. Each Lender hereby notifies the Borrower that pursuant to the requirements of the USA Patriot Act (Title III of Pub. L. 107-56 (signed into law October 26, 2001)) (the “Patriot Act”), it is required to obtain, verify and record information that identifies the Borrower, which information includes the name and address of the Borrower and other information that will allow such Lender to identify the Borrower in accordance with the Patriot Act. 10.18 Intercreditor Agreement. Each Lender hereby authorizes and directs the Administrative Agent (a) to enter into the Intercreditor Agreement on its behalf, perform the Intercreditor Agreement on its behalf and take any actions thereunder as determined by the Administrative Agent to be necessary or advisable to protect the interest of the Lenders, and each Lender agrees to be bound by the terms of the Intercreditor Agreement and (b) to enter into any other intercreditor agreement reasonably satisfactory to the Administrative Agent on its behalf with respect to Indebtedness permitted to be incurred and secured under this Agreement, perform such intercreditor agreement on its behalf and take any actions thereunder as determined by the Administrative Agent to be necessary or advisable to protect the interests of the Lenders, in each case with respect to this clause (b) which intercreditor agreement is expressly required under this Agreement or the Administrative Agent deems necessary or advisable to protect the interests of the Lenders, and each Lender agrees to be bound by the terms of such intercreditor agreement. Each Lender acknowledges that the Intercreditor Agreement governs, among other things, Lien 166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92"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priorities and rights of the Lenders and the Fixed Asset Secured Parties with respect to the Collateral, including the Fixed Asset Priority Collateral. 10.19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10.20 Acknowledgement Regarding Any Supported QFCs. To the extent that the Loan Documents provide support, through a guarantee or otherwise, for hedging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167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93"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[Remainder of this page intentionally left blank. Signature pages follow.] 168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31.1</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 Fahmi W. Karam, certify that: </w:t>
      </w:r>
    </w:p>
    <w:p>
      <w:pPr>
        <w:pStyle w:val="TextBody"/>
        <w:bidi w:val="0"/>
        <w:spacing w:lineRule="auto" w:line="288" w:before="0" w:after="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Upbound Group, Inc.;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30, 2025 </w:t>
      </w:r>
    </w:p>
    <w:p>
      <w:pPr>
        <w:pStyle w:val="TextBody"/>
        <w:bidi w:val="0"/>
        <w:spacing w:lineRule="auto" w:line="288" w:before="0" w:after="0"/>
        <w:jc w:val="left"/>
        <w:rPr/>
      </w:pPr>
      <w:r>
        <w:rPr>
          <w:rFonts w:ascii="Times New Roman;serif" w:hAnsi="Times New Roman;serif"/>
          <w:b w:val="false"/>
          <w:color w:val="000000"/>
          <w:sz w:val="20"/>
          <w:u w:val="single"/>
        </w:rPr>
        <w:t>/s/ Fahmi W. Karam</w:t>
      </w: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Fahmi W. Karam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31.2</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 Fahmi W. Karam, certify that: </w:t>
      </w:r>
    </w:p>
    <w:p>
      <w:pPr>
        <w:pStyle w:val="TextBody"/>
        <w:bidi w:val="0"/>
        <w:spacing w:lineRule="auto" w:line="288" w:before="0" w:after="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Upbound Group, Inc.;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30, 2025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Fahmi W. Karam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Fahmi W. Karam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32.1</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CERTIFICATION PURSUANT TO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18 U.S.C. SECTION 1350,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AS ADOPTED PURSUANT TO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SECTION 906 OF THE SARBANES-OXLEY ACT OF 2002</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In connection with the Quarterly Report on Form 10-Q of Upbound Group, Inc. (the "</w:t>
      </w:r>
      <w:r>
        <w:rPr>
          <w:rFonts w:ascii="Times New Roman;serif" w:hAnsi="Times New Roman;serif"/>
          <w:b/>
          <w:i/>
          <w:color w:val="000000"/>
          <w:sz w:val="24"/>
        </w:rPr>
        <w:t>Company</w:t>
      </w:r>
      <w:r>
        <w:rPr>
          <w:rFonts w:ascii="Times New Roman;serif" w:hAnsi="Times New Roman;serif"/>
          <w:b w:val="false"/>
          <w:color w:val="000000"/>
          <w:sz w:val="24"/>
        </w:rPr>
        <w:t>") for the period ended September 30, 2025, as filed with the Securities and Exchange Commission on the date hereof (the "</w:t>
      </w:r>
      <w:r>
        <w:rPr>
          <w:rFonts w:ascii="Times New Roman;serif" w:hAnsi="Times New Roman;serif"/>
          <w:b/>
          <w:i/>
          <w:color w:val="000000"/>
          <w:sz w:val="24"/>
        </w:rPr>
        <w:t>Report</w:t>
      </w:r>
      <w:r>
        <w:rPr>
          <w:rFonts w:ascii="Times New Roman;serif" w:hAnsi="Times New Roman;serif"/>
          <w:b w:val="false"/>
          <w:color w:val="000000"/>
          <w:sz w:val="24"/>
        </w:rPr>
        <w:t xml:space="preserve">"), I, Fahmi W. Karam, Chief Executive Officer and Director of the Company, hereby certify, pursuant to 18 U.S.C. Section 1350, as adopted pursuant to Section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(1) </w:t>
      </w:r>
      <w:r>
        <w:rPr>
          <w:color w:val="000000"/>
        </w:rPr>
        <w:t>    </w:t>
      </w:r>
      <w:r>
        <w:rPr>
          <w:rFonts w:ascii="Times New Roman;serif" w:hAnsi="Times New Roman;serif"/>
          <w:b w:val="false"/>
          <w:color w:val="000000"/>
          <w:sz w:val="24"/>
        </w:rPr>
        <w:t xml:space="preserve">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(2) </w:t>
      </w:r>
      <w:r>
        <w:rPr>
          <w:color w:val="000000"/>
        </w:rPr>
        <w:t>    </w:t>
      </w:r>
      <w:r>
        <w:rPr>
          <w:rFonts w:ascii="Times New Roman;serif" w:hAnsi="Times New Roman;serif"/>
          <w:b w:val="false"/>
          <w:color w:val="000000"/>
          <w:sz w:val="24"/>
        </w:rPr>
        <w:t xml:space="preserve">The information contained in the Report fairly presents, in all material respects, the financial condition and results of operations of the Company. </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 Fahmi W. Karam</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Fahmi W. Karam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 and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Dated: October 30, 2025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color w:val="000000"/>
        </w:rPr>
        <w:t xml:space="preserve"> </w:t>
      </w:r>
      <w:r>
        <w:rPr>
          <w:rFonts w:ascii="Times New Roman;serif" w:hAnsi="Times New Roman;serif"/>
          <w:b w:val="false"/>
          <w:color w:val="000000"/>
          <w:sz w:val="24"/>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32.2</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CERTIFICATION PURSUANT TO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18 U.S.C. SECTION 1350,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AS ADOPTED PURSUANT TO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SECTION 906 OF THE SARBANES-OXLEY ACT OF 2002</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In connection with the Quarterly Report on Form 10-Q of Upbound Group, Inc. (the "</w:t>
      </w:r>
      <w:r>
        <w:rPr>
          <w:rFonts w:ascii="Times New Roman;serif" w:hAnsi="Times New Roman;serif"/>
          <w:b/>
          <w:i/>
          <w:color w:val="000000"/>
          <w:sz w:val="24"/>
        </w:rPr>
        <w:t>Company</w:t>
      </w:r>
      <w:r>
        <w:rPr>
          <w:rFonts w:ascii="Times New Roman;serif" w:hAnsi="Times New Roman;serif"/>
          <w:b w:val="false"/>
          <w:color w:val="000000"/>
          <w:sz w:val="24"/>
        </w:rPr>
        <w:t>") for the period ended September 30, 2025, as filed with the Securities and Exchange Commission on the date hereof (the "</w:t>
      </w:r>
      <w:r>
        <w:rPr>
          <w:rFonts w:ascii="Times New Roman;serif" w:hAnsi="Times New Roman;serif"/>
          <w:b/>
          <w:i/>
          <w:color w:val="000000"/>
          <w:sz w:val="24"/>
        </w:rPr>
        <w:t>Report</w:t>
      </w:r>
      <w:r>
        <w:rPr>
          <w:rFonts w:ascii="Times New Roman;serif" w:hAnsi="Times New Roman;serif"/>
          <w:b w:val="false"/>
          <w:color w:val="000000"/>
          <w:sz w:val="24"/>
        </w:rPr>
        <w:t xml:space="preserve">"), I, Fahmi W. Karam, Chief Financial Officer of the Company, hereby certify, pursuant to 18 U.S.C. Section 1350, as adopted pursuant to Section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(1) </w:t>
      </w:r>
      <w:r>
        <w:rPr>
          <w:color w:val="000000"/>
        </w:rPr>
        <w:t>    </w:t>
      </w:r>
      <w:r>
        <w:rPr>
          <w:rFonts w:ascii="Times New Roman;serif" w:hAnsi="Times New Roman;serif"/>
          <w:b w:val="false"/>
          <w:color w:val="000000"/>
          <w:sz w:val="24"/>
        </w:rPr>
        <w:t xml:space="preserve">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(2) </w:t>
      </w:r>
      <w:r>
        <w:rPr>
          <w:color w:val="000000"/>
        </w:rPr>
        <w:t>    </w:t>
      </w:r>
      <w:r>
        <w:rPr>
          <w:rFonts w:ascii="Times New Roman;serif" w:hAnsi="Times New Roman;serif"/>
          <w:b w:val="false"/>
          <w:color w:val="000000"/>
          <w:sz w:val="24"/>
        </w:rPr>
        <w:t xml:space="preserve">The information contained in the Report fairly presents, in all material respects, the financial condition and results of operations of the Company. </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 Fahmi W. Karam</w:t>
      </w: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Fahmi W. Karam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Dated: October 30, 2025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color w:val="000000"/>
        </w:rPr>
        <w:t xml:space="preserve"> </w:t>
      </w:r>
      <w:r>
        <w:rPr>
          <w:rFonts w:ascii="Times New Roman;serif" w:hAnsi="Times New Roman;serif"/>
          <w:b w:val="false"/>
          <w:color w:val="000000"/>
          <w:sz w:val="24"/>
        </w:rPr>
        <w:t>The foregoing certification is being furnished solely pursuant to 18 U.S.C. Section 1350 and is not being filed as part of the Report or as a separate disclosure document.</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33036/000110465925015482/tm256884d2_ex3-1.htm" TargetMode="External"/><Relationship Id="rId3" Type="http://schemas.openxmlformats.org/officeDocument/2006/relationships/hyperlink" Target="https://www.sec.gov/Archives/edgar/data/933036/000110465924068516/tm2415591d1_10-3.htm" TargetMode="External"/><Relationship Id="rId4" Type="http://schemas.openxmlformats.org/officeDocument/2006/relationships/hyperlink" Target="https://www.sec.gov/Archives/edgar/data/933036/000110465924068516/tm2415591d1_10-2.htm" TargetMode="External"/><Relationship Id="rId5" Type="http://schemas.openxmlformats.org/officeDocument/2006/relationships/hyperlink" Target="https://www.sec.gov/Archives/edgar/data/933036/000110465925015482/tm256884d2_ex4-1.htm" TargetMode="External"/><Relationship Id="rId6" Type="http://schemas.openxmlformats.org/officeDocument/2006/relationships/hyperlink" Target="https://www.sec.gov/Archives/edgar/data/933036/000110465923068936/tm2316186d1_ex4-6.htm" TargetMode="External"/><Relationship Id="rId7" Type="http://schemas.openxmlformats.org/officeDocument/2006/relationships/hyperlink" Target="https://www.sec.gov/Archives/edgar/data/933036/000110465921024846/tm216741d1_ex4-1.htm" TargetMode="External"/><Relationship Id="rId8" Type="http://schemas.openxmlformats.org/officeDocument/2006/relationships/hyperlink" Target="https://www.sec.gov/Archives/edgar/data/933036/000110465925080284/tm2523851d1_ex10-1.htm"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jpeg"/><Relationship Id="rId78" Type="http://schemas.openxmlformats.org/officeDocument/2006/relationships/image" Target="media/image70.jpeg"/><Relationship Id="rId79" Type="http://schemas.openxmlformats.org/officeDocument/2006/relationships/image" Target="media/image71.jpe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jpeg"/><Relationship Id="rId83" Type="http://schemas.openxmlformats.org/officeDocument/2006/relationships/image" Target="media/image75.jpeg"/><Relationship Id="rId84" Type="http://schemas.openxmlformats.org/officeDocument/2006/relationships/image" Target="media/image76.jpeg"/><Relationship Id="rId85" Type="http://schemas.openxmlformats.org/officeDocument/2006/relationships/image" Target="media/image77.jpeg"/><Relationship Id="rId86" Type="http://schemas.openxmlformats.org/officeDocument/2006/relationships/image" Target="media/image78.jpeg"/><Relationship Id="rId87" Type="http://schemas.openxmlformats.org/officeDocument/2006/relationships/image" Target="media/image79.jpe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jpe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jpeg"/><Relationship Id="rId96" Type="http://schemas.openxmlformats.org/officeDocument/2006/relationships/image" Target="media/image88.jpeg"/><Relationship Id="rId97" Type="http://schemas.openxmlformats.org/officeDocument/2006/relationships/image" Target="media/image89.jpeg"/><Relationship Id="rId98" Type="http://schemas.openxmlformats.org/officeDocument/2006/relationships/image" Target="media/image90.jpeg"/><Relationship Id="rId99" Type="http://schemas.openxmlformats.org/officeDocument/2006/relationships/image" Target="media/image91.jpeg"/><Relationship Id="rId100" Type="http://schemas.openxmlformats.org/officeDocument/2006/relationships/image" Target="media/image92.jpeg"/><Relationship Id="rId101" Type="http://schemas.openxmlformats.org/officeDocument/2006/relationships/image" Target="media/image93.jpeg"/><Relationship Id="rId102" Type="http://schemas.openxmlformats.org/officeDocument/2006/relationships/image" Target="media/image94.jpeg"/><Relationship Id="rId103" Type="http://schemas.openxmlformats.org/officeDocument/2006/relationships/image" Target="media/image95.jpeg"/><Relationship Id="rId104" Type="http://schemas.openxmlformats.org/officeDocument/2006/relationships/image" Target="media/image96.jpeg"/><Relationship Id="rId105" Type="http://schemas.openxmlformats.org/officeDocument/2006/relationships/image" Target="media/image97.jpeg"/><Relationship Id="rId106" Type="http://schemas.openxmlformats.org/officeDocument/2006/relationships/image" Target="media/image98.jpeg"/><Relationship Id="rId107" Type="http://schemas.openxmlformats.org/officeDocument/2006/relationships/image" Target="media/image99.jpeg"/><Relationship Id="rId108" Type="http://schemas.openxmlformats.org/officeDocument/2006/relationships/image" Target="media/image100.jpeg"/><Relationship Id="rId109" Type="http://schemas.openxmlformats.org/officeDocument/2006/relationships/image" Target="media/image101.jpeg"/><Relationship Id="rId110" Type="http://schemas.openxmlformats.org/officeDocument/2006/relationships/image" Target="media/image102.jpeg"/><Relationship Id="rId111" Type="http://schemas.openxmlformats.org/officeDocument/2006/relationships/image" Target="media/image103.jpeg"/><Relationship Id="rId112" Type="http://schemas.openxmlformats.org/officeDocument/2006/relationships/image" Target="media/image104.jpeg"/><Relationship Id="rId113" Type="http://schemas.openxmlformats.org/officeDocument/2006/relationships/image" Target="media/image105.jpeg"/><Relationship Id="rId114" Type="http://schemas.openxmlformats.org/officeDocument/2006/relationships/image" Target="media/image106.jpeg"/><Relationship Id="rId115" Type="http://schemas.openxmlformats.org/officeDocument/2006/relationships/image" Target="media/image107.jpeg"/><Relationship Id="rId116" Type="http://schemas.openxmlformats.org/officeDocument/2006/relationships/image" Target="media/image108.jpeg"/><Relationship Id="rId117" Type="http://schemas.openxmlformats.org/officeDocument/2006/relationships/image" Target="media/image109.jpeg"/><Relationship Id="rId118" Type="http://schemas.openxmlformats.org/officeDocument/2006/relationships/image" Target="media/image110.jpeg"/><Relationship Id="rId119" Type="http://schemas.openxmlformats.org/officeDocument/2006/relationships/image" Target="media/image111.jpeg"/><Relationship Id="rId120" Type="http://schemas.openxmlformats.org/officeDocument/2006/relationships/image" Target="media/image112.jpeg"/><Relationship Id="rId121" Type="http://schemas.openxmlformats.org/officeDocument/2006/relationships/image" Target="media/image113.jpeg"/><Relationship Id="rId122" Type="http://schemas.openxmlformats.org/officeDocument/2006/relationships/image" Target="media/image114.jpeg"/><Relationship Id="rId123" Type="http://schemas.openxmlformats.org/officeDocument/2006/relationships/image" Target="media/image115.jpe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jpe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jpeg"/><Relationship Id="rId193" Type="http://schemas.openxmlformats.org/officeDocument/2006/relationships/image" Target="media/image185.jpeg"/><Relationship Id="rId194" Type="http://schemas.openxmlformats.org/officeDocument/2006/relationships/image" Target="media/image186.jpeg"/><Relationship Id="rId195" Type="http://schemas.openxmlformats.org/officeDocument/2006/relationships/image" Target="media/image187.jpeg"/><Relationship Id="rId196" Type="http://schemas.openxmlformats.org/officeDocument/2006/relationships/image" Target="media/image188.jpeg"/><Relationship Id="rId197" Type="http://schemas.openxmlformats.org/officeDocument/2006/relationships/image" Target="media/image189.jpeg"/><Relationship Id="rId198" Type="http://schemas.openxmlformats.org/officeDocument/2006/relationships/image" Target="media/image190.jpeg"/><Relationship Id="rId199" Type="http://schemas.openxmlformats.org/officeDocument/2006/relationships/image" Target="media/image191.jpeg"/><Relationship Id="rId200" Type="http://schemas.openxmlformats.org/officeDocument/2006/relationships/image" Target="media/image192.jpeg"/><Relationship Id="rId201" Type="http://schemas.openxmlformats.org/officeDocument/2006/relationships/image" Target="media/image193.jpeg"/><Relationship Id="rId202" Type="http://schemas.openxmlformats.org/officeDocument/2006/relationships/fontTable" Target="fontTable.xml"/><Relationship Id="rId20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121046</Words>
  <Characters>655516</Characters>
  <CharactersWithSpaces>775588</CharactersWithSpaces>
  <Paragraphs>3661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ex-102_thirdamendmenttoa</dc:title>
</cp:coreProperties>
</file>