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Blasquez Anthony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5501 HEADQUARTERS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PLANO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UPBOUND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UPBD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EVP-RAC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3"/>
        <w:gridCol w:w="902"/>
        <w:gridCol w:w="773"/>
        <w:gridCol w:w="599"/>
        <w:gridCol w:w="341"/>
        <w:gridCol w:w="956"/>
        <w:gridCol w:w="434"/>
        <w:gridCol w:w="653"/>
        <w:gridCol w:w="1129"/>
        <w:gridCol w:w="972"/>
        <w:gridCol w:w="109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32,962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76,679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1,070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Company 401(k) Plan</w:t>
            </w:r>
          </w:p>
        </w:tc>
      </w:tr>
      <w:tr>
        <w:trPr/>
        <w:tc>
          <w:tcPr>
            <w:tcW w:w="235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102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Company NQDC Plan</w:t>
            </w:r>
          </w:p>
        </w:tc>
      </w:tr>
    </w:tbl>
    <w:tbl>
      <w:tblPr>
        <w:tblW w:w="129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59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104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9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5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5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5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98,888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98,888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98,888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supplemental equity award consisting of restricted stock units and performance stock units to promote retention of key executives and to incentivize share price appreciation measured against predetermined stock prices.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portion of the supplemental equity award granted as restricted stock units, which vest annually in one-third increments on September 1 of each of the next three years provided that the reporting person has been continuously employed by the issuer as of each such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shares of common stock and unvested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the portion of the supplemental equity award granted as performance stock units, which are eligible to vest, if at all, based on the achievement of predetermined 20-trading-day average closing stock prices during a four-year performance period, subject to the reporting person's continued employment through the applicable vesting date. The performance stock units are divided into three tranches: 33% eligible to be earned upon a 20-trading-day average closing price of $24.18, 33% upon a 20-trading-day average closing price of $31.43, and 34% upon a 20-trading-day average closing price of $38.68. For each tranche, the vesting date is the later of the third anniversary of the grant date September 1, 2029, and the date the applicable stock price is attained.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West,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4381" TargetMode="External"/><Relationship Id="rId5" Type="http://schemas.openxmlformats.org/officeDocument/2006/relationships/hyperlink" Target="http://www.sec.gov/cgi-bin/browse-edgar?action=getcompany&amp;CIK=00009330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800</Words>
  <Characters>4378</Characters>
  <CharactersWithSpaces>5088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