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40"/>
          <w:szCs w:val="40"/>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9"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001-38047</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Rent-A-Center, Inc.</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1860" w:type="dxa"/>
        <w:tblCellMar>
          <w:top w:w="0" w:type="dxa"/>
          <w:left w:w="0" w:type="dxa"/>
          <w:bottom w:w="0" w:type="dxa"/>
          <w:right w:w="0" w:type="dxa"/>
        </w:tblCellMar>
      </w:tblPr>
      <w:tr>
        <w:trPr>
          <w:trHeight w:val="238"/>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8"/>
                <w:szCs w:val="18"/>
                <w:b w:val="1"/>
                <w:bCs w:val="1"/>
                <w:color w:val="auto"/>
                <w:w w:val="98"/>
              </w:rPr>
              <w:t>45-0491516</w:t>
            </w:r>
          </w:p>
        </w:tc>
      </w:tr>
      <w:tr>
        <w:trPr>
          <w:trHeight w:val="22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7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5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5501 Headquarters Drive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Plano, Texas 75024</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972-801-1100</w:t>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80"/>
          </w:cols>
          <w:pgMar w:left="240" w:top="268" w:right="379" w:bottom="1440" w:gutter="0" w:footer="0" w:header="0"/>
        </w:sectPr>
      </w:pPr>
    </w:p>
    <w:p>
      <w:pPr>
        <w:spacing w:after="0" w:line="171"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63"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7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RCII</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4" w:lineRule="exact"/>
        <w:rPr>
          <w:sz w:val="24"/>
          <w:szCs w:val="24"/>
          <w:color w:val="auto"/>
        </w:rPr>
      </w:pPr>
    </w:p>
    <w:p>
      <w:pPr>
        <w:sectPr>
          <w:pgSz w:w="11900" w:h="16838" w:orient="portrait"/>
          <w:cols w:equalWidth="0" w:num="3">
            <w:col w:w="4380" w:space="720"/>
            <w:col w:w="1640" w:space="720"/>
            <w:col w:w="3820"/>
          </w:cols>
          <w:pgMar w:left="240" w:top="268" w:right="3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2"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1" w:lineRule="exact"/>
        <w:rPr>
          <w:sz w:val="24"/>
          <w:szCs w:val="24"/>
          <w:color w:val="auto"/>
        </w:rPr>
      </w:pPr>
    </w:p>
    <w:p>
      <w:pPr>
        <w:ind w:right="44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84" w:lineRule="exact"/>
        <w:tabs>
          <w:tab w:leader="none" w:pos="6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01" w:lineRule="exact"/>
        <w:rPr>
          <w:sz w:val="24"/>
          <w:szCs w:val="24"/>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47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4760" w:type="dxa"/>
            <w:vAlign w:val="bottom"/>
          </w:tcPr>
          <w:p>
            <w:pPr>
              <w:ind w:left="7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31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47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1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p>
      <w:pPr>
        <w:sectPr>
          <w:pgSz w:w="11900" w:h="16838" w:orient="portrait"/>
          <w:cols w:equalWidth="0" w:num="1">
            <w:col w:w="11280"/>
          </w:cols>
          <w:pgMar w:left="240" w:top="268" w:right="37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2">
            <w:col w:w="10280" w:space="720"/>
            <w:col w:w="280"/>
          </w:cols>
          <w:pgMar w:left="240" w:top="268"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October 29, 2019:</w:t>
      </w:r>
    </w:p>
    <w:p>
      <w:pPr>
        <w:sectPr>
          <w:pgSz w:w="11900" w:h="16838" w:orient="portrait"/>
          <w:cols w:equalWidth="0" w:num="1">
            <w:col w:w="11280"/>
          </w:cols>
          <w:pgMar w:left="240" w:top="268" w:right="379" w:bottom="1440" w:gutter="0" w:footer="0" w:header="0"/>
          <w:type w:val="continuous"/>
        </w:sectPr>
      </w:pPr>
    </w:p>
    <w:p>
      <w:pPr>
        <w:spacing w:after="0" w:line="167"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6"/>
          <w:szCs w:val="16"/>
          <w:color w:val="auto"/>
        </w:rPr>
        <w:t>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Outstanding</w:t>
      </w:r>
    </w:p>
    <w:p>
      <w:pPr>
        <w:spacing w:after="0" w:line="97" w:lineRule="exact"/>
        <w:rPr>
          <w:sz w:val="24"/>
          <w:szCs w:val="24"/>
          <w:color w:val="auto"/>
        </w:rPr>
      </w:pPr>
    </w:p>
    <w:p>
      <w:pPr>
        <w:sectPr>
          <w:pgSz w:w="11900" w:h="16838" w:orient="portrait"/>
          <w:cols w:equalWidth="0" w:num="2">
            <w:col w:w="7440" w:space="720"/>
            <w:col w:w="3120"/>
          </w:cols>
          <w:pgMar w:left="240" w:top="268" w:right="37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6"/>
          <w:szCs w:val="16"/>
          <w:color w:val="auto"/>
        </w:rPr>
        <w:t>Common stock, $.01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54,754,436</w:t>
      </w:r>
    </w:p>
    <w:p>
      <w:pPr>
        <w:sectPr>
          <w:pgSz w:w="11900" w:h="16838" w:orient="portrait"/>
          <w:cols w:equalWidth="0" w:num="2">
            <w:col w:w="7460" w:space="720"/>
            <w:col w:w="3100"/>
          </w:cols>
          <w:pgMar w:left="240" w:top="268"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9540" w:type="dxa"/>
            <w:vAlign w:val="bottom"/>
            <w:gridSpan w:val="3"/>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5"/>
        </w:trPr>
        <w:tc>
          <w:tcPr>
            <w:tcW w:w="8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3"/>
        </w:trPr>
        <w:tc>
          <w:tcPr>
            <w:tcW w:w="860" w:type="dxa"/>
            <w:vAlign w:val="bottom"/>
          </w:tcPr>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w:t>
              </w:r>
            </w:hyperlink>
          </w:p>
        </w:tc>
        <w:tc>
          <w:tcPr>
            <w:tcW w:w="9540" w:type="dxa"/>
            <w:vAlign w:val="bottom"/>
            <w:gridSpan w:val="3"/>
          </w:tcPr>
          <w:p>
            <w:pPr>
              <w:ind w:left="16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FINANCIAL INFORMATION</w:t>
              </w:r>
            </w:hyperlink>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Condensed Consolidated Financial Statements</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60" w:type="dxa"/>
            <w:vAlign w:val="bottom"/>
          </w:tcPr>
          <w:p>
            <w:pPr>
              <w:spacing w:after="0"/>
              <w:rPr>
                <w:sz w:val="24"/>
                <w:szCs w:val="24"/>
                <w:color w:val="auto"/>
              </w:rPr>
            </w:pPr>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Condensed Consolidated Statements of Operations for the three-month and nine-month periods ended September 30, 2019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860" w:type="dxa"/>
            <w:vAlign w:val="bottom"/>
          </w:tcPr>
          <w:p>
            <w:pPr>
              <w:ind w:left="1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2018</w:t>
              </w:r>
            </w:hyperlink>
          </w:p>
        </w:tc>
        <w:tc>
          <w:tcPr>
            <w:tcW w:w="19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c>
          <w:tcPr>
            <w:tcW w:w="0" w:type="dxa"/>
            <w:vAlign w:val="bottom"/>
          </w:tcPr>
          <w:p>
            <w:pPr>
              <w:spacing w:after="0"/>
              <w:rPr>
                <w:sz w:val="1"/>
                <w:szCs w:val="1"/>
                <w:color w:val="auto"/>
              </w:rPr>
            </w:pPr>
          </w:p>
        </w:tc>
      </w:tr>
      <w:tr>
        <w:trPr>
          <w:trHeight w:val="373"/>
        </w:trPr>
        <w:tc>
          <w:tcPr>
            <w:tcW w:w="860" w:type="dxa"/>
            <w:vAlign w:val="bottom"/>
          </w:tcPr>
          <w:p>
            <w:pPr>
              <w:spacing w:after="0"/>
              <w:rPr>
                <w:sz w:val="24"/>
                <w:szCs w:val="24"/>
                <w:color w:val="auto"/>
              </w:rPr>
            </w:pPr>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Condensed Consolidated Statements of Comprehensive Income for the three-month and nine-month periods ended September 30,</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2019 and 2018</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sz w:val="24"/>
                <w:szCs w:val="24"/>
                <w:color w:val="auto"/>
              </w:rPr>
            </w:pPr>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Condensed Consolidated Balance Sheets as of September 30, 2019 and December 31, 2018</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sz w:val="24"/>
                <w:szCs w:val="24"/>
                <w:color w:val="auto"/>
              </w:rPr>
            </w:pPr>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Condensed Consolidated Statement of Stockholder's Equity for the nine-month periods ending September 30, 2019 and 2018</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sz w:val="24"/>
                <w:szCs w:val="24"/>
                <w:color w:val="auto"/>
              </w:rPr>
            </w:pPr>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Condensed Consolidated Statements of Cash Flows for the nine-month periods ended September 30, 2019 and 2018</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sz w:val="24"/>
                <w:szCs w:val="24"/>
                <w:color w:val="auto"/>
              </w:rPr>
            </w:pPr>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Notes to Condensed Consolidated Financial Statements</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Item 2.</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Management's Discussion and Analysis of Financial Condition and Results of Operations</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20</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3.</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Quantitative and Qualitative Disclosures About Market Risk</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4.</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Controls and Procedures</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b w:val="1"/>
                <w:bCs w:val="1"/>
                <w:color w:val="auto"/>
              </w:rPr>
            </w:pPr>
            <w:hyperlink w:anchor="page33">
              <w:r>
                <w:rPr>
                  <w:rFonts w:ascii="Times New Roman" w:cs="Times New Roman" w:eastAsia="Times New Roman" w:hAnsi="Times New Roman"/>
                  <w:sz w:val="18"/>
                  <w:szCs w:val="18"/>
                  <w:b w:val="1"/>
                  <w:bCs w:val="1"/>
                  <w:color w:val="auto"/>
                </w:rPr>
                <w:t>PART II.</w:t>
              </w:r>
            </w:hyperlink>
          </w:p>
        </w:tc>
        <w:tc>
          <w:tcPr>
            <w:tcW w:w="9540" w:type="dxa"/>
            <w:vAlign w:val="bottom"/>
            <w:gridSpan w:val="3"/>
          </w:tcPr>
          <w:p>
            <w:pPr>
              <w:ind w:left="160"/>
              <w:spacing w:after="0"/>
              <w:rPr>
                <w:rFonts w:ascii="Times New Roman" w:cs="Times New Roman" w:eastAsia="Times New Roman" w:hAnsi="Times New Roman"/>
                <w:sz w:val="18"/>
                <w:szCs w:val="18"/>
                <w:b w:val="1"/>
                <w:bCs w:val="1"/>
                <w:color w:val="auto"/>
              </w:rPr>
            </w:pPr>
            <w:hyperlink w:anchor="page33">
              <w:r>
                <w:rPr>
                  <w:rFonts w:ascii="Times New Roman" w:cs="Times New Roman" w:eastAsia="Times New Roman" w:hAnsi="Times New Roman"/>
                  <w:sz w:val="18"/>
                  <w:szCs w:val="18"/>
                  <w:b w:val="1"/>
                  <w:bCs w:val="1"/>
                  <w:color w:val="auto"/>
                </w:rPr>
                <w:t>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1.</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Legal Proceedings</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1A.</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Risk Factors</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2.</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Unregistered Sales of Equity Securities and Use of Proceeds</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3.</w:t>
              </w:r>
            </w:hyperlink>
          </w:p>
        </w:tc>
        <w:tc>
          <w:tcPr>
            <w:tcW w:w="9540" w:type="dxa"/>
            <w:vAlign w:val="bottom"/>
            <w:gridSpan w:val="3"/>
            <w:vMerge w:val="restart"/>
          </w:tcPr>
          <w:p>
            <w:pPr>
              <w:ind w:left="16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Defaults Upon Senior Securities</w:t>
              </w:r>
            </w:hyperlink>
          </w:p>
        </w:tc>
        <w:tc>
          <w:tcPr>
            <w:tcW w:w="920" w:type="dxa"/>
            <w:vAlign w:val="bottom"/>
            <w:vMerge w:val="restart"/>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954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4.</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Mine Safety Disclosures</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Item 5.</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Other Information</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c>
          <w:tcPr>
            <w:tcW w:w="0" w:type="dxa"/>
            <w:vAlign w:val="bottom"/>
          </w:tcPr>
          <w:p>
            <w:pPr>
              <w:spacing w:after="0"/>
              <w:rPr>
                <w:sz w:val="1"/>
                <w:szCs w:val="1"/>
                <w:color w:val="auto"/>
              </w:rPr>
            </w:pPr>
          </w:p>
        </w:tc>
      </w:tr>
      <w:tr>
        <w:trPr>
          <w:trHeight w:val="392"/>
        </w:trPr>
        <w:tc>
          <w:tcPr>
            <w:tcW w:w="860" w:type="dxa"/>
            <w:vAlign w:val="bottom"/>
          </w:tcPr>
          <w:p>
            <w:pPr>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Item 6.</w:t>
              </w:r>
            </w:hyperlink>
          </w:p>
        </w:tc>
        <w:tc>
          <w:tcPr>
            <w:tcW w:w="9540" w:type="dxa"/>
            <w:vAlign w:val="bottom"/>
            <w:gridSpan w:val="3"/>
          </w:tcPr>
          <w:p>
            <w:pPr>
              <w:ind w:left="16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Exhibits</w:t>
              </w:r>
            </w:hyperlink>
          </w:p>
        </w:tc>
        <w:tc>
          <w:tcPr>
            <w:tcW w:w="92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32</w:t>
              </w:r>
            </w:hyperlink>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8">
        <w:r>
          <w:rPr>
            <w:rFonts w:ascii="Times New Roman" w:cs="Times New Roman" w:eastAsia="Times New Roman" w:hAnsi="Times New Roman"/>
            <w:sz w:val="18"/>
            <w:szCs w:val="18"/>
            <w:b w:val="1"/>
            <w:bCs w:val="1"/>
            <w:color w:val="auto"/>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80" w:top="351"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24765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03" w:lineRule="exact"/>
        <w:rPr>
          <w:sz w:val="20"/>
          <w:szCs w:val="20"/>
          <w:color w:val="auto"/>
        </w:rPr>
      </w:pPr>
    </w:p>
    <w:p>
      <w:pPr>
        <w:ind w:left="5640"/>
        <w:spacing w:after="0"/>
        <w:tabs>
          <w:tab w:leader="none" w:pos="72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24765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24765</wp:posOffset>
            </wp:positionV>
            <wp:extent cx="1938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24765</wp:posOffset>
            </wp:positionV>
            <wp:extent cx="1938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8120" w:space="720"/>
            <w:col w:w="2580"/>
          </w:cols>
          <w:pgMar w:left="240" w:top="360"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Revenues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Store</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Rentals and fees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550,795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552,580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1,679,697</w:t>
            </w:r>
          </w:p>
        </w:tc>
        <w:tc>
          <w:tcPr>
            <w:tcW w:w="0" w:type="dxa"/>
            <w:vAlign w:val="bottom"/>
          </w:tcPr>
          <w:p>
            <w:pPr>
              <w:spacing w:after="0"/>
              <w:rPr>
                <w:sz w:val="1"/>
                <w:szCs w:val="1"/>
                <w:color w:val="auto"/>
              </w:rPr>
            </w:pPr>
          </w:p>
        </w:tc>
      </w:tr>
      <w:tr>
        <w:trPr>
          <w:trHeight w:val="243"/>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Merchandise sales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67,141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240,864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239,487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Installment sales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15,681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49,459</w:t>
            </w:r>
          </w:p>
        </w:tc>
        <w:tc>
          <w:tcPr>
            <w:tcW w:w="0" w:type="dxa"/>
            <w:vAlign w:val="bottom"/>
          </w:tcPr>
          <w:p>
            <w:pPr>
              <w:spacing w:after="0"/>
              <w:rPr>
                <w:sz w:val="1"/>
                <w:szCs w:val="1"/>
                <w:color w:val="auto"/>
              </w:rPr>
            </w:pPr>
          </w:p>
        </w:tc>
      </w:tr>
      <w:tr>
        <w:trPr>
          <w:trHeight w:val="243"/>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store revenues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634,353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637,542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1,959,313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1,975,638</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Franchise</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Merchandise sales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12,649</w:t>
            </w:r>
          </w:p>
        </w:tc>
        <w:tc>
          <w:tcPr>
            <w:tcW w:w="0" w:type="dxa"/>
            <w:vAlign w:val="bottom"/>
          </w:tcPr>
          <w:p>
            <w:pPr>
              <w:spacing w:after="0"/>
              <w:rPr>
                <w:sz w:val="1"/>
                <w:szCs w:val="1"/>
                <w:color w:val="auto"/>
              </w:rPr>
            </w:pPr>
          </w:p>
        </w:tc>
      </w:tr>
      <w:tr>
        <w:trPr>
          <w:trHeight w:val="243"/>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Royalty income and fees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649,371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644,942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1,998,715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Store</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Cost of rentals and fees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161,971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153,716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473,001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465,852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 of merchandise sold</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74,340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236,255</w:t>
            </w:r>
          </w:p>
        </w:tc>
        <w:tc>
          <w:tcPr>
            <w:tcW w:w="0" w:type="dxa"/>
            <w:vAlign w:val="bottom"/>
          </w:tcPr>
          <w:p>
            <w:pPr>
              <w:spacing w:after="0"/>
              <w:rPr>
                <w:sz w:val="1"/>
                <w:szCs w:val="1"/>
                <w:color w:val="auto"/>
              </w:rPr>
            </w:pPr>
          </w:p>
        </w:tc>
      </w:tr>
      <w:tr>
        <w:trPr>
          <w:trHeight w:val="243"/>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Cost of installment sales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cost of store revenues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238,073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233,300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739,134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718,210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Franchise cost of merchandise sold</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cost of revenues</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249,375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237,202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769,057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730,111</w:t>
            </w:r>
          </w:p>
        </w:tc>
        <w:tc>
          <w:tcPr>
            <w:tcW w:w="0" w:type="dxa"/>
            <w:vAlign w:val="bottom"/>
          </w:tcPr>
          <w:p>
            <w:pPr>
              <w:spacing w:after="0"/>
              <w:rPr>
                <w:sz w:val="1"/>
                <w:szCs w:val="1"/>
                <w:color w:val="auto"/>
              </w:rPr>
            </w:pPr>
          </w:p>
        </w:tc>
      </w:tr>
      <w:tr>
        <w:trPr>
          <w:trHeight w:val="237"/>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399,996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407,740</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1,232,933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1,268,604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Store expenses</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Labor</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158,666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168,297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513,543</w:t>
            </w:r>
          </w:p>
        </w:tc>
        <w:tc>
          <w:tcPr>
            <w:tcW w:w="0" w:type="dxa"/>
            <w:vAlign w:val="bottom"/>
          </w:tcPr>
          <w:p>
            <w:pPr>
              <w:spacing w:after="0"/>
              <w:rPr>
                <w:sz w:val="1"/>
                <w:szCs w:val="1"/>
                <w:color w:val="auto"/>
              </w:rPr>
            </w:pPr>
          </w:p>
        </w:tc>
      </w:tr>
      <w:tr>
        <w:trPr>
          <w:trHeight w:val="243"/>
        </w:trPr>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store expenses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150,366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149,326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463,385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492,129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40,818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127,480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16,946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52,274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charges and (gains)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6,721</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40,665</w:t>
            </w:r>
          </w:p>
        </w:tc>
        <w:tc>
          <w:tcPr>
            <w:tcW w:w="0" w:type="dxa"/>
            <w:vAlign w:val="bottom"/>
          </w:tcPr>
          <w:p>
            <w:pPr>
              <w:spacing w:after="0"/>
              <w:rPr>
                <w:sz w:val="1"/>
                <w:szCs w:val="1"/>
                <w:color w:val="auto"/>
              </w:rPr>
            </w:pPr>
          </w:p>
        </w:tc>
      </w:tr>
      <w:tr>
        <w:trPr>
          <w:trHeight w:val="237"/>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361,149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382,108</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1,046,908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1,226,091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profit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25,632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42,513</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refinancing charges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32,662</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15,481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360" w:right="2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24765</wp:posOffset>
            </wp:positionV>
            <wp:extent cx="1981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03" w:lineRule="exact"/>
        <w:rPr>
          <w:sz w:val="20"/>
          <w:szCs w:val="20"/>
          <w:color w:val="auto"/>
        </w:rPr>
      </w:pPr>
    </w:p>
    <w:p>
      <w:pPr>
        <w:ind w:left="5640"/>
        <w:spacing w:after="0"/>
        <w:tabs>
          <w:tab w:leader="none" w:pos="72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24765</wp:posOffset>
            </wp:positionV>
            <wp:extent cx="1981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24765</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24765</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8120" w:space="720"/>
            <w:col w:w="258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0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31,277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12,918</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$(91)</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$239, and $(11) and $112, for the three and nine months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61"/>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ended 2019 and 2018, respectively</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r>
      <w:tr>
        <w:trPr>
          <w:trHeight w:val="237"/>
        </w:trPr>
        <w:tc>
          <w:tcPr>
            <w:tcW w:w="5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30,933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13,818</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133,015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33"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4"/>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18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5"/>
        </w:trPr>
        <w:tc>
          <w:tcPr>
            <w:tcW w:w="7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73,682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155,391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 of allowance for doubtful accounts of $5,981 and $4,883 in 2019 and 2018,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69,645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51,352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merchandise,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rent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633,740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683,808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Held for rent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109,931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123,662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Merchandise held for installment sale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assets, net of accumulated depreciation of $564,062 and $551,750 in 2019 and 2018,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226,323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25,558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71,749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56,845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1,497,932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1,396,917</w:t>
            </w:r>
          </w:p>
        </w:tc>
      </w:tr>
      <w:tr>
        <w:trPr>
          <w:trHeight w:val="67"/>
        </w:trPr>
        <w:tc>
          <w:tcPr>
            <w:tcW w:w="79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105,042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113,838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337,459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119,061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debt,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net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540,042</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1,066,192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1,110,400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$.01 par value; 250,000,000 shares authorized; 111,105,930 and 109,909,504 shares issued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2019 and 2018,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866,316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838,436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923,296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805,924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at cost, 56,369,752 shares in 2019 and 2018</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(1,347,677)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431,740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286,517</w:t>
            </w:r>
          </w:p>
        </w:tc>
      </w:tr>
      <w:tr>
        <w:trPr>
          <w:trHeight w:val="237"/>
        </w:trPr>
        <w:tc>
          <w:tcPr>
            <w:tcW w:w="79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1,497,932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1,396,917</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1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4"/>
                <w:szCs w:val="4"/>
                <w:color w:val="auto"/>
              </w:rPr>
            </w:pPr>
          </w:p>
        </w:tc>
        <w:tc>
          <w:tcPr>
            <w:tcW w:w="102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200" w:type="dxa"/>
            <w:vAlign w:val="bottom"/>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2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109,910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838,436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805,924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286,517</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7,323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2,892</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withheld for employee taxes 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awards vested &amp; exercised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ASC 842 adoption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110,412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840,298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811,271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294,252</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94,455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94,455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110,562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843,697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905,726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391,890</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31,277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31,277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declared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Merchants Preferred acquisition</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19,169</w:t>
            </w:r>
          </w:p>
        </w:tc>
        <w:tc>
          <w:tcPr>
            <w:tcW w:w="0" w:type="dxa"/>
            <w:vAlign w:val="bottom"/>
          </w:tcPr>
          <w:p>
            <w:pPr>
              <w:spacing w:after="0"/>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9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111,106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866,316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923,296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(1,347,677)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431,740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60" w:top="333" w:right="2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1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4"/>
                <w:szCs w:val="4"/>
                <w:color w:val="auto"/>
              </w:rPr>
            </w:pPr>
          </w:p>
        </w:tc>
        <w:tc>
          <w:tcPr>
            <w:tcW w:w="102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200" w:type="dxa"/>
            <w:vAlign w:val="bottom"/>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2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109,682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831,271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798,743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272,443</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1,648</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withheld for employee taxes 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awards vested &amp; exercised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ASC 606 adoption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2018</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109,784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833,311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777,589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254,977</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13,753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2018</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109,870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835,040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791,342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268,335</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12,918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12,918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1,498</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2018</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109,879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836,632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804,260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283,746</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60" w:top="333"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2"/>
        </w:trPr>
        <w:tc>
          <w:tcPr>
            <w:tcW w:w="8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8"/>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6,828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of rental merchandise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455,143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461,484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10,372</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4,493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of property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51,778</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sale or disposal of property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Write-off of debt financing fees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Rental merchandise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(375,013)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assets and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 trade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7,711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13,133</w:t>
            </w:r>
          </w:p>
        </w:tc>
      </w:tr>
      <w:tr>
        <w:trPr>
          <w:trHeight w:val="237"/>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228,129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183,855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16,474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Hurricane insurance recovery proceeds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Acquisitions of businesses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37"/>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withheld for payment of employee tax withholdings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27,060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(138,516)</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38,040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72,968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73,682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111,008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33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type w:val="continuous"/>
        </w:sectPr>
      </w:pPr>
    </w:p>
    <w:bookmarkStart w:id="8" w:name="page9"/>
    <w:bookmarkEnd w:id="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Rent-A-Center, Inc. included herein have been prepared by us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2018.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include the accounts of Rent-A-Center, Inc. and its direct and indirect subsidiaries. All intercompany accounts and transactions have been eliminated. Unless the context indicates otherwise, references to “Rent-A-Center” refer only to Rent-A-Center, Inc., the parent, and references to “we,” “us” and “our” refer to the consolidated business operations of Rent-A-Center and any or all of its direct and indirect subsidiaries. We report four operating segments: Core U.S., Acceptance Now, Mexico and Franchising.</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Core U.S. segment consists of company-owned rent-to-own stores in the United States and Puerto Rico that lease household durable goods to customers on a rent-to-own basis. We also offer merchandise on an installment sales basis in certain of our stores under the names “Get It Now” and “Home Choice.”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Acceptance Now segment, which operates in the United States and Puerto Rico, and includes the recently acquired Merchants Preferred virtual business model, generally offers the rent-to-own transaction to consumers who do not qualify for financing from the traditional retailer through kiosks located within such retailers’ locations. Those kiosks can be staffed by an Acceptance Now employee (staffed locations) or employ a virtual solution where customers, either directly or with the assistance of a representative of the third-party retailer, initiate the rent-to-own transaction online in the retailers' locations using our virtual solutions (virtual locations).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Mexico segment consists of our company-owned rent-to-own stores in Mexico that lease household durable goods to customers on a rent-to-own basis.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Rent-A-Center Franchising International, Inc., an indirect, wholly owned subsidiary of Rent-A-Center, is a franchisor of rent-to-own stores. Our Franchising segment’s primary source of revenue is the sale of rental merchandise to its franchisees, who in turn offer the merchandise to the general public for rent or purchase under a rent-to-own transaction. The balance of our Franchising segment’s revenue is generated primarily from royalties based on franchisees’ monthly gross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replaces existing accounting literature relating to the classification of, and accounting for, leases. Under ASU 2016-02, a company must recognize for all leases (with the exception of leases with terms of 12 months or less) a liability representing a lessee's obligation to make lease payments arising from a lease, and a right-of-use asset representing the lessee's right to use, or control the use of, a specified asset for the lease term. Lessor accounting is largely unchanged, with certain improvements to align lessor accounting with the lessee accounting model and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Adoption of ASU 2016-02 requires the use of a modified retrospective transition method to measure leases at the beginning of the earliest period presented in the consolidated financial statements. In July 2018, the FASB issued ASU 2018-11, allowing companies to apply a transition method for adoption of the new standard as of the adoption date, with recognition of any cumulative-effects as adjustments to the opening balance of retained earnings in the period of adoption. We adopted these ASUs beginning January 1, 2019 and elected the transition method under ASU 2018-11.</w:t>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rent-to-own agreements, which comprise the majority of our annual revenue, fall within the scope of ASU 2016-02 under lessor accounting; however, the new standard does not significantly affect the timing of recognition or presentation of revenue for our rental contracts.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lessee, the new standard affected a substantial portion of our lease contracts. As of September 30, 2019, we have $268.1 million operating lease right-of-use assets and $272.5 million operating lease liabilities in our condensed consolidated balance sheet. Upon adoption, we identified impairment losses related to closure of our product service centers and Core U.S. stores resulting in a cumulative-effect decrease of $2.0 million, net of tax, to our January 1, 2019 retained earnings balance. There were no significant effects to our condensed consolidated statements of operations or condensed consolidated statements of cash flows.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elected a package of optional practical expedients in our adoption of the new standard, including the option to retain the current classification for leases entered into prior to the date of adoption; the option not to reassess initial direct costs for capitalization for leases entered into prior to the date of adoption; and the option not to separate lease and non-lease components for our rent-to-own agreements as a lessor, and our real estate, and certain categories of equipment leases, as a lessee.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conjunction with the adoption of the new lease accounting standard, we implemented a new back-office lease administration and accounting system to support the new accounting and disclosure requirements as a lessee. In addition, we implemented changes to our previous accounting policies, processes, and internal controls to ensure compliance with the new standard.</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 - Reporting Comprehensive Income (Topic 220): Reclassification of Certain Tax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Accumulated Other Comprehensive Income</w:t>
      </w:r>
      <w:r>
        <w:rPr>
          <w:rFonts w:ascii="Times New Roman" w:cs="Times New Roman" w:eastAsia="Times New Roman" w:hAnsi="Times New Roman"/>
          <w:sz w:val="18"/>
          <w:szCs w:val="18"/>
          <w:color w:val="auto"/>
        </w:rPr>
        <w:t>, which allows a company to reclassify to retained earnings the disproportionate income tax effects of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on items with accumulated other comprehensive income that the FASB refers to as having been stranded in accumulated other comprehensive income. The adoption of ASU 2018-02 was required for us beginning January 1, 2019. We elected not to exercise the option to reclassify stranded tax effects within accumulated other comprehensive income in each period in which the effect of the change in the U.S. federal corporate income tax rate in the Tax Act (or portion thereof) is recorded.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13, 2019, we completed the acquisition of substantially all of the assets of C/C Financial Corp. dba Merchants Preferred ("Merchants Preferred"), a nationwide provider of virtual rent-to-own services. The aggregate purchase price was approximately $46.6 million, including net cash consideration of approximately $28.0 million, and 701,918 shares of our common stock valued at $27.31 per share, as of the date of closing, less working capital adjustments of approximately $0.5 million.</w:t>
      </w:r>
    </w:p>
    <w:p>
      <w:pPr>
        <w:spacing w:after="0" w:line="126"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Assets acquired and liabilities assumed in connection with the acquisition have been recorded at their fair values. The following table provides the preliminary estimated fair values of the identifiable assets acquired and liabilities assumed as of the acquisition date: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August 13, 2019</w:t>
            </w:r>
          </w:p>
        </w:tc>
      </w:tr>
      <w:tr>
        <w:trPr>
          <w:trHeight w:val="249"/>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1,813</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9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merchandise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17,903</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4,300</w:t>
            </w:r>
          </w:p>
        </w:tc>
      </w:tr>
      <w:tr>
        <w:trPr>
          <w:trHeight w:val="27"/>
        </w:trPr>
        <w:tc>
          <w:tcPr>
            <w:tcW w:w="9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 of use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7,600</w:t>
            </w:r>
          </w:p>
        </w:tc>
      </w:tr>
      <w:tr>
        <w:trPr>
          <w:trHeight w:val="27"/>
        </w:trPr>
        <w:tc>
          <w:tcPr>
            <w:tcW w:w="9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14,934</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7"/>
        </w:trPr>
        <w:tc>
          <w:tcPr>
            <w:tcW w:w="9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46,605</w:t>
            </w:r>
          </w:p>
        </w:tc>
      </w:tr>
      <w:tr>
        <w:trPr>
          <w:trHeight w:val="20"/>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fair value measurements were primarily based on significant unobservable inputs (level 3) developed using company-specific information. Certain fair value estimates were determined based on an independent valuation of the net assets acquired, including identifiable intangible assets, relating to dealer relationships, of $7.6 million, and software of $4.3 million. The fair value for dealer relationships and software were estimated using common industry valuation methods for similar asset types, based primarily on cost inputs and projected cash flows. The dealer relationships and software assets were both assigned remaining lives of 10 years.</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we recorded goodwill of $14.9 million, which consists of the excess of the net purchase price over the fair value of the net assets acquired. The goodwill is not deductible for tax purposes.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values reflected in the table above may change as we finalize our assessment of the acquired assets and liabilities. A change in these valuations may also impact the income tax related accounts and goodwill. Merchants Preferred results of operations are reflected in our unaudited Condensed Consolidated Statements of Operations from the date of acquisition.</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this acquisition, we recorded approximately $1.1 million in acquisition-related expenses during the nine months ended September 30, 2019 including expenses related to legal, professional, and banking transaction fees. These costs were included in other charges and (gains) in our unaudited condensed consolidated statement of operations.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revenue for the periods ended September 30, 2019 and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2"/>
        </w:trPr>
        <w:tc>
          <w:tcPr>
            <w:tcW w:w="4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Core U.S.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Acceptance Now</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5"/>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and 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389,421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148,711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550,795</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65,552</w:t>
            </w: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Installment sales</w:t>
            </w: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16,952</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1,054</w:t>
            </w:r>
          </w:p>
        </w:tc>
      </w:tr>
      <w:tr>
        <w:trPr>
          <w:trHeight w:val="237"/>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store revenues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436,497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184,486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634,353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11,178</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Royalty income and fees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3,840</w:t>
            </w:r>
          </w:p>
        </w:tc>
      </w:tr>
      <w:tr>
        <w:trPr>
          <w:trHeight w:val="257"/>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436,497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184,486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649,371</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0"/>
        </w:trPr>
        <w:tc>
          <w:tcPr>
            <w:tcW w:w="4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2"/>
        </w:trPr>
        <w:tc>
          <w:tcPr>
            <w:tcW w:w="4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Core U.S.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Acceptance Now</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5"/>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and 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1,196,800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431,008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1,665,829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125,963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240,864</w:t>
            </w: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Installment sales</w:t>
            </w: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49,658</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2,962</w:t>
            </w:r>
          </w:p>
        </w:tc>
      </w:tr>
      <w:tr>
        <w:trPr>
          <w:trHeight w:val="237"/>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store revenues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1,361,650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557,397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40,266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1,959,313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30,307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Royalty income and fees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12,370</w:t>
            </w:r>
          </w:p>
        </w:tc>
      </w:tr>
      <w:tr>
        <w:trPr>
          <w:trHeight w:val="257"/>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1,361,650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557,397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40,266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42,677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2,001,990</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0"/>
        </w:trPr>
        <w:tc>
          <w:tcPr>
            <w:tcW w:w="4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2"/>
        </w:trPr>
        <w:tc>
          <w:tcPr>
            <w:tcW w:w="4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Core U.S.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Acceptance Now</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5"/>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and 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403,483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137,061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552,580</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36,264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67,141</w:t>
            </w: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Installment sales</w:t>
            </w: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15,681</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2,140</w:t>
            </w:r>
          </w:p>
        </w:tc>
      </w:tr>
      <w:tr>
        <w:trPr>
          <w:trHeight w:val="237"/>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store revenues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451,320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173,438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637,542</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4,135</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Royalty income and fees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3,265</w:t>
            </w:r>
          </w:p>
        </w:tc>
      </w:tr>
      <w:tr>
        <w:trPr>
          <w:trHeight w:val="257"/>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451,320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173,438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644,942</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7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24765</wp:posOffset>
            </wp:positionV>
            <wp:extent cx="4631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Core U.S.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Acceptance Now</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5"/>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and 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1,226,233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418,684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34,780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1,679,697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130,347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239,487</w:t>
            </w: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Installment sales</w:t>
            </w: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49,459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6,995</w:t>
            </w:r>
          </w:p>
        </w:tc>
      </w:tr>
      <w:tr>
        <w:trPr>
          <w:trHeight w:val="237"/>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store revenues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1,389,081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549,435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37,122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1,975,638</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sales</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12,649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Royalty income and fees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10,428</w:t>
            </w:r>
          </w:p>
        </w:tc>
      </w:tr>
      <w:tr>
        <w:trPr>
          <w:trHeight w:val="257"/>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1,389,081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549,435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37,122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23,077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1,998,715</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Rental-Purchase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U.S., Acceptance Now, and Mexico</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Rentals and Fees. </w:t>
      </w:r>
      <w:r>
        <w:rPr>
          <w:rFonts w:ascii="Times New Roman" w:cs="Times New Roman" w:eastAsia="Times New Roman" w:hAnsi="Times New Roman"/>
          <w:sz w:val="18"/>
          <w:szCs w:val="18"/>
          <w:color w:val="auto"/>
        </w:rPr>
        <w:t>Rental merchandise is leased to customers pursuant to rental purchase agreements, which provide for weekly, semi-monthly or monthly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 terms with non-refundable rental payments. At the expiration of each rental term, customers renew the rental agreement for the next rental term. Generally, the customer has the right to acquire title of the merchandise either through a purchase option or through payment of all required rental terms. Customers can terminate the agreement at the end of any rental term without penalty. Therefore rental transactions are accounted for as operating leases.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Rental payments received at our Core U.S., ANOW (excluding Merchants Preferred) and Mexico locations must be prepaid and revenue is recognized over the rental term. Under Merchants Preferred virtual business model, revenues are earned prior to the rental payment due date. Therefore, revenue is accrued prior to receipt of the rental payment, net of estimated returns and uncollectible renewal payments. See Note 4 for additional information regarding accrued rental revenue and the related allowances for returns and uncollectible payments.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received for rental payments, including fees, prior to the period in which it should be recognized, is deferred and recognized according to the rental term. At September 30, 2019 and December 31, 2018, we had $39.1 million and $42.1 million, respectively, in deferred revenue included in accrued liabilities related to our rental purchase agreements. Revenue related to various payment, reinstatement or late fees is recognized when paid by the customer at the point service is provided. Rental merchandise is depreciated using the income forecasting method and is recognized in cost of sales over the rental term.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U.S., Acceptance Now, and Mexico</w:t>
      </w:r>
    </w:p>
    <w:p>
      <w:pPr>
        <w:spacing w:after="0" w:line="1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Merchandise sales include payments received for the exercise of the early purchase option offered through our rental purchase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Installment Sales. </w:t>
      </w:r>
      <w:r>
        <w:rPr>
          <w:rFonts w:ascii="Times New Roman" w:cs="Times New Roman" w:eastAsia="Times New Roman" w:hAnsi="Times New Roman"/>
          <w:sz w:val="18"/>
          <w:szCs w:val="18"/>
          <w:color w:val="auto"/>
        </w:rPr>
        <w:t>Revenue from the sale of merchandise in our retail installment stores is recognized when the installment note is signed and control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and receive a refund for payments previously made towards the plan. At September 30, 2019 and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we had $2.8 million and $3.0 million, respectively, in deferred revenue included in accrued liabilities related to extended service plans.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 primarily consisted of external maintenance and repair services provided by the Company’s service department, in addition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miscellaneous product plans offered to our rental and installment customers. We completed the shut down of our service department operations early in the first quarter of 2019. Revenue for other product plans is recognized in accordance with the terms of the applicable plan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Franchising Merchandise Sales. </w:t>
      </w:r>
      <w:r>
        <w:rPr>
          <w:rFonts w:ascii="Times New Roman" w:cs="Times New Roman" w:eastAsia="Times New Roman" w:hAnsi="Times New Roman"/>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Royalty Income and Fees. </w:t>
      </w:r>
      <w:r>
        <w:rPr>
          <w:rFonts w:ascii="Times New Roman" w:cs="Times New Roman" w:eastAsia="Times New Roman" w:hAnsi="Times New Roman"/>
          <w:sz w:val="18"/>
          <w:szCs w:val="18"/>
          <w:color w:val="auto"/>
        </w:rPr>
        <w:t>Franchise royalties, including franchisee contributions to corporate advertising funds, represent sales-based royalties calculated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gross rental payments and sales. Royalty revenue is recognized as rental payments and sales occur. Franchise fees are initial fees charged to franchisees for new or converted franchise stores. Franchise fee revenue is recognized on a straight-line basis over the term of the franchise agreement. At September 30, 2019 and December 31, 2018, we had $4.4 million and $4.1 million, respectively, in deferred revenue included in accrued liabilities related to franchise fees.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and Allowance for Doubtful Accounts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Installment sales receivables consist primarily of receivables due from customers for the sale of merchandise in our retail installment stores. Trade and notes receivables consist primarily of amounts due from our rental customers for renewal and uncollected rental payments; amounts owed from our franchisees for inventory purchases, earned royalties and other obligations; and other corporate related receivables.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35"/>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Installment sales receivables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52,163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54,746</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and notes receivables</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24,580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19,782</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receivables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76,743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74,528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receivables, net of allowance for doubtful accounts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69,645</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allowances against our receivable balances, primarily related to expected merchandise returns and uncollectible payments due from our virtual rental and installment customers. The allowance for doubtful accounts related to trade and notes receivable was $2.8 million and $1.3 million at September 30, 2019 and December 31, 2018, respectively. The allowance for doubtful accounts related to installment sales receivable was $3.2 million and $3.6 million at September 30, 2019 and December 31, 2018,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allowance for doubtful accounts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3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4,883</w:t>
            </w:r>
          </w:p>
        </w:tc>
      </w:tr>
      <w:tr>
        <w:trPr>
          <w:trHeight w:val="257"/>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Bad debt expense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2"/>
                <w:szCs w:val="22"/>
                <w:color w:val="auto"/>
              </w:rPr>
            </w:pP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10,198</w:t>
            </w:r>
          </w:p>
        </w:tc>
      </w:tr>
      <w:tr>
        <w:trPr>
          <w:trHeight w:val="257"/>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Estimated returns and uncollectible rental payments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1,393</w:t>
            </w:r>
          </w:p>
        </w:tc>
      </w:tr>
      <w:tr>
        <w:trPr>
          <w:trHeight w:val="224"/>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written off</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Recoveries</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r>
      <w:tr>
        <w:trPr>
          <w:trHeight w:val="231"/>
        </w:trPr>
        <w:tc>
          <w:tcPr>
            <w:tcW w:w="9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Ending allowance for doubtful accounts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5,981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12700</wp:posOffset>
            </wp:positionV>
            <wp:extent cx="1080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2" w:lineRule="exact"/>
        <w:rPr>
          <w:sz w:val="20"/>
          <w:szCs w:val="20"/>
          <w:color w:val="auto"/>
        </w:rPr>
      </w:pPr>
    </w:p>
    <w:p>
      <w:pPr>
        <w:ind w:right="260" w:firstLine="8"/>
        <w:spacing w:after="0" w:line="281" w:lineRule="auto"/>
        <w:tabs>
          <w:tab w:leader="none" w:pos="17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Bad debt expense is primarily related to uncollectible installment payments, franchisee obligations, and other corporate receivables, and is recognized in other store operating expenses in our condensed consolidated financial statements.</w:t>
      </w: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returns and uncollectible rental payments is recognized as a reduction to rental revenue in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-454025</wp:posOffset>
            </wp:positionV>
            <wp:extent cx="1080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lease space for all of our Core U.S. and Mexico stores under operating leases expiring at various times through 2024. Most of our store leases are five year leases and contain renewal options for additional periods ranging from three to five years at rental rates adjusted according to agreed-upon formulas. We evaluate all leases to determine if it is likely that we will exercise future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renewal options and in most cases we are not reasonably certain of exercise due to competing market rental rates and lack of significant penalty or business disruption incurred by not exercising the renewal options. We have elected not to use the short-term lease exemption for our real estate leases. Therefore, we include month-to-month leases in operating lease right-of-use assets and operating lease liabilities in our condensed consolidated balance sheet. In certain store sales, we enter into lease assignment agreements with the buyer, but remain as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vehicles for all of our Core U.S.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 We also lease vehicles for all of our Mexico stores which have terms expiring at various times through 2022 with rental rates adjusted periodically for inflation. Finally, we have a minimal number of equipment leases, primarily related to temporary storage and certain back office technology hardware assets.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of the leases described above, we have elected to use the practical expedient not to separate the lease and non-lease components and account for these as a single component. We have also elected the practical expedients that remove the requirement to reassess whether expired or existing contracts contain leases and the requirement to reassess the lease classification for any existing leases prior to the adoption date.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discounted using our incremental borrowing rate, since the implicit rate is not readily determinable. We do not currently have any financing leases.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are recorded on a straight-line basis within other store expenses in our condensed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costs by expense type: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7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3"/>
                <w:szCs w:val="23"/>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40" w:type="dxa"/>
            <w:vAlign w:val="bottom"/>
          </w:tcPr>
          <w:p>
            <w:pPr>
              <w:spacing w:after="0"/>
              <w:rPr>
                <w:sz w:val="23"/>
                <w:szCs w:val="23"/>
                <w:color w:val="auto"/>
              </w:rPr>
            </w:pPr>
          </w:p>
        </w:tc>
        <w:tc>
          <w:tcPr>
            <w:tcW w:w="17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69"/>
        </w:trPr>
        <w:tc>
          <w:tcPr>
            <w:tcW w:w="744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Operating lease cost included in other store expenses</w:t>
            </w:r>
            <w:r>
              <w:rPr>
                <w:rFonts w:ascii="Times New Roman" w:cs="Times New Roman" w:eastAsia="Times New Roman" w:hAnsi="Times New Roman"/>
                <w:sz w:val="25"/>
                <w:szCs w:val="25"/>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36,441</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111,226</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cost included in other charges</w:t>
            </w:r>
          </w:p>
        </w:tc>
        <w:tc>
          <w:tcPr>
            <w:tcW w:w="22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10,185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Sublease receipts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lease charges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37,309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115,852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8890</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right="7100" w:firstLine="8"/>
        <w:spacing w:after="0" w:line="441" w:lineRule="auto"/>
        <w:tabs>
          <w:tab w:leader="none" w:pos="17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short-term lease costs, which are not significant. Supplemental cash flow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-479425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8"/>
        </w:trPr>
        <w:tc>
          <w:tcPr>
            <w:tcW w:w="84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49"/>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measurement of operating lease liabilities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91,235</w:t>
            </w: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paid for short-term operating leases not included in operating lease liabilities</w:t>
            </w:r>
          </w:p>
        </w:tc>
        <w:tc>
          <w:tcPr>
            <w:tcW w:w="480" w:type="dxa"/>
            <w:vAlign w:val="bottom"/>
          </w:tcPr>
          <w:p>
            <w:pPr>
              <w:spacing w:after="0"/>
              <w:rPr>
                <w:sz w:val="21"/>
                <w:szCs w:val="21"/>
                <w:color w:val="auto"/>
              </w:rPr>
            </w:pPr>
          </w:p>
        </w:tc>
        <w:tc>
          <w:tcPr>
            <w:tcW w:w="2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21,247</w:t>
            </w:r>
          </w:p>
        </w:tc>
      </w:tr>
      <w:tr>
        <w:trPr>
          <w:trHeight w:val="27"/>
        </w:trPr>
        <w:tc>
          <w:tcPr>
            <w:tcW w:w="8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36,371</w:t>
            </w:r>
          </w:p>
        </w:tc>
      </w:tr>
      <w:tr>
        <w:trPr>
          <w:trHeight w:val="32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and weighted-average remaining lease term:</w:t>
            </w:r>
          </w:p>
        </w:tc>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3"/>
        </w:trPr>
        <w:tc>
          <w:tcPr>
            <w:tcW w:w="8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69"/>
        </w:trPr>
        <w:tc>
          <w:tcPr>
            <w:tcW w:w="846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Weighted-average discount rate</w:t>
            </w:r>
            <w:r>
              <w:rPr>
                <w:rFonts w:ascii="Times New Roman" w:cs="Times New Roman" w:eastAsia="Times New Roman" w:hAnsi="Times New Roman"/>
                <w:sz w:val="25"/>
                <w:szCs w:val="25"/>
                <w:color w:val="auto"/>
                <w:vertAlign w:val="superscript"/>
              </w:rPr>
              <w:t>(1)</w:t>
            </w:r>
          </w:p>
        </w:tc>
        <w:tc>
          <w:tcPr>
            <w:tcW w:w="480" w:type="dxa"/>
            <w:vAlign w:val="bottom"/>
            <w:shd w:val="clear" w:color="auto" w:fill="CCEEFF"/>
          </w:tcPr>
          <w:p>
            <w:pPr>
              <w:spacing w:after="0"/>
              <w:rPr>
                <w:sz w:val="23"/>
                <w:szCs w:val="23"/>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80" w:type="dxa"/>
            <w:vAlign w:val="bottom"/>
          </w:tcPr>
          <w:p>
            <w:pPr>
              <w:spacing w:after="0"/>
              <w:rPr>
                <w:sz w:val="21"/>
                <w:szCs w:val="21"/>
                <w:color w:val="auto"/>
              </w:rPr>
            </w:pPr>
          </w:p>
        </w:tc>
        <w:tc>
          <w:tcPr>
            <w:tcW w:w="24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w:t>
            </w:r>
          </w:p>
        </w:tc>
      </w:tr>
    </w:tbl>
    <w:p>
      <w:pPr>
        <w:spacing w:after="0" w:line="9" w:lineRule="exact"/>
        <w:rPr>
          <w:sz w:val="20"/>
          <w:szCs w:val="20"/>
          <w:color w:val="auto"/>
        </w:rPr>
      </w:pPr>
    </w:p>
    <w:p>
      <w:pPr>
        <w:ind w:left="5620" w:right="2800" w:hanging="5612"/>
        <w:spacing w:after="0"/>
        <w:tabs>
          <w:tab w:leader="none" w:pos="183"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January 1, 2019 incremental borrowing rate was used for leases in existence at the time of adoption of ASU 2016-02. 12</w:t>
      </w:r>
    </w:p>
    <w:p>
      <w:pPr>
        <w:sectPr>
          <w:pgSz w:w="11900" w:h="16838" w:orient="portrait"/>
          <w:cols w:equalWidth="0" w:num="1">
            <w:col w:w="11420"/>
          </w:cols>
          <w:pgMar w:left="240" w:top="11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57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RENT-A-CENTER, INC. AND SUBSIDIARIES</w:t>
            </w:r>
          </w:p>
        </w:tc>
        <w:tc>
          <w:tcPr>
            <w:tcW w:w="2120" w:type="dxa"/>
            <w:vAlign w:val="bottom"/>
          </w:tcPr>
          <w:p>
            <w:pPr>
              <w:spacing w:after="0"/>
              <w:rPr>
                <w:sz w:val="18"/>
                <w:szCs w:val="18"/>
                <w:color w:val="auto"/>
              </w:rPr>
            </w:pPr>
          </w:p>
        </w:tc>
      </w:tr>
      <w:tr>
        <w:trPr>
          <w:trHeight w:val="216"/>
        </w:trPr>
        <w:tc>
          <w:tcPr>
            <w:tcW w:w="9300" w:type="dxa"/>
            <w:vAlign w:val="bottom"/>
            <w:gridSpan w:val="3"/>
          </w:tcPr>
          <w:p>
            <w:pPr>
              <w:jc w:val="center"/>
              <w:ind w:left="2038"/>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 (Continued)</w:t>
            </w:r>
          </w:p>
        </w:tc>
        <w:tc>
          <w:tcPr>
            <w:tcW w:w="2120" w:type="dxa"/>
            <w:vAlign w:val="bottom"/>
          </w:tcPr>
          <w:p>
            <w:pPr>
              <w:spacing w:after="0"/>
              <w:rPr>
                <w:sz w:val="18"/>
                <w:szCs w:val="18"/>
                <w:color w:val="auto"/>
              </w:rPr>
            </w:pPr>
          </w:p>
        </w:tc>
      </w:tr>
      <w:tr>
        <w:trPr>
          <w:trHeight w:val="238"/>
        </w:trPr>
        <w:tc>
          <w:tcPr>
            <w:tcW w:w="3560" w:type="dxa"/>
            <w:vAlign w:val="bottom"/>
          </w:tcPr>
          <w:p>
            <w:pPr>
              <w:spacing w:after="0"/>
              <w:rPr>
                <w:sz w:val="20"/>
                <w:szCs w:val="20"/>
                <w:color w:val="auto"/>
              </w:rPr>
            </w:pPr>
          </w:p>
        </w:tc>
        <w:tc>
          <w:tcPr>
            <w:tcW w:w="57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120" w:type="dxa"/>
            <w:vAlign w:val="bottom"/>
          </w:tcPr>
          <w:p>
            <w:pPr>
              <w:spacing w:after="0"/>
              <w:rPr>
                <w:sz w:val="20"/>
                <w:szCs w:val="20"/>
                <w:color w:val="auto"/>
              </w:rPr>
            </w:pPr>
          </w:p>
        </w:tc>
      </w:tr>
      <w:tr>
        <w:trPr>
          <w:trHeight w:val="567"/>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Reconciliation of undiscounted operating lease liabilities to the present value operating lease liabilities at September 30, 2019:</w:t>
            </w:r>
          </w:p>
        </w:tc>
        <w:tc>
          <w:tcPr>
            <w:tcW w:w="2120" w:type="dxa"/>
            <w:vAlign w:val="bottom"/>
          </w:tcPr>
          <w:p>
            <w:pPr>
              <w:spacing w:after="0"/>
              <w:rPr>
                <w:sz w:val="24"/>
                <w:szCs w:val="24"/>
                <w:color w:val="auto"/>
              </w:rPr>
            </w:pPr>
          </w:p>
        </w:tc>
      </w:tr>
      <w:tr>
        <w:trPr>
          <w:trHeight w:val="333"/>
        </w:trPr>
        <w:tc>
          <w:tcPr>
            <w:tcW w:w="3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9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5"/>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574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30,741</w:t>
            </w:r>
          </w:p>
        </w:tc>
      </w:tr>
      <w:tr>
        <w:trPr>
          <w:trHeight w:val="224"/>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109,746</w:t>
            </w:r>
          </w:p>
        </w:tc>
      </w:tr>
      <w:tr>
        <w:trPr>
          <w:trHeight w:val="33"/>
        </w:trPr>
        <w:tc>
          <w:tcPr>
            <w:tcW w:w="35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49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78,774</w:t>
            </w:r>
          </w:p>
        </w:tc>
      </w:tr>
      <w:tr>
        <w:trPr>
          <w:trHeight w:val="224"/>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49,954</w:t>
            </w:r>
          </w:p>
        </w:tc>
      </w:tr>
      <w:tr>
        <w:trPr>
          <w:trHeight w:val="33"/>
        </w:trPr>
        <w:tc>
          <w:tcPr>
            <w:tcW w:w="35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49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24,887</w:t>
            </w:r>
          </w:p>
        </w:tc>
      </w:tr>
      <w:tr>
        <w:trPr>
          <w:trHeight w:val="224"/>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11,976</w:t>
            </w:r>
          </w:p>
        </w:tc>
      </w:tr>
      <w:tr>
        <w:trPr>
          <w:trHeight w:val="33"/>
        </w:trPr>
        <w:tc>
          <w:tcPr>
            <w:tcW w:w="35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undiscounted operating lease liabilities</w:t>
            </w:r>
          </w:p>
        </w:tc>
        <w:tc>
          <w:tcPr>
            <w:tcW w:w="49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306,078</w:t>
            </w:r>
          </w:p>
        </w:tc>
      </w:tr>
      <w:tr>
        <w:trPr>
          <w:trHeight w:val="224"/>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Interest</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(33,563)</w:t>
            </w:r>
          </w:p>
        </w:tc>
      </w:tr>
      <w:tr>
        <w:trPr>
          <w:trHeight w:val="33"/>
        </w:trPr>
        <w:tc>
          <w:tcPr>
            <w:tcW w:w="35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present value of operating lease liabilities</w:t>
            </w:r>
          </w:p>
        </w:tc>
        <w:tc>
          <w:tcPr>
            <w:tcW w:w="5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272,515</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840, future minimum rental payments for operating leases with remaining lease terms in excess of one year, at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145,345</w:t>
            </w:r>
          </w:p>
        </w:tc>
      </w:tr>
      <w:tr>
        <w:trPr>
          <w:trHeight w:val="224"/>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520" w:type="dxa"/>
            <w:vAlign w:val="bottom"/>
          </w:tcPr>
          <w:p>
            <w:pPr>
              <w:spacing w:after="0"/>
              <w:rPr>
                <w:sz w:val="19"/>
                <w:szCs w:val="19"/>
                <w:color w:val="auto"/>
              </w:rPr>
            </w:pPr>
          </w:p>
        </w:tc>
        <w:tc>
          <w:tcPr>
            <w:tcW w:w="24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116,785</w:t>
            </w:r>
          </w:p>
        </w:tc>
      </w:tr>
      <w:tr>
        <w:trPr>
          <w:trHeight w:val="33"/>
        </w:trPr>
        <w:tc>
          <w:tcPr>
            <w:tcW w:w="8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5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80,362</w:t>
            </w:r>
          </w:p>
        </w:tc>
      </w:tr>
      <w:tr>
        <w:trPr>
          <w:trHeight w:val="224"/>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520" w:type="dxa"/>
            <w:vAlign w:val="bottom"/>
          </w:tcPr>
          <w:p>
            <w:pPr>
              <w:spacing w:after="0"/>
              <w:rPr>
                <w:sz w:val="19"/>
                <w:szCs w:val="19"/>
                <w:color w:val="auto"/>
              </w:rPr>
            </w:pPr>
          </w:p>
        </w:tc>
        <w:tc>
          <w:tcPr>
            <w:tcW w:w="24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47,417</w:t>
            </w:r>
          </w:p>
        </w:tc>
      </w:tr>
      <w:tr>
        <w:trPr>
          <w:trHeight w:val="33"/>
        </w:trPr>
        <w:tc>
          <w:tcPr>
            <w:tcW w:w="8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16,460</w:t>
            </w:r>
          </w:p>
        </w:tc>
      </w:tr>
      <w:tr>
        <w:trPr>
          <w:trHeight w:val="224"/>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520" w:type="dxa"/>
            <w:vAlign w:val="bottom"/>
          </w:tcPr>
          <w:p>
            <w:pPr>
              <w:spacing w:after="0"/>
              <w:rPr>
                <w:sz w:val="19"/>
                <w:szCs w:val="19"/>
                <w:color w:val="auto"/>
              </w:rPr>
            </w:pPr>
          </w:p>
        </w:tc>
        <w:tc>
          <w:tcPr>
            <w:tcW w:w="24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2,280</w:t>
            </w:r>
          </w:p>
        </w:tc>
      </w:tr>
      <w:tr>
        <w:trPr>
          <w:trHeight w:val="33"/>
        </w:trPr>
        <w:tc>
          <w:tcPr>
            <w:tcW w:w="84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future minimum rental payments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408,649</w:t>
            </w:r>
          </w:p>
        </w:tc>
      </w:tr>
      <w:tr>
        <w:trPr>
          <w:trHeight w:val="20"/>
        </w:trPr>
        <w:tc>
          <w:tcPr>
            <w:tcW w:w="8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was (4.15)% and 17.15% for the three and nine months ended September 30, 2019, compared to 16.56% and 35.63% for the respective periods in 2018. The effective tax rate for the three and nine months ended September 30, 2019 was lower than the expected statutory tax rate of 21%, primarily as a result of the reversal of previously recorded reserves for uncertain tax positions due to the lapse of the statute of limitations for certain years in certain jurisdictions.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Senior Debt,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5, 2019, we entered into a new Term Loan Credit Agreement (the “Term Loan Credit Agreement”) providing for a seven-year $200 million senior secured term loan facility and an Asset Based Loan Credit Agreement (the “ABL Credit Agreement”) providing a five-year asset-based revolving credit facility (the “ABL Credit Facility”) with commitments of $300 million, the proceeds of which were used for the redemption of all of our outstanding senior notes. The amounts outstanding under the Term Loan Credit Agreement and ABL Credit Facility were $200.0 million and $60.0 million at September 30, 2019, respectively.</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from the Term Loan Credit Agreement were net of original issue discount of $2.0 million upon issuance from the lenders. In addition, in connection with the closing of the Term Loan Credit Agreement and the ABL Credit Facility, we incurred approximately $6.3 million in debt issuance costs. The original issue discount and debt issuance costs will be amortized over the remaining terms of the respective credit agreements. As of September 30, 2019, the total unamortized balance of debt issuance costs relating to our senior debt and original issue discount reported in the Condensed Consolidated Balance Sheet were $7.0 million and $2.0 million, respectively.</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utilize the ABL Credit Facility for the issuance of letters of credit. As of September 30, 2019, we have issued letters of credit in the aggregate amount of $92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Credit Agreement, which matures on August 5, 2026, amortizes in equal quarterly installments at a rate of 1.00% per annum of the original principal amount thereof, with the remaining balance due at final maturity. Interest on the Term Loan Credit Agreement will accrue at the Eurodollar rate plus an applicable margin equal to 4.50%. The margin on the Term Loan Credit Agreement was 6.63% at September 30, 2019.</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Credit Agreement permits the Company to prepay the term loans, in whole or in part, without penalty on or after the six-month anniversary of the Closing Date. It also permits the Company to incur incremental term loans in an aggregate amount equal to $150 million plus the amount of voluntary prepayments of the term loans and an unlimited amount subject to a pro forma consolidated senior secured leverage ratio of not greater than 2.00 to 1.00, subject to certain other conditions.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under the Term Loan Credit Agreement are guaranteed by certain of our subsidiaries. The Term Loan Credit Agreement and the guarantees are secured on a first-priority basis by substantially all of the tangible and intangible assets of the company and the guarantors, other than collateral subject to a first-priority lien under the ABL Credit Agreement, consisting of, among other things, accounts receivable, inventory and bank accounts (and funds on deposit therein), in which the Term Loan Credit Agreement and the guarantees have a second-priority security interest, in each case, subject to certain exceptions.</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Term Loan Credit Agreement contains covenants that are usual and customary for facilities and transactions of this type and that, among other things, restrict the ability of the company and its restricted subsidiaries to:</w:t>
      </w:r>
    </w:p>
    <w:p>
      <w:pPr>
        <w:spacing w:after="0" w:line="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and enter into certain sale and lease-back transactions, excluding the sale and lease-back of the company headquarters;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assume, incur or guarantee certain indebtedness;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convey, transfer or lease all or substantially all of the company’s and its restricted subsidiaries’ assets, to another person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or repurchase or redeem, the company’s capital stock or certain other debt;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restricted payments.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limitations and exceptions set forth in the Term Loan Credit Agreement. We are currently permitted to pay dividends and repurchase the company's common stock without limitation.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Credit Agreement provides for customary events of default, including, but not limited to, failure to pay principal and interest, failure to comply with covenants, agreements or conditions, and certain events of bankruptcy or insolvency involving the Company and its significant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Facility will mature on August 5, 2024. The Borrowers (as defined in the ABL Credit Agreement) may borrow only up to the lesser of the level of the then-current Borrowing Base and the committed maximum borrowing capacity of $300 million. The Borrowing Base is tied to the Eligible Installment Sales Accounts, Inventory and Eligible Rental Contracts, reduced by Reserves, as defined in the ABL Credit Agreement. We provide to the Agent information necessary to calculate the Borrowing Base within 30 days of the end of each calendar month, unless liquidity is less than 15% of the maximum borrowing capacity of the ABL Credit Agreement or $45 million, in which case we must provide weekly information.</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is payable on the ABL Credit Facility at a fluctuating rate of interest determined by reference to the Eurodollar rate plus an applicable margin of 1.50% to 2.00%. The margin on the ABL Credit Facility was 3.63% at September 30, 2019. A commitment fee equal to 0.250% to 0.375% of the unused portion of the ABL Credit Facility fluctuates dependent upon average utilization for the prior month as defined by a pricing grid included in the ABL Credit Agreement. The commitment fee at September 30, 2019 was 0.375%. We paid $0.3 million of commitment fees during the third quarter of 2019.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are limited to the lesser of (x) $150 million, subject to certain limitations, and (y) the aggregate unused availability then in effect.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conditions, the ABL Credit Facility may be expanded by up to $100 million in additional commitments, subject to a pro forma fixed charge coverage ratio being greater than 1.10 to 1.00.</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ABL Credit Agreement are guaranteed by the company and certain of the company’s subsidiaries. The ABL Credit Agreement and the guarantees are secured on a first-priority basis on all our and the guarantors’ accounts receivable, inventory and bank accounts (and funds on deposit therein) and a second-priority basis on all of the tangible and intangible assets (second in priority to the liens securing the Term Loan Credit Agreement) of such persons, in each case, subject to certain exceptions.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Agreement contains covenants that are usual and customary for facilities and transactions of this type and are substantially the same as covenants in the Term Loan Credit Agreement. The ABL Credit Facility also requires the maintenance of a Consolidated Fixed Charge Coverage Ratio (as defined in the ABL Credit Agreement) of 1.10 to 1.00 at the end of each fiscal quarter when either (i) certain specified events of default have occurred and are continuing or (ii) availability is less than or equal to the greater of $33.75 million and 15% of the line cap then in effect.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24" w:lineRule="exact"/>
        <w:rPr>
          <w:sz w:val="20"/>
          <w:szCs w:val="20"/>
          <w:color w:val="auto"/>
        </w:rPr>
      </w:pPr>
    </w:p>
    <w:p>
      <w:pPr>
        <w:ind w:right="100"/>
        <w:spacing w:after="0" w:line="407" w:lineRule="auto"/>
        <w:rPr>
          <w:sz w:val="20"/>
          <w:szCs w:val="20"/>
          <w:color w:val="auto"/>
        </w:rPr>
      </w:pPr>
      <w:r>
        <w:rPr>
          <w:rFonts w:ascii="Times New Roman" w:cs="Times New Roman" w:eastAsia="Times New Roman" w:hAnsi="Times New Roman"/>
          <w:sz w:val="18"/>
          <w:szCs w:val="18"/>
          <w:color w:val="auto"/>
        </w:rPr>
        <w:t xml:space="preserve">The ABL Credit Agreement provides for customary events of default that are substantially the same as events of default in the Term Loan Credit Agreement. </w:t>
      </w:r>
      <w:r>
        <w:rPr>
          <w:rFonts w:ascii="Times New Roman" w:cs="Times New Roman" w:eastAsia="Times New Roman" w:hAnsi="Times New Roman"/>
          <w:sz w:val="18"/>
          <w:szCs w:val="18"/>
          <w:b w:val="1"/>
          <w:bCs w:val="1"/>
          <w:color w:val="auto"/>
        </w:rPr>
        <w:t>Note 8 - Senior Notes</w:t>
      </w: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2010, we issued $300 million in senior unsecured notes due November 2020, bearing interest at 6.625%, pursuant to an indenture dated November 2, 2010, among Rent-A-Center, Inc., its subsidiary guarantors and The Bank of New York Mellon Trust Company, as trustee. On May 2, 2013, we issued $250 million in senior unsecured notes due May 2021, bearing interest at 4.75%, pursuant to an indenture dated May 2, 2013, among Rent-A-Center, Inc., its subsidiary guarantors and The Bank of New York Mellon Trust Company, as trustee.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5, 2019, Rent-A-Center irrevocably deposited the redemption price for the 6.625% and 4.75% senior notes with the trustee, and the indentures were satisfied and discharged. The 6.625% and 4.75% senior notes were redeemed on August 15, 2019, at a price equal to 100% of their principal amount plus accrued and unpaid interest to, but excluding, the redemption date. As a result, Rent-A-Center and its subsidiary guarantors were released from their respective obligations under the 6.625% and 4.75% senior notes as of August 5, 2019. As of December 31, 2018, we had $540.0 million in senior notes outstanding, net of unamortized issuance costs.</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redeeming the senior unsecured notes, we recorded a write-down of previously unamortized debt issuance costs of approximately $2.0 million in the third quarter of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There were no changes in the methods and assumptions used in measuring fair value during the period.</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2019, our financial instruments include cash and cash equivalents, receivables, payables, and outstanding borrowings against our ABL and Term Loan Credit Facilities. The carrying amount of cash and cash equivalents, receivables and payables approximates fair value at September 30, 2019 and December 31, 2018, because of the short maturities of these instruments. In addition, the interest rates on our Term Loan and ABL Credit Facilities are variable and, therefore, the carrying value of outstanding borrowings approximates their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Charges and (Gains)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Savings Initiatives. </w:t>
      </w:r>
      <w:r>
        <w:rPr>
          <w:rFonts w:ascii="Times New Roman" w:cs="Times New Roman" w:eastAsia="Times New Roman" w:hAnsi="Times New Roman"/>
          <w:sz w:val="18"/>
          <w:szCs w:val="18"/>
          <w:color w:val="auto"/>
        </w:rPr>
        <w:t>During 2018, we began execution of multiple cost savings initiatives, including reductions in overhead and supply chain, resulting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pre-tax charges during the first nine months of 2019 consisting of $4.7 million in lease impairment charges, $2.8 million in severance and other payroll-related costs, $2.2 million in other miscellaneous shutdown and holding costs, and $0.4 million in disposal of fixed assets. Costs incurred during the first nine months of 2018 related to these initiatives included pre-tax charges of $6.8 million in contract termination fees, $7.0 million in severance and other payroll-related costs, $1.9 million in legal and advisory fees, $1.1 million in other miscellaneous shutdown costs, $0.9 million in lease obligation costs, $0.4 million related to the write-down of capitalized software, and $0.1 million in disposal of fixed assets.</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Store Consolidation Plan. </w:t>
      </w:r>
      <w:r>
        <w:rPr>
          <w:rFonts w:ascii="Times New Roman" w:cs="Times New Roman" w:eastAsia="Times New Roman" w:hAnsi="Times New Roman"/>
          <w:sz w:val="18"/>
          <w:szCs w:val="18"/>
          <w:color w:val="auto"/>
        </w:rPr>
        <w:t>During the first nine months of 2019, we closed 83 Core U.S. stores, resulting in pre-tax charges of $3.1 million in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charges, $1.7 million in other miscellaneous shutdown and holding costs, $0.8 million in disposal of fixed assets, and $0.4 million in severance and other payroll-related costs. During the first nine months of 2018, we closed 129 Core U.S. stores and 9 locations in Mexico, resulting in pre-tax charges of $10.5 million, consisting of $7.9 million in lease obligation costs, $1.5 million in disposal of fixed assets, $0.9 million in other miscellaneous shutdown and holding costs, and $0.2 million in severance and other payroll-related costs.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Vintage Settlement. </w:t>
      </w:r>
      <w:r>
        <w:rPr>
          <w:rFonts w:ascii="Times New Roman" w:cs="Times New Roman" w:eastAsia="Times New Roman" w:hAnsi="Times New Roman"/>
          <w:sz w:val="18"/>
          <w:szCs w:val="18"/>
          <w:color w:val="auto"/>
        </w:rPr>
        <w:t>On April 22, 2019, we agreed to settle (the "Vintage Settlement") all litigation with Vintage Rodeo Parent, LLC, Vintage Rodeo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Inc., Vintage Capital Management, LLC (collectively, "Vintage Capital") and B. Riley Financial, Inc. ("B. Riley") relating to our termination of the Agreement and Plan of Merger (the "Merger Agreement") among Vintage Rodeo Parent, LLC, Vintage Rodeo Acquisition, Inc. and Rent-A-Center, Inc. In the Vintage Settlement, we received a payment of $92.5 million in cash in May 2019, of which we retained net pre-tax proceeds of approximately $80 million following payment of all remaining costs, fees and expenses relating to the termination (the "Vintage Settlement Proceeds"). The Vintage Settlement was recorded as a pre-tax gain upon receipt.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Merchants Preferred Acquisition. </w:t>
      </w:r>
      <w:r>
        <w:rPr>
          <w:rFonts w:ascii="Times New Roman" w:cs="Times New Roman" w:eastAsia="Times New Roman" w:hAnsi="Times New Roman"/>
          <w:sz w:val="18"/>
          <w:szCs w:val="18"/>
          <w:color w:val="auto"/>
        </w:rPr>
        <w:t>On August 13, 2019, we completed the previously announced acquisition of substantially all of the assets of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a nationwide virtual rent-to-own provider. In connection with this acquisition, we recorded approximately $1.1 million in acquisition-related expenses during the nine months ended September 30, 2019 including expenses related to legal, professional, and banking transaction fees.</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Write-down of Capitalized Software. </w:t>
      </w:r>
      <w:r>
        <w:rPr>
          <w:rFonts w:ascii="Times New Roman" w:cs="Times New Roman" w:eastAsia="Times New Roman" w:hAnsi="Times New Roman"/>
          <w:sz w:val="18"/>
          <w:szCs w:val="18"/>
          <w:color w:val="auto"/>
        </w:rPr>
        <w:t>During the first nine months of 2018, we discontinued certain IT software projects and as a result incurred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of $1.9 million, related to the write-down of capitalized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other charges and (gains) for the nine months ended September 30, 2019 is summarized in the below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Accrued Charges at</w:t>
            </w:r>
          </w:p>
        </w:tc>
        <w:tc>
          <w:tcPr>
            <w:tcW w:w="240" w:type="dxa"/>
            <w:vAlign w:val="bottom"/>
          </w:tcPr>
          <w:p>
            <w:pPr>
              <w:spacing w:after="0"/>
              <w:rPr>
                <w:sz w:val="13"/>
                <w:szCs w:val="13"/>
                <w:color w:val="auto"/>
              </w:rPr>
            </w:pP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Charges &amp;</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 &amp;</w:t>
            </w:r>
          </w:p>
        </w:tc>
        <w:tc>
          <w:tcPr>
            <w:tcW w:w="14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Accrued Charges at</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16"/>
                <w:szCs w:val="16"/>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charges: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 reduction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7,623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Lease obligation costs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miscellaneous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cash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7,074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Non-cash charges: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Asset impairments</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(3)</w:t>
            </w:r>
          </w:p>
        </w:tc>
        <w:tc>
          <w:tcPr>
            <w:tcW w:w="14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gains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right="180" w:firstLine="8"/>
        <w:spacing w:after="0" w:line="235" w:lineRule="auto"/>
        <w:tabs>
          <w:tab w:leader="none" w:pos="19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Upon adoption of ASU 2016-02, previously accrued lease obligation costs related to discontinued operations were eliminated and are now reflected as an adjustment to our operating lease right-of-use assets in our condensed consolidated balance sheet.</w:t>
      </w:r>
    </w:p>
    <w:p>
      <w:pPr>
        <w:ind w:right="60" w:firstLine="8"/>
        <w:spacing w:after="0" w:line="225" w:lineRule="auto"/>
        <w:tabs>
          <w:tab w:leader="none" w:pos="19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impairments of operating lease right-of-use assets and other property assets related to the closure of RTO stores and our product service centers in the first nine months of 2019.</w:t>
      </w:r>
    </w:p>
    <w:p>
      <w:pPr>
        <w:ind w:right="100" w:firstLine="8"/>
        <w:spacing w:after="0" w:line="237" w:lineRule="auto"/>
        <w:tabs>
          <w:tab w:leader="none" w:pos="19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primarily includes the Vintage Settlement Proceeds and insurance proceeds related to the 2017 hurricanes, offset by the Blair class action settlement (refer to Note 13 for additional details), incremental legal and professional fees related to the termination of the Merger Agreement and the Merchants Preferred acquisition, and state tax audit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-967740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All operating segments offer merchandise from four basic product categories: consumer electronics, appliances, computers, furniture and accessories. Our Core U.S. and Franchising segments also offer smartphones.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and nine months ended September 30, 2019 and 2018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4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33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U.S.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436,497</w:t>
            </w:r>
          </w:p>
        </w:tc>
        <w:tc>
          <w:tcPr>
            <w:tcW w:w="6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451,320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1,361,650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1,389,081</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Acceptance Now</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173,438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557,397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549,435</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40,266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37,122</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Franchising</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42,677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23,077</w:t>
            </w:r>
          </w:p>
        </w:tc>
      </w:tr>
      <w:tr>
        <w:trPr>
          <w:trHeight w:val="25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649,371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644,942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2,001,990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1,998,715</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33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U.S.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306,881</w:t>
            </w:r>
          </w:p>
        </w:tc>
        <w:tc>
          <w:tcPr>
            <w:tcW w:w="5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313,771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945,392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975,231</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Acceptance Now</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81,586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246,821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256,441</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27,966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25,756</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Franchising</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11,176</w:t>
            </w:r>
          </w:p>
        </w:tc>
      </w:tr>
      <w:tr>
        <w:trPr>
          <w:trHeight w:val="25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399,996</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407,740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1,232,933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1,268,604</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387"/>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24"/>
                <w:szCs w:val="24"/>
                <w:color w:val="auto"/>
              </w:rPr>
            </w:pPr>
          </w:p>
        </w:tc>
        <w:tc>
          <w:tcPr>
            <w:tcW w:w="33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U.S.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5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43,221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170,411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115,135</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Acceptance Now</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26,278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66,077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70,865</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2,306</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Franchising</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3,687</w:t>
            </w: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segments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70,943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245,110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191,993</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(149,480)</w:t>
            </w:r>
          </w:p>
        </w:tc>
      </w:tr>
      <w:tr>
        <w:trPr>
          <w:trHeight w:val="25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profit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25,632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186,025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42,513</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387"/>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24"/>
                <w:szCs w:val="24"/>
                <w:color w:val="auto"/>
              </w:rPr>
            </w:pPr>
          </w:p>
        </w:tc>
        <w:tc>
          <w:tcPr>
            <w:tcW w:w="33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U.S.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5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15,619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19,482</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Acceptance Now</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1,288</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839</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Franchising</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segments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17,018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21,742</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28,770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30,532</w:t>
            </w:r>
          </w:p>
        </w:tc>
      </w:tr>
      <w:tr>
        <w:trPr>
          <w:trHeight w:val="25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16,946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45,788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52,274</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387"/>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24"/>
                <w:szCs w:val="24"/>
                <w:color w:val="auto"/>
              </w:rPr>
            </w:pPr>
          </w:p>
        </w:tc>
        <w:tc>
          <w:tcPr>
            <w:tcW w:w="33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U.S.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5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5,594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12,801</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Acceptance Now</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segments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13,108</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9,383</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12,010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22,491</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9"/>
              </w:rPr>
              <w:t>17</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 rent rental merchandise, net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U.S.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377,101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424,829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Acceptance Now</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242,978</w:t>
            </w: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16,001</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on rent rental merchandise,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683,808</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387"/>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Pr>
          <w:p>
            <w:pPr>
              <w:spacing w:after="0"/>
              <w:rPr>
                <w:sz w:val="24"/>
                <w:szCs w:val="24"/>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Held for rent rental merchandise, net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U.S.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104,341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117,294</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Acceptance Now</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1,207</w:t>
            </w: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5,161</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held for rent rental merchandise,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109,931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123,662</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387"/>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Pr>
          <w:p>
            <w:pPr>
              <w:spacing w:after="0"/>
              <w:rPr>
                <w:sz w:val="24"/>
                <w:szCs w:val="24"/>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by segment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U.S.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887,795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714,914</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Acceptance Now</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330,727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312,151</w:t>
            </w: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29,321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Franchising</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4,287</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segments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1,257,550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1,060,673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240,382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336,244</w:t>
            </w:r>
          </w:p>
        </w:tc>
      </w:tr>
      <w:tr>
        <w:trPr>
          <w:trHeight w:val="25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1,497,932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1,396,917</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$14.9 million of goodwill recorded in the third quarter of 2019 related to the acquisition of Merchants Preferred.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$2.0 million and $1.5 million in pre-tax compensation expense related to stock options and restricted stock units during the three months ended September 30, 2019 and 2018, respectively, and $4.6 million and $4.5 million during the nine months ended September 30, 2019 and 2018, respectively. During the nine months ended September 30, 2019, we granted approximately 277,000 stock options, 278,000 market-based performance restricted stock units and 199,000 time-vesting restricted stock units. The stock options granted were valued using a Black-Scholes pricing model with the following assumptions: an expected volatility of 48.28% to 55.17%, a risk-free interest rate of 1.75% to 2.34%, an expected dividend yield of 0% to 3.76%, and an expected term of 3.50 to 5.75 years. The weighted-average exercise price of the options granted during the nine months ended September 30, 2019 was $21.34 and the weighted-average grant-date fair value was $9.27. Performance-based restricted stock units are valued using a Monte Carlo simulation. Time-vesting restricted stock units are valued using the closing price on the trading day immediately preceding the day of the grant. The weighted-average grant date fair value of the market-based performance and time-vesting restricted stock units granted during the nine months ended September 30, 2019 was $33.70 and $21.05,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along with our subsidiaries, is party to various legal proceedings arising in the ordinary course of business. We reserve for loss contingencies that are both probable and reasonably estimable. We regularly monitor developments related to these legal proceedings, and review the adequacy of our legal reserves on a quarterly basis. We do not expect these losses to have a material impact on our condensed consolidated financial statements if and when such losses are incurred.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unclaimed property audits by states in the ordinary course of business. The property subject to review in the audit process include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in compliance with applicable escheat laws.</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Blair v. Rent-A-Center, Inc. </w:t>
      </w:r>
      <w:r>
        <w:rPr>
          <w:rFonts w:ascii="Times New Roman" w:cs="Times New Roman" w:eastAsia="Times New Roman" w:hAnsi="Times New Roman"/>
          <w:sz w:val="18"/>
          <w:szCs w:val="18"/>
          <w:color w:val="auto"/>
        </w:rPr>
        <w:t>This matter is a state-wide class action complaint originally filed on March 13, 2017 in the Federal District Court for the Northern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of California. The complaint alleges various claims, including that our cash sales and total</w:t>
      </w:r>
    </w:p>
    <w:p>
      <w:pPr>
        <w:sectPr>
          <w:pgSz w:w="11900" w:h="16838" w:orient="portrait"/>
          <w:cols w:equalWidth="0" w:num="1">
            <w:col w:w="11420"/>
          </w:cols>
          <w:pgMar w:left="240" w:top="117"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type w:val="continuous"/>
        </w:sectPr>
      </w:pPr>
    </w:p>
    <w:bookmarkStart w:id="20" w:name="page21"/>
    <w:bookmarkEnd w:id="2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to own prices exceed the pricing permitted under the Karnette Rental-Purchase Act. Following a court-ordered mediation on March 28, 2019, we reached an agreement in principle to settle this matter for a total of $13 million, including attorneys’ fees. The settlement was approved by the court in October 2019. We have denied any liability in the settlement and agreed to the settlement in order to avoid additional expensive, time-consuming litigation. We recorded the pre-tax charge for this settlement in the first quarter of 2019, and the settlement amount will be paid in November 2019.</w:t>
      </w:r>
    </w:p>
    <w:p>
      <w:pPr>
        <w:spacing w:after="0" w:line="11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Velma Russell v. Acceptance Now. </w:t>
      </w:r>
      <w:r>
        <w:rPr>
          <w:rFonts w:ascii="Times New Roman" w:cs="Times New Roman" w:eastAsia="Times New Roman" w:hAnsi="Times New Roman"/>
          <w:sz w:val="18"/>
          <w:szCs w:val="18"/>
          <w:color w:val="auto"/>
        </w:rPr>
        <w:t>This purported class action arising out of calls made by Acceptance Now to customers’ reference(s) was filed on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2019 in Massachusetts state court. Specifically, plaintiffs seek to certify a class representing any references of customers (within the state of Massachusetts) during the 4 years prior to the filing date that were contacted by Acceptance Now more frequently during a 12 month period than is permitted by Massachusetts state law. The plaintiffs are seeking injunctive relief and statutory damages of $25 per reference which may be tripled to $75 per reference. References are not parties to our consumer arbitration agreement. We operate 12 Acceptance Now locations in Massachusetts. Discovery has commenced and a mediation took place in September 2019. We intend to continue to vigorously defend these claims, however, we cannot assure you that we will be found to have no liability in this matter.</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Federal Trade Commission civil investigative demand. </w:t>
      </w:r>
      <w:r>
        <w:rPr>
          <w:rFonts w:ascii="Times New Roman" w:cs="Times New Roman" w:eastAsia="Times New Roman" w:hAnsi="Times New Roman"/>
          <w:sz w:val="18"/>
          <w:szCs w:val="18"/>
          <w:color w:val="auto"/>
        </w:rPr>
        <w:t>In April 2019, along with other rent-to-own companies, we received a civil investigative demand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Trade Commission ("FTC") seeking information regarding certain transactions involving the purchase and sale of customer lease agreements, and whether such transactions violated the FTC Act. Although we believe such transactions were in compliance with the FTC Act, this inquiry could lead to an enforcement action and/or a consent order, and substantial costs. The Company has provided substantial information in response to this inquiry and continues to work with the FTC to resolve this matter.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basic and diluted earnings per common share were calculated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31,277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6,828</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54,487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53,455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Effect of dilutive stock awards</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946</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Weighted-average dilutive shares</w:t>
            </w:r>
          </w:p>
        </w:tc>
        <w:tc>
          <w:tcPr>
            <w:tcW w:w="3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56,058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54,912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55,753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54,401</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4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Anti-dilutive securities excluded from diluted loss per common</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Anti-dilutive performance share units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1,672</w:t>
            </w:r>
          </w:p>
        </w:tc>
      </w:tr>
      <w:tr>
        <w:trPr>
          <w:trHeight w:val="594"/>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depending on a variety of factors, including, but not limited to, the risks and uncertainties discussed under “Risk Factors” and “Management’s Discussion and Analysis of Financial Condition and Results of Operations.”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37" w:lineRule="exact"/>
        <w:rPr>
          <w:sz w:val="20"/>
          <w:szCs w:val="20"/>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strength of the economy and other economic conditions affecting consumer preferences and spending;</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disposable income available to our current and potential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unemployment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conditions, including availability of funding sources for us;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improving the financial and operational performance of our business segments, including our ability to execute our franchise strategy;</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pricing changes and strategies being deployed in our businesses;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realize benefits from our initiatives regarding cost-savings and other EBITDA enhancements, efficiencies and working capital improvements;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operate and execute our strategic initiatives;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store labor and other store expenses;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operation of our store information management systems;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strategic benefits from the Merchants Preferred Acquisition, including achieving expected synergies and operating efficiencies from the acquisition;</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Merchants Preferred's operations which may be more difficult, time-consuming or costly than expected;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loss of retail partners and business disruption arising from the Merchants Preferred Acquisition;</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certain key employees at Merchants Preferred;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Merchants Preferred's virtual rent-to-own business;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transition to more-readily scalable "cloud-based" solutions;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implement digital or E-commerce capabilities, including mobile applications;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or disruptions in, our distribution network;</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inflation or deflation in the prices of our products;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the effectiveness of a store consolidation, including our ability to retain the revenue from customer accounts merged into another store location as a result of a store consolidation;</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flow and our ability to generate sufficient cash flow to pay dividends;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market products and services that appeal to our customer demographic;</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perceptions of our brands;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26" w:lineRule="exact"/>
        <w:rPr>
          <w:sz w:val="20"/>
          <w:szCs w:val="20"/>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revenue associated with acquired customer accounts and enhance the performance of acquired stores;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and collect on our rental or lease purchase agreements;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adversely affecting the Rent-to-Own industry;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statutes or regulations governing our transactions;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policies;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conditions of the industries, countries or markets that we serve;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data security costs;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breaches in data security or other disturbances to our information technology and other networks and our ability to protect the integrity and security of individually identifiable data of our customers and employees;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relating to self-insurance liabilities and income tax and litigation reserves;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proceedings to which we are or may be a party to from time to time;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from time to time in our reports furnished or filed with the Securities and Exchange Commission.</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 important factors that could cause our actual results to differ materially from our expectations are discussed under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2018, and elsewhere in this Quarterly Report on Form 10-Q. You should not unduly rely on these forward-looking statements, which speak only as of the date of this Quarterly Report on Form 10-Q. Except as required by law, we are not obligated to publicly release any revisions to these forward-looking statements to reflect events or circumstances occurring after the date of this Quarterly Report on Form 10-Q or to reflect the occurrence of unanticipated events.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one of the largest rent-to-own operators in North America, focused on improving the quality of life for our customers by providing them the opportunity to obtain ownership of high-quality durable products, such as consumer electronics, appliances, computers (including tablets), smartphones, and furniture (including accessories), under flexible rental purchase agreements with no long-term obligation. We were incorporated in the State of Delaware in 1986.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right="20" w:hanging="166"/>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our virtual growth strategy through investment in our virtual business and systems with a focus towards expanding in large under served markets, national accounts, and online retailers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Capitalizing on key differentiators in our Acceptance Now segment through our staffed, virtual and hybrid operations models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Profitably grow our business through expansion in our product verticals, e-commerce platform enhancements, new store concepts, selective refranchising, and continuing to optimize our cost structure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customer experience by serving through any business channel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Merchants Preferred Acq</w:t>
      </w:r>
      <w:r>
        <w:rPr>
          <w:rFonts w:ascii="Times New Roman" w:cs="Times New Roman" w:eastAsia="Times New Roman" w:hAnsi="Times New Roman"/>
          <w:sz w:val="18"/>
          <w:szCs w:val="18"/>
          <w:color w:val="auto"/>
        </w:rPr>
        <w:t>uisition. On August 13, 2019, we completed the previously announced acquisition of substantially all of the assets of C/C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 d/b/a Merchants Preferred ("Merchants Preferred"), a nationwide virtual rent-to-own provider. Total consideration of approximately $46.6 million, consisted of cash consideration of approximately $30.0 million, offset by $2.0 million in cash-on-hand transferred from the seller at closing, and 701,918 shares of our common stock with a value of $27.31 per share on the date of closing. We do not expect the impact to 2019 earnings from the acquisition to be material. See Note 2 to our unaudited condensed consolidated financial statements for further information relating to the Merchants Preferred acquisition.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3"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focuses on our results of operations and issues related to our liquidity and capital resources. You should read this discussion in conjunction with the condensed consolidated financial statements and notes thereto included elsewhere in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2019, consolidated revenues decreased approximately $3.3 million, primarily driven by refranchising and closures of certain Core U.S. stores, partially offset by increased same store sales. Operating profit, however, increased approximately $143.5 million for the nine months ended September 30, 2019, primarily due to receipt of the Vintage Settlement Proceeds and reduction in operating expenses related to costs savings initiatives and store closures.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 our Core U.S. segment decreased approximately $27.4 million for the nine months ended September 30, 2019, driven by the refranchising of over 100 locations in the past 12 months and rationalization of the Core U.S. store base, partially offset by an increase in same store sales. Gross profit as a percentage of revenue decreased 0.8% primarily due to our continued strategy to enhance our value proposition. Operating profit increased $55.3 million for the nine months ended September 30, 2019, primarily due to decreases in store labor and other store expenses driven by lower store count and cost savings initiatives.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Acceptance Now segment revenues increased approximately $8.0 million for the nine months ended September 30, 2019, primarily due to the acquisition of Merchants Preferred and an increase in same store sales. Gross profit as a percent of revenue decreased 2.4% primarily due to our strategy to enhance our value proposition.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Mexico segment revenues increased by 8.5% for the nine months ended September 30, 2019, driving an increase in operating profit of 69.4%, or $1.6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for the Franchising segment increased $19.6 million for the nine months ended September 30, 2019, primarily due to an increase in franchise locations as a result of our refranchising initiative.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operations was $228.1 million for the nine months ended September 30, 2019. In addition, we paid down debt by $282.7 million over the respective period, ending the period with $73.7 million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33"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reference for the discussion that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5"/>
        </w:trPr>
        <w:tc>
          <w:tcPr>
            <w:tcW w:w="2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3"/>
                <w:szCs w:val="23"/>
                <w:color w:val="auto"/>
              </w:rPr>
            </w:pP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3"/>
                <w:szCs w:val="23"/>
                <w:color w:val="auto"/>
              </w:rPr>
            </w:pPr>
          </w:p>
        </w:tc>
        <w:tc>
          <w:tcPr>
            <w:tcW w:w="13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23"/>
                <w:szCs w:val="23"/>
                <w:color w:val="auto"/>
              </w:rPr>
            </w:pPr>
          </w:p>
        </w:tc>
      </w:tr>
      <w:tr>
        <w:trPr>
          <w:trHeight w:val="264"/>
        </w:trPr>
        <w:tc>
          <w:tcPr>
            <w:tcW w:w="2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Store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Rentals and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550,795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552,580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1,665,829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1,679,697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Installment sales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store 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634,353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637,542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1,959,313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1,975,638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139.6 %</w:t>
            </w:r>
          </w:p>
        </w:tc>
      </w:tr>
      <w:tr>
        <w:trPr>
          <w:trHeight w:val="225"/>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Royalty income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fees</w:t>
            </w: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7"/>
        </w:trPr>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649,371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644,942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2,001,990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1,998,715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Store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rentals and fees</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465,852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2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merchandise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2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sold</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70,575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236,255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13,745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5"/>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installment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05"/>
        </w:trPr>
        <w:tc>
          <w:tcPr>
            <w:tcW w:w="2060" w:type="dxa"/>
            <w:vAlign w:val="bottom"/>
            <w:shd w:val="clear" w:color="auto" w:fill="CCEEFF"/>
          </w:tcPr>
          <w:p>
            <w:pPr>
              <w:ind w:left="380"/>
              <w:spacing w:after="0" w:line="205" w:lineRule="exact"/>
              <w:rPr>
                <w:sz w:val="20"/>
                <w:szCs w:val="20"/>
                <w:color w:val="auto"/>
              </w:rPr>
            </w:pPr>
            <w:r>
              <w:rPr>
                <w:rFonts w:ascii="Times New Roman" w:cs="Times New Roman" w:eastAsia="Times New Roman" w:hAnsi="Times New Roman"/>
                <w:sz w:val="18"/>
                <w:szCs w:val="18"/>
                <w:color w:val="auto"/>
              </w:rPr>
              <w:t>Total cost of store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1"/>
        </w:trPr>
        <w:tc>
          <w:tcPr>
            <w:tcW w:w="2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238,073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233,300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739,134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718,210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20,924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5"/>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cost of</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merchandise sold</w:t>
            </w: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151.4 %</w:t>
            </w:r>
          </w:p>
        </w:tc>
      </w:tr>
      <w:tr>
        <w:trPr>
          <w:trHeight w:val="27"/>
        </w:trPr>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2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249,375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237,202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769,057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730,111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7"/>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399,996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407,740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1,232,933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1,268,604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Store 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Labor</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473,221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513,543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store expenses</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492,129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2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105,822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127,480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5"/>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45,788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52,274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charges and (gains)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40,665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05"/>
        </w:trPr>
        <w:tc>
          <w:tcPr>
            <w:tcW w:w="206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Total operating</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361,149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382,108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1,046,908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1,226,091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143,512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337.6 %</w:t>
            </w:r>
          </w:p>
        </w:tc>
      </w:tr>
      <w:tr>
        <w:trPr>
          <w:trHeight w:val="243"/>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refinancing charges</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05"/>
        </w:trPr>
        <w:tc>
          <w:tcPr>
            <w:tcW w:w="206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Earnings before income</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160,599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149,992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1,414.1 %</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2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61"/>
        </w:trPr>
        <w:tc>
          <w:tcPr>
            <w:tcW w:w="2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628.9 %</w:t>
            </w:r>
          </w:p>
        </w:tc>
      </w:tr>
      <w:tr>
        <w:trPr>
          <w:trHeight w:val="257"/>
        </w:trPr>
        <w:tc>
          <w:tcPr>
            <w:tcW w:w="2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31,277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126,227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1,848.7 %</w:t>
            </w:r>
          </w:p>
        </w:tc>
      </w:tr>
      <w:tr>
        <w:trPr>
          <w:trHeight w:val="20"/>
        </w:trPr>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 compared to Three Months Ended September 30, 2018</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Store Revenue. </w:t>
      </w:r>
      <w:r>
        <w:rPr>
          <w:rFonts w:ascii="Times New Roman" w:cs="Times New Roman" w:eastAsia="Times New Roman" w:hAnsi="Times New Roman"/>
          <w:sz w:val="18"/>
          <w:szCs w:val="18"/>
          <w:color w:val="auto"/>
        </w:rPr>
        <w:t>Total store revenue decreased by $3.1 million, or 0.5%, to $634.4 million for the three months ended September 30, 2019, from $637.5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30, 2018. This was primarily due to a decrease of approximately $14.8 million in the Core U.S. segment, partially offset by an increase of $11.0 million in the Acceptance Now segment, as discussed further in the segment performance section below.</w:t>
      </w:r>
    </w:p>
    <w:p>
      <w:pPr>
        <w:sectPr>
          <w:pgSz w:w="11900" w:h="16838" w:orient="portrait"/>
          <w:cols w:equalWidth="0" w:num="1">
            <w:col w:w="11420"/>
          </w:cols>
          <w:pgMar w:left="240" w:top="333" w:right="239" w:bottom="806"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3" w:right="239" w:bottom="806"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Same store revenue is reported on a constant currency basis and generally represents revenue earned in 2,418 locations that were operated by us for 13 months or more, excluding any store that receives a certain level of customer accounts from another store. Receiving stores will be eligible for inclusion in the same store sales base in the twenty-fourth full month following the customer account transfers. Same store revenues increased by $20.0 million, or 4.5%, to $468.0 million for the three months ended September 30, 2019, as compared to $448.1 million in 2018. The increase in same store revenues was primarily attributable to an increase in the Core U.S. segment, as discussed further in the segment performance section below.</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increased by $8.3 million, or 5.4%, to $162.0 million as compared to $153.7 million in 2018. This increase in cost of rentals and fees was primarily attributable to an increase of $12.7 million in the Acceptance Now segment, partially offset by a decrease of $4.8 million in Core U.S. segment. Cost of rentals and fees expressed as a percentage of rentals and fees revenue was 29.4% for the three months ended September 30, 2019, as compared to 27.8% in 2018.</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decreased by $3.7 million, or 5.1%, to $70.6 million for the three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$74.3 million in 2018, primarily attributable to a decrease of $3.5 million in the Core U.S. segment, as discussed further in the segment performance section below. The gross margin percent of merchandise sales increased to (7.7)% for the three months ended September 30, 2019, from (10.7)% in 2018.</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by $7.7 million, or 1.9%, to $400.0 million for the three months ended September 30, 2019, from $407.7 million in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primarily to decreases of $6.9 million and $1.5 million in the Core U.S. and Acceptance Now segments, respectively, as discussed further in the segment performance section below. Gross profit as a percentage of total revenue decreased to 61.6% for the three months ended September 30, 2019, as compared to 63.2% in 2018.</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Store Labor. </w:t>
      </w:r>
      <w:r>
        <w:rPr>
          <w:rFonts w:ascii="Times New Roman" w:cs="Times New Roman" w:eastAsia="Times New Roman" w:hAnsi="Times New Roman"/>
          <w:sz w:val="18"/>
          <w:szCs w:val="18"/>
          <w:color w:val="auto"/>
        </w:rPr>
        <w:t>Store labor decreased by $9.6 million, or 5.7%, to $158.7 million, for the three months ended September 30, 2019, as compared to $168.3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2018, primarily due to a decrease of $10.5 million in the Core U.S. segment, as a result of a lower Core U.S. store base and costs savings initiatives. Store labor expressed as a percentage of total store revenue was 25.0% for the three months ended September 30, 2019, as compared to 26.4% in 2018.</w:t>
      </w: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Store Expenses. </w:t>
      </w:r>
      <w:r>
        <w:rPr>
          <w:rFonts w:ascii="Times New Roman" w:cs="Times New Roman" w:eastAsia="Times New Roman" w:hAnsi="Times New Roman"/>
          <w:sz w:val="18"/>
          <w:szCs w:val="18"/>
          <w:color w:val="auto"/>
        </w:rPr>
        <w:t>Other store expenses increased by $1.1 million, or 0.7%, to $150.4 million for the three months ended September 30,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$149.3 million in 2018, primarily due to an increases of $3.2 million and $0.4 million in the Acceptance Now and Franchising segments, respectively, partially offset by a decrease of $2.8 million in the Core U.S. segment. Other store expenses expressed as a percentage of total store revenue were 23.7% for the three months ended September 30, 2019, compared to 23.4% in 2018.</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$6.5 million, or 15.8%, to $34.4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as compared to $40.8 million in 2018, primarily due to cost savings initiatives. General and administrative expenses expressed as a percentage of total revenue were 5.3% for the three months ended September 30, 2019, compared to 6.3% in 2018.</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Charges and (Gains). </w:t>
      </w:r>
      <w:r>
        <w:rPr>
          <w:rFonts w:ascii="Times New Roman" w:cs="Times New Roman" w:eastAsia="Times New Roman" w:hAnsi="Times New Roman"/>
          <w:sz w:val="18"/>
          <w:szCs w:val="18"/>
          <w:color w:val="auto"/>
        </w:rPr>
        <w:t>Other charges and (gains) decreased by $3.8 million, to $2.9 million for the three months ended September 30,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$6.7 million in 2018. Other charges for the three months ended September 30, 2019 primarily related to costs associated with store closures and fees associated with the Merchants Preferred acquisition.</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results increased by $13.2 million, to $38.8 million for the three months ended September 30, 2019, as compared to $25.6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2018, primarily due to reduction in operating expenses related to costs savings initiatives and store closures. Operating results expressed as a percentage of total revenue were 6.0% for the three months ended September 30, 2019, compared to 4.0% in 2018. Excluding other charges and (gains), operating profit was $41.7 million, or 6.4% of revenue for the three months ended September 30, 2019, compared to $32.4 million, or 5.0% of revenue for the comparable period of 2018.</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w:t>
      </w:r>
      <w:r>
        <w:rPr>
          <w:rFonts w:ascii="Times New Roman" w:cs="Times New Roman" w:eastAsia="Times New Roman" w:hAnsi="Times New Roman"/>
          <w:sz w:val="18"/>
          <w:szCs w:val="18"/>
          <w:color w:val="auto"/>
        </w:rPr>
        <w:t>Income tax benefit for the three months ended September 30, 2019 was $(1.2) million, as compared to income tax expense of $2.6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Income tax benefit for the three months ended September 30, 2019 primarily related to the reversal of previously recorded reserves for uncertain tax positions due to the tax period no longer being subject to tax assessment in certain jurisdictions. The effective tax rate was (4.2)% for the three months ended September 30, 2019, compared to 16.6% in 2018.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 compared to Nine Months Ended September 30, 2018</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Revenue. </w:t>
      </w:r>
      <w:r>
        <w:rPr>
          <w:rFonts w:ascii="Times New Roman" w:cs="Times New Roman" w:eastAsia="Times New Roman" w:hAnsi="Times New Roman"/>
          <w:sz w:val="18"/>
          <w:szCs w:val="18"/>
          <w:color w:val="auto"/>
        </w:rPr>
        <w:t>Total store revenue decreased by $16.3 million, or 0.8%, to $1,959.3 million for the nine months ended September 30, 2019, from $1,975.6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2018. This was primarily due to a decrease of approximately $27.4 million in the Core U.S. segment, partially offset by increases of $8.0 million and $3.1 million in the Acceptance Now and Mexico segments, respectively, as discussed further in the segment performance section below.</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Same store revenue is reported on a constant currency basis and generally represents revenue earned in 2,704 locations that were operated by us for 13 months or more, excluding any store that receives a certain level of customer accounts from another store (acquisition or merger). Receiving stores will be eligible for inclusion in the same store sales base in the twenty-fourth full month</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33"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customer account transfers. Same store revenues increased by $75.0 million, or 5.7%, to $1,397.1 million for the nine months ended September 30, 2019, as compared to $1,322.1 million in 2018. The increase in same store revenues was primarily attributable to an increase in the Core U.S. segment, as discussed further in the segment performance section below.</w:t>
      </w:r>
    </w:p>
    <w:p>
      <w:pPr>
        <w:spacing w:after="0" w:line="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increased by $7.1 million, or 1.5%, to $473.0 million as compared to $465.9 million in 2018. This increase in cost of rentals and fees was primarily attributable to increases of $19.2 million and $1.1 million in the Acceptance Now and Mexico segments, respectively, partially offset by a decrease of $13.1 million in the Core U.S. segment. Cost of rentals and fees expressed as a percentage of rentals and fees revenue increased to 28.4% for the nine months ended September 30, 2019 as compared to 27.7% in 2018.</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increased by $13.7 million, or 5.8%, to $250.0 million for the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$236.3 million in 2018, primarily attributable to an increase of $15.5 million in the Core U.S. segment, as discussed further in the segment performance section below. The gross margin percent of merchandise sales decreased to (3.8)% for the nine months ended September 30, 2019, from 1.3% in 2018.</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by $35.7 million, or 2.8%, to $1,232.9 million for the nine months ended September 30, 2019, from $1,268.6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due primarily to decreases of $29.8 million and $9.6 million in the Core U.S. and Acceptance Now segments, respectively, as discussed further in the segment performance section below. Gross profit as a percentage of total revenue decreased to 61.6% for the nine months ended September 30, 2019, as compared to 63.5% in 2018.</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Store Labor. </w:t>
      </w:r>
      <w:r>
        <w:rPr>
          <w:rFonts w:ascii="Times New Roman" w:cs="Times New Roman" w:eastAsia="Times New Roman" w:hAnsi="Times New Roman"/>
          <w:sz w:val="18"/>
          <w:szCs w:val="18"/>
          <w:color w:val="auto"/>
        </w:rPr>
        <w:t>Store labor decreased by $40.3 million, or 7.9%, to $473.2 million, for the nine months ended September 30, 2019, as compared to $513.5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2018, primarily attributable to a decrease of $39.7 million in the Core U.S. segment, as a result of a lower Core U.S. store base. Store labor expressed as a percentage of total store revenue was 24.2% for the nine months ended September 30, 2019, as compared to 26.0% in 2018.</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Store Expenses. </w:t>
      </w:r>
      <w:r>
        <w:rPr>
          <w:rFonts w:ascii="Times New Roman" w:cs="Times New Roman" w:eastAsia="Times New Roman" w:hAnsi="Times New Roman"/>
          <w:sz w:val="18"/>
          <w:szCs w:val="18"/>
          <w:color w:val="auto"/>
        </w:rPr>
        <w:t>Other store expenses decreased by $28.7 million, or 5.8%, to $463.4 million for the nine months ended September 30,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$492.1 million in 2018, primarily attributable to a decrease of $34.8 million in the Core U.S. segment, as a result of a lower Core U.S. store base, partially offset by increases of $4.1 million and $1.1 million in the Acceptance Now and Mexico segments, respectively. Other store expenses expressed as a percentage of total store revenue were 23.7% for the nine months ended September 30, 2019, compared to 24.9% in 2018.</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$21.7 million, or 17.0%, to $105.8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as compared to $127.5 million in 2018, primarily due to cost savings initiatives. General and administrative expenses expressed as a percentage of total revenue were 5.3% for the nine months ended September 30, 2019, compared to 6.4% in 2018.</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Charges and (Gains). </w:t>
      </w:r>
      <w:r>
        <w:rPr>
          <w:rFonts w:ascii="Times New Roman" w:cs="Times New Roman" w:eastAsia="Times New Roman" w:hAnsi="Times New Roman"/>
          <w:sz w:val="18"/>
          <w:szCs w:val="18"/>
          <w:color w:val="auto"/>
        </w:rPr>
        <w:t>Other charges and (gains) decreased by $82.0 million, to $(41.3) million for the nine months ended September 30,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$40.7 million in 2018. Other gains for the nine months ended September 30, 2019 primarily related to the Vintage Settlement Proceeds, and insurance proceeds related to the 2017 hurricanes, partially offset by the Blair class action settlement costs, associated merger termination legal and professional fees, store closures, state tax audit assessments, cost savings initiatives, and fees associated with the Merchants Preferred acquisition.</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increased by $143.5 million, to $186.0 million for the nine months ended September 30, 2019, as compared to $42.5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2018, primarily due to the Vintage Settlement described above and reduction in operating expenses related to costs savings initiatives and store closures. Operating profit expressed as a percentage of total revenue was 9.3% for the nine months ended September 30, 2019, compared to 2.1% in 2018. Excluding other charges and (gains), operating profit was $144.7 million, or 7.2% of revenue for the nine months ended September 30, 2019, compared to $83.2 million, or 4.2% of revenue for the comparable period of 2018.</w:t>
      </w:r>
    </w:p>
    <w:p>
      <w:pPr>
        <w:spacing w:after="0" w:line="7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w:t>
      </w:r>
      <w:r>
        <w:rPr>
          <w:rFonts w:ascii="Times New Roman" w:cs="Times New Roman" w:eastAsia="Times New Roman" w:hAnsi="Times New Roman"/>
          <w:sz w:val="18"/>
          <w:szCs w:val="18"/>
          <w:color w:val="auto"/>
        </w:rPr>
        <w:t>Income tax expense for the nine months ended September 30, 2019 was $27.5 million, as compared to $3.8 million in 2018. The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was 17.2% for the nine months ended September 30, 2019, compared to 35.6% in 2018.</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3"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U.S.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2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5"/>
        </w:trPr>
        <w:tc>
          <w:tcPr>
            <w:tcW w:w="2500" w:type="dxa"/>
            <w:vAlign w:val="bottom"/>
          </w:tcPr>
          <w:p>
            <w:pPr>
              <w:spacing w:after="0"/>
              <w:rPr>
                <w:sz w:val="23"/>
                <w:szCs w:val="23"/>
                <w:color w:val="auto"/>
              </w:rPr>
            </w:pPr>
          </w:p>
        </w:tc>
        <w:tc>
          <w:tcPr>
            <w:tcW w:w="22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3"/>
                <w:szCs w:val="23"/>
                <w:color w:val="auto"/>
              </w:rPr>
            </w:pP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23"/>
                <w:szCs w:val="23"/>
                <w:color w:val="auto"/>
              </w:rPr>
            </w:pPr>
          </w:p>
        </w:tc>
      </w:tr>
      <w:tr>
        <w:trPr>
          <w:trHeight w:val="264"/>
        </w:trPr>
        <w:tc>
          <w:tcPr>
            <w:tcW w:w="2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10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436,497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451,320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1,361,650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  1,389,081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306,881</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313,771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945,392</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975,231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52,175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43,221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170,411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55,276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same store revenue</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Stores in same store revenue</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4"/>
        </w:trPr>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calculation</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1,776</w:t>
            </w:r>
          </w:p>
        </w:tc>
      </w:tr>
      <w:tr>
        <w:trPr>
          <w:trHeight w:val="27"/>
        </w:trPr>
        <w:tc>
          <w:tcPr>
            <w:tcW w:w="2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decrease in revenue for the three and nine months ended September 30, 2019 was driven primarily by a decrease in rentals and fees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$14.1 million and $29.4 million, respectively, as compared to 2018. The decrease is primarily due to our refranchising efforts and the rationalization of our Core U.S. store base, partially offset by increases in same store sales.</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for the three and nine months ended September 30, 2019, as compared to 2018, primarily due to the decreases in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partially offset by decreases in costs of rentals and fees. In addition gross profit for the nine months ended September 30, 2019 decreased due to an increase in cost of merchandise sold of $15.5 million, related to our strategy to enhance our value proposition. Gross profit as a percentage of segment revenues was 70.3% and 69.4% for the three and nine months ended September 30, 2019, as compared to 69.5% and 70.2% for the respective periods in 2018.</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12.0% and 12.5% for the three and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9.6% and 8.3% for the respective periods in 2018, primarily due to decreases in store labor and other store expenses of $13.3 million and $74.5 million, respectively. Declines in store labor and other store expenses were driven primarily by lower store count and cost savings initiatives, partially offset by higher merchandise losses. Charge-offs in our Core U.S. rent-to-own stores due to customer stolen merchandise, expressed as a percentage of Core U.S. rent-to-own revenues, were approximately 4.1% and 3.7% for the three and nine months ended September 30, 2019, compared to 3.5% and 3.2% for the respective periods in 2018. Charge-offs in our Core U.S. rent-to-own stores due to other merchandise losses, expressed as a percentage of Core U.S. rent-to-own revenues, were approximately 1.4% and 1.3% for the three and nine months ended September 30, 2019, compared to 2.0% and 1.9% in 2018. Other merchandise losses include unrepairable and missing merchandise, and loss/damage waiver claims.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Acceptance Now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5"/>
        </w:trPr>
        <w:tc>
          <w:tcPr>
            <w:tcW w:w="2400" w:type="dxa"/>
            <w:vAlign w:val="bottom"/>
          </w:tcPr>
          <w:p>
            <w:pPr>
              <w:spacing w:after="0"/>
              <w:rPr>
                <w:sz w:val="23"/>
                <w:szCs w:val="23"/>
                <w:color w:val="auto"/>
              </w:rPr>
            </w:pPr>
          </w:p>
        </w:tc>
        <w:tc>
          <w:tcPr>
            <w:tcW w:w="2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23"/>
                <w:szCs w:val="23"/>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23"/>
                <w:szCs w:val="23"/>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10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  184,486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173,438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11,048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6.4 %  $</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557,397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549,435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7,962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80,113</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81,586</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246,821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256,441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21,830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26,278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66,077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same store revenue</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7"/>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Stores in same store revenue</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4"/>
        </w:trPr>
        <w:tc>
          <w:tcPr>
            <w:tcW w:w="2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calculation</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2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the three and nine months ended September 30, 2019 increased compared to 2018, due to the acquisition of Merchants Preferred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same store sales.</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for the three and nine months ended September 30, 2019, compared to 2018, primarily due to our strategy to enhance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proposition. Gross profit as a percentage of segment revenues decreased to 43.4% and 44.3% for the three and nine months ended September 30, 2019, compared to 47.0% and 46.7% for the respective periods in 2018.</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decreased by 16.9% and 6.8% for the three and nine months ended September 30, 2019, respectively, as compared to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decreases in operating profit for the three and nine months ended September 30, 2019 were primarily due to increases in other store expenses and increased merchandise losses. Charge-offs in our Acceptance Now locations due to customer stolen merchandise, expressed as a percentage of revenues, were approximately 8.9% and 9.5% for the three and</w:t>
      </w:r>
    </w:p>
    <w:p>
      <w:pPr>
        <w:sectPr>
          <w:pgSz w:w="11900" w:h="16838" w:orient="portrait"/>
          <w:cols w:equalWidth="0" w:num="1">
            <w:col w:w="11420"/>
          </w:cols>
          <w:pgMar w:left="240" w:top="333"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3" w:right="2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nine months ended September 30, 2019, compared to 8.3% for the respective periods in 2018. Charge-offs in our Acceptance Now locations due to other merchandise losses, expressed as a percentage of revenues, were approximately 0.5% and 0.3% for the three and nine months ended September 30, 2019, compared to 0.9% and 0.8% in 2018.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75"/>
        </w:trPr>
        <w:tc>
          <w:tcPr>
            <w:tcW w:w="2560" w:type="dxa"/>
            <w:vAlign w:val="bottom"/>
          </w:tcPr>
          <w:p>
            <w:pPr>
              <w:spacing w:after="0"/>
              <w:rPr>
                <w:sz w:val="23"/>
                <w:szCs w:val="23"/>
                <w:color w:val="auto"/>
              </w:rPr>
            </w:pPr>
          </w:p>
        </w:tc>
        <w:tc>
          <w:tcPr>
            <w:tcW w:w="21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23"/>
                <w:szCs w:val="23"/>
                <w:color w:val="auto"/>
              </w:rPr>
            </w:pPr>
          </w:p>
        </w:tc>
        <w:tc>
          <w:tcPr>
            <w:tcW w:w="13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4"/>
        </w:trPr>
        <w:tc>
          <w:tcPr>
            <w:tcW w:w="2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9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2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13,370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40,266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37,122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  3,144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27,966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25,756</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1,600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43"/>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same store revenue</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Stores in same store revenue</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calculation</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2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the three and nine months ended September 30, 2019 were negatively impacted by exchange rate fluctuations of approximately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the same periods in 2018. On a constant currency basis, revenues for the three and nine months ended September 30, 2019 increased approximately $0.9 million and $3.4 million, respectively.</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three and nine months ended September 30, 2019 was negatively impacted by exchange rate fluctuations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 million as compared to the same periods in 2018. On a constant currency basis, gross profit for the three and nine months ended September 30, 2019 increased by approximately $0.6 million and $2.4 million, respectively. Gross profit as a percentage of segment revenues was 69.5% for the three and nine months ended September 30, 2019, compared to 69.5% and 69.4% for the respective periods in 2018.</w:t>
      </w:r>
    </w:p>
    <w:p>
      <w:pPr>
        <w:spacing w:after="0" w:line="7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for the three and nine months ended September 30, 2019 was minimally impacted by exchange rate fluctuations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2018. Operating profit as a percentage of segment revenues was 9.1% and 9.7% for the three and nine months ended September 30, 2019, from 7.2% and 6.2% for the respective period in 2018, driven primarily by cost savings initiatives.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Franchising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75"/>
        </w:trPr>
        <w:tc>
          <w:tcPr>
            <w:tcW w:w="2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3"/>
                <w:szCs w:val="23"/>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23"/>
                <w:szCs w:val="23"/>
                <w:color w:val="auto"/>
              </w:rPr>
            </w:pP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23"/>
                <w:szCs w:val="23"/>
                <w:color w:val="auto"/>
              </w:rPr>
            </w:pPr>
          </w:p>
        </w:tc>
      </w:tr>
      <w:tr>
        <w:trPr>
          <w:trHeight w:val="264"/>
        </w:trPr>
        <w:tc>
          <w:tcPr>
            <w:tcW w:w="2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4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2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for the three and nine months ended September 30, 2019 compared to the respective period in 2018, primarily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franchise locations as a result of our refranchising initiative resulting in higher merchandise sales.</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decreased to 24.7% and 29.9% for the three and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from 47.3% and 48.4% for the respective periods in 2018, primarily due to changes in our revenue mix of franchise royalties &amp; fees and rental merchandise sales, related to the increase in franchise locations described above.</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decreased for the three and nine months ended September 30, 2019 to 7.6%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11.1%, compared to 7.1% and 16.0% for the respective periods in 2018, primarily due to the decline in gross profit described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the nine months ended September 30, 2019, we generated $228.1 million in operating cash flow, including approximately $80 million of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pre-tax proceeds from the Vintage Settlement. We paid down debt by $282.7 million and used cash in the amount of $28.7 million for acquisitions of businesses, and $12.0 million for capital expenditures. In addition, we received proceeds from the sale of property assets of $16.9 million, ending the nine-month period with $73.7 million of cash and cash equivalents.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3"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Analysis of Cash Flow. </w:t>
      </w:r>
      <w:r>
        <w:rPr>
          <w:rFonts w:ascii="Times New Roman" w:cs="Times New Roman" w:eastAsia="Times New Roman" w:hAnsi="Times New Roman"/>
          <w:sz w:val="18"/>
          <w:szCs w:val="18"/>
          <w:color w:val="auto"/>
        </w:rPr>
        <w:t>Cash provided by operating activities increased $44.2 million to $228.1 million for the nine months ended September 30, 2019,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$183.9 million in 2018. This was primarily attributable to receipt of the Vintage Settlement Proceeds, partially offset by an increase in rental merchandise purchases during the nine months ended September 30, 2019 compared to the same period in 2018.</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approximately $14.7 million to $22.8 million for the nine months ended September 30, 2019, from $8.1 million in 2018, due primarily to the acquisition of Merchants Preferred, partially offset by lower capital expenditures.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$287.1 million for the nine months ended September 30, 2019, compared to $138.5 million in 2018, a change of $148.6 million, primarily driven by debt repayments of $282.7 million for the nine months ended September 30, 2019, as compared to $139.3 million for the comparable period in 2018.</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Liquidity Requirements</w:t>
      </w:r>
      <w:r>
        <w:rPr>
          <w:rFonts w:ascii="Times New Roman" w:cs="Times New Roman" w:eastAsia="Times New Roman" w:hAnsi="Times New Roman"/>
          <w:sz w:val="18"/>
          <w:szCs w:val="18"/>
          <w:color w:val="auto"/>
        </w:rPr>
        <w:t>. Our primary liquidity requirements are for rental merchandise purchases. Other capital requirements include expenditures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assets and debt service. Our primary sources of liquidity have been cash provided by operations. Should we require additional funding sources, we maintain revolving credit facilities, including a $300 million ABL Credit Facility. 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October 29, 2019, we had approximately $80.7 million in cash on hand and $148.0 million available under our ABL Credit Agreement at September 30, 2019.</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Certain federal tax legislation enacted during the period 2009 to 2017 permitted bonus first-year depreciation deductions ranging from 50% 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Act. The Tax Act allows 100% bonus depreciation for certain property placed in service between September 27, 2017 and December 31, 2022, at which point it will begin to phase out. The bonus depreciation provided by the Tax Act resulted in an estimated benefit of $174 million for us in 2018. We estimate the remaining tax deferral associated with bonus depreciation from the Tax Act is approximately $207 million at December 31, 2018, of which approximately 78%, or $161 million, will reverse in 2019, and the majority of the remainder will reverse between 2020 and 2021. The reversal of these benefits could result in the use of additional capital resources for cash taxes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Losses</w:t>
      </w:r>
      <w:r>
        <w:rPr>
          <w:rFonts w:ascii="Times New Roman" w:cs="Times New Roman" w:eastAsia="Times New Roman" w:hAnsi="Times New Roman"/>
          <w:sz w:val="18"/>
          <w:szCs w:val="18"/>
          <w:color w:val="auto"/>
        </w:rPr>
        <w:t>. Merchandise losses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stolen merchandise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37,110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32,613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110,299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97,223</w:t>
            </w:r>
          </w:p>
        </w:tc>
      </w:tr>
      <w:tr>
        <w:trPr>
          <w:trHeight w:val="270"/>
        </w:trPr>
        <w:tc>
          <w:tcPr>
            <w:tcW w:w="50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merchandise losses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6,776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8,404</w:t>
            </w:r>
          </w:p>
        </w:tc>
        <w:tc>
          <w:tcPr>
            <w:tcW w:w="2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19,080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26,258</w:t>
            </w:r>
          </w:p>
        </w:tc>
      </w:tr>
      <w:tr>
        <w:trPr>
          <w:trHeight w:val="257"/>
        </w:trPr>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merchandise losses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43,886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41,017</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129,379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123,481</w:t>
            </w:r>
          </w:p>
        </w:tc>
      </w:tr>
    </w:tbl>
    <w:p>
      <w:pPr>
        <w:ind w:left="180" w:hanging="172"/>
        <w:spacing w:after="0" w:line="212" w:lineRule="auto"/>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merchandise losses include unrepairable and missing merchandise, and loss/damage waiver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-132715</wp:posOffset>
            </wp:positionV>
            <wp:extent cx="4056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We make capital expenditures in order to maintain our existing operations as well as for new capital assets in new and acquired stores,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investments in information technology. We spent $12.0 million and $22.5 million on capital expenditures during the nine months ended September 30, 2019 and 2018, respectively.</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and New Location Openings. </w:t>
      </w:r>
      <w:r>
        <w:rPr>
          <w:rFonts w:ascii="Times New Roman" w:cs="Times New Roman" w:eastAsia="Times New Roman" w:hAnsi="Times New Roman"/>
          <w:sz w:val="18"/>
          <w:szCs w:val="18"/>
          <w:color w:val="auto"/>
        </w:rPr>
        <w:t>On August 13, 2019, we completed the previously announced acquisition of substantially all of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approximately 2,500 locations, of C/C Financial Corp d/b/a Merchants Preferred ("Merchants Preferred"), a nationwide virtual rent-to-own provider, for total consideration of approximately $46.6 million. In addition, during the first nine months of 2019, we acquired three new locations and customer accounts for an aggregate purchase price of approximately $0.3 million in two transactions.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location activity for the nine-month period ended September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Core U.S.</w:t>
            </w:r>
          </w:p>
        </w:tc>
        <w:tc>
          <w:tcPr>
            <w:tcW w:w="140" w:type="dxa"/>
            <w:vAlign w:val="bottom"/>
          </w:tcPr>
          <w:p>
            <w:pPr>
              <w:spacing w:after="0"/>
              <w:rPr>
                <w:sz w:val="13"/>
                <w:szCs w:val="13"/>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Acceptance Now</w:t>
            </w:r>
          </w:p>
        </w:tc>
        <w:tc>
          <w:tcPr>
            <w:tcW w:w="15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Acceptance Now</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Staffed</w:t>
            </w:r>
          </w:p>
        </w:tc>
        <w:tc>
          <w:tcPr>
            <w:tcW w:w="15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 xml:space="preserve">Virtual </w:t>
            </w:r>
            <w:r>
              <w:rPr>
                <w:rFonts w:ascii="Times New Roman" w:cs="Times New Roman" w:eastAsia="Times New Roman" w:hAnsi="Times New Roman"/>
                <w:sz w:val="8"/>
                <w:szCs w:val="8"/>
                <w:b w:val="1"/>
                <w:bCs w:val="1"/>
                <w:color w:val="auto"/>
              </w:rPr>
              <w:t>(1)</w:t>
            </w:r>
          </w:p>
        </w:tc>
        <w:tc>
          <w:tcPr>
            <w:tcW w:w="100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Locations at beginning of period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location openings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Conversions and refranchising</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Closed locations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Merged with existing locations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Sold or closed with no surviving location</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Locations at end of period</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Acquired locations closed and accounts merged with</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locations</w:t>
            </w:r>
          </w:p>
        </w:tc>
        <w:tc>
          <w:tcPr>
            <w:tcW w:w="1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approximate purchase price of acquired stores </w:t>
            </w:r>
            <w:r>
              <w:rPr>
                <w:rFonts w:ascii="Times New Roman" w:cs="Times New Roman" w:eastAsia="Times New Roman" w:hAnsi="Times New Roman"/>
                <w:sz w:val="18"/>
                <w:szCs w:val="18"/>
                <w:i w:val="1"/>
                <w:iCs w:val="1"/>
                <w:color w:val="auto"/>
              </w:rPr>
              <w:t>(in</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millions)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200" w:hanging="192"/>
        <w:spacing w:after="0" w:line="211" w:lineRule="auto"/>
        <w:tabs>
          <w:tab w:leader="none" w:pos="20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Does not include Merchants Preferred locations acquired in August 2019, or any new Merchants Preferred locations opened in the third quarter of 2019.</w:t>
      </w:r>
    </w:p>
    <w:p>
      <w:pPr>
        <w:spacing w:after="0" w:line="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Senior Debt. </w:t>
      </w:r>
      <w:r>
        <w:rPr>
          <w:rFonts w:ascii="Times New Roman" w:cs="Times New Roman" w:eastAsia="Times New Roman" w:hAnsi="Times New Roman"/>
          <w:sz w:val="18"/>
          <w:szCs w:val="18"/>
          <w:color w:val="auto"/>
        </w:rPr>
        <w:t>As discussed in Note 7 to the condensed consolidated financial statements, on August 5, 2019, we completed the Refinancing of our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Facility and irrevocably deposited the amount necessary to redeem in full our unsecured senior notes using cash on hand and proceeds from our new $300 million revolving credit facility and $200 million term loan facility. We may use, subject to certain limitations and borrowing availability, $150 million of the new revolving credit facility for the issuance of letters of credit, of which $92 million had been so utilized as of October 29, 2019.</w:t>
      </w:r>
    </w:p>
    <w:p>
      <w:pPr>
        <w:spacing w:after="0" w:line="7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Store Leases</w:t>
      </w:r>
      <w:r>
        <w:rPr>
          <w:rFonts w:ascii="Times New Roman" w:cs="Times New Roman" w:eastAsia="Times New Roman" w:hAnsi="Times New Roman"/>
          <w:sz w:val="18"/>
          <w:szCs w:val="18"/>
          <w:color w:val="auto"/>
        </w:rPr>
        <w:t>. We lease space for all of our Core U.S. and Mexico stores under operating leases expiring at various times through 2024. Most of our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are five year leases and contain renewal options for additional periods ranging from three to five years at rental rates adjusted according to agreed-upon formulas.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Commitments</w:t>
      </w:r>
      <w:r>
        <w:rPr>
          <w:rFonts w:ascii="Times New Roman" w:cs="Times New Roman" w:eastAsia="Times New Roman" w:hAnsi="Times New Roman"/>
          <w:sz w:val="18"/>
          <w:szCs w:val="18"/>
          <w:color w:val="auto"/>
        </w:rPr>
        <w:t>. The table below summarizes debt, lease and other minimum cash obligations outstanding as of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2020-2021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69"/>
        </w:trPr>
        <w:tc>
          <w:tcPr>
            <w:tcW w:w="35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Term Loan</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191,500</w:t>
            </w:r>
          </w:p>
        </w:tc>
      </w:tr>
      <w:tr>
        <w:trPr>
          <w:trHeight w:val="270"/>
        </w:trPr>
        <w:tc>
          <w:tcPr>
            <w:tcW w:w="35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ABL Credit Agreement</w:t>
            </w:r>
            <w:r>
              <w:rPr>
                <w:rFonts w:ascii="Times New Roman" w:cs="Times New Roman" w:eastAsia="Times New Roman" w:hAnsi="Times New Roman"/>
                <w:sz w:val="25"/>
                <w:szCs w:val="25"/>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60,000</w:t>
            </w: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306,078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30,741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188,520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11,976</w:t>
            </w:r>
          </w:p>
        </w:tc>
      </w:tr>
      <w:tr>
        <w:trPr>
          <w:trHeight w:val="302"/>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(3)</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566,078</w:t>
            </w:r>
          </w:p>
        </w:tc>
        <w:tc>
          <w:tcPr>
            <w:tcW w:w="120" w:type="dxa"/>
            <w:vAlign w:val="bottom"/>
          </w:tcPr>
          <w:p>
            <w:pPr>
              <w:spacing w:after="0"/>
              <w:rPr>
                <w:sz w:val="24"/>
                <w:szCs w:val="24"/>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31,241</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192,520</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78,841</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263,476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-24130</wp:posOffset>
            </wp:positionV>
            <wp:extent cx="499999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9990" cy="26035"/>
                    </a:xfrm>
                    <a:prstGeom prst="rect">
                      <a:avLst/>
                    </a:prstGeom>
                    <a:noFill/>
                  </pic:spPr>
                </pic:pic>
              </a:graphicData>
            </a:graphic>
          </wp:anchor>
        </w:drawing>
      </w:r>
    </w:p>
    <w:p>
      <w:pPr>
        <w:ind w:left="180" w:right="20" w:hanging="172"/>
        <w:spacing w:after="0" w:line="210"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Does not include interest payments. Our Term Loan bears interest at varying rates equal to the Eurodollar rate plus 4.50%. The Eurodollar rate on our Term Loans at September 30, 2019, was 6.63%.</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7"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Does not include interest payments. Our ABL Credit Agreement bears interest at varying rates equal to the Eurodollar rate plus 1.50% to 2.00%. The weighted average Eurodollar rate on our ABL Credit Agreement at September 30, 2019, was 3.63%.</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9"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September 30, 2019, we have recorded $26.0 million in uncertain tax positions. Because of the uncertainty of the amounts to be ultimately paid as well as the timing of such payments, uncertain tax positions are not reflected in the contractual obligations table.</w:t>
      </w:r>
    </w:p>
    <w:p>
      <w:pPr>
        <w:spacing w:after="0" w:line="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revenue mix is moderately seasonal, with the first quarter of each fiscal year generally providing higher merchandise sales than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during a fiscal year. Generally, our customers will more frequently exercise the early purchase option on their existing rental purchase agreements or purchase pre-leased merchandise off the showroom floor during the first quarter of each fiscal year, primarily due to the receipt of federal income tax refunds.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which requires immediate recognition of estimated current expected credit losses, rather than recognition when incurred. The adoption of ASU 2016-13 will be required for us beginning January 1, 2020. Adoption is required using a modified retrospective approach with a cumulative-effect adjustment to retained earnings in the year of adoption. We believe application of this ASU is limited to our installment notes receivables and trade receivables with our franchisees, primarily related to merchandise sales. Based on the limited scope in which we believe this ASU applies to our business, we do not expect the impact of adoption to be material to our financial statements. However, we are still in the process of evaluating the potential impact of this new pronouncement and expect to complete our evaluation by the end of 2019.</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which simplifies the subsequent measurement of goodwill by eliminating the hypothetical purchase price allocation and instead using the difference between the carrying amount and the fair value of the reporting unit. The adoption of ASU 2017-04 will be required for us on a prospective basis beginning January 1, 2020. We do not believe this ASU will have a material impact on our financial statements upon adoption.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 Changes to the Disclosure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Measurement, </w:t>
      </w:r>
      <w:r>
        <w:rPr>
          <w:rFonts w:ascii="Times New Roman" w:cs="Times New Roman" w:eastAsia="Times New Roman" w:hAnsi="Times New Roman"/>
          <w:sz w:val="18"/>
          <w:szCs w:val="18"/>
          <w:color w:val="auto"/>
        </w:rPr>
        <w:t>which removes, modifies, and adds certain disclosure requirements in ASC 820, to improve the effectiveness of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disclosures. The adoption of ASU 2018-13 will be required for us beginning January 1, 2020. We do not believe this ASU will have a material impact on our financial statements upon adoption.</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 - Goodwill and Other - 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w:t>
      </w:r>
      <w:r>
        <w:rPr>
          <w:rFonts w:ascii="Times New Roman" w:cs="Times New Roman" w:eastAsia="Times New Roman" w:hAnsi="Times New Roman"/>
          <w:sz w:val="18"/>
          <w:szCs w:val="18"/>
          <w:color w:val="auto"/>
        </w:rPr>
        <w:t>which requires implementation costs incurred by customers in cloud computing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(CCAs) to be deferred and recognized over the term of the arrangement, if those costs would be capitalized by the customer in a software licensing agreement under the internal-use software guidance in ASC 350-40. The adoption of ASU 2018-15 will be required for us beginning January 1, 2020. We do not believe this ASU will have a material impact on our financial statements upon adoption.</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2019, we had $200.0 million outstanding in Term Loan Credit Agreement and $60.0 million outstanding under our ABL Credit Agreement, each at interest rates indexed to the Eurodollar rate or the prime rate. Carrying value approximates fair value for this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debt with variable interest rates indexed to prime or Eurodollar rates that exposes us to the risk of increased interest costs if interest rates rise. As of September 30, 2019, we have not entered into any interest rate swap agreements. Based on our overall interest rate exposure at September 30, 2019, a hypothetical 1.0% increase or decrease in market interest rates would have the effect of causing a $2.6 million additional annualized pre-tax charge or credit to our consolidated statement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In accordance with Rule 13a-15(b) under the Securities Exchange Act of 1934, an evaluation was performed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September 30, 2019, our disclosure controls and procedures (as defined in Rules 13a–15(e) and 15d– 15(e) under the Securities Exchange Act of 1934) were effective.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r>
        <w:rPr>
          <w:rFonts w:ascii="Times New Roman" w:cs="Times New Roman" w:eastAsia="Times New Roman" w:hAnsi="Times New Roman"/>
          <w:sz w:val="18"/>
          <w:szCs w:val="18"/>
          <w:color w:val="auto"/>
        </w:rPr>
        <w:t>. In August 2019, we acquired Merchants Preferred. We are currently in the process of integrating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Merchants Preferred into our assessment of our internal control over financial reporting. Because Merchants Preferred does not constitute a significant portion of our operations on a consolidated basis, we do not currently expect this integration effort to have a material effect on our internal control over financial reporting. Management's assessment and conclusions on the effectiveness of our disclosure controls and procedures as of September 30, 2019 excludes an assessment of the internal control over financial reporting of Merchants Preferred.</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described above, for the quarter ended September 30, 2019,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Blair v. Rent-A-Center, Inc. </w:t>
      </w:r>
      <w:r>
        <w:rPr>
          <w:rFonts w:ascii="Times New Roman" w:cs="Times New Roman" w:eastAsia="Times New Roman" w:hAnsi="Times New Roman"/>
          <w:sz w:val="18"/>
          <w:szCs w:val="18"/>
          <w:color w:val="auto"/>
        </w:rPr>
        <w:t>This matter is a state-wide class action complaint originally filed on March 13, 2017 in the Federal District Court for the Northern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of California. The complaint alleges various claims, including that our cash sales and total rent to own prices exceed the pricing permitted under the Karnette Rental-Purchase Act. Following a court-ordered mediation on March 28, 2019, we reached an agreement in principle to settle this matter for a total of $13 million, including attorneys’ fees. The settlement was approved by the court in October 2019. We have denied any liability in the settlement and agreed to the settlement in order to avoid additional expensive, time-consuming litigation. We recorded the pre-tax charge for this settlement in the first quarter of 2019, and the settlement amount will be paid in November 2019.</w:t>
      </w:r>
    </w:p>
    <w:p>
      <w:pPr>
        <w:spacing w:after="0" w:line="11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Velma Russell v. Acceptance Now. </w:t>
      </w:r>
      <w:r>
        <w:rPr>
          <w:rFonts w:ascii="Times New Roman" w:cs="Times New Roman" w:eastAsia="Times New Roman" w:hAnsi="Times New Roman"/>
          <w:sz w:val="18"/>
          <w:szCs w:val="18"/>
          <w:color w:val="auto"/>
        </w:rPr>
        <w:t>This purported class action arising out of calls made by Acceptance Now to customers’ reference (s) was filed on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2019 in Massachusetts state court. Specifically, plaintiffs seek to certify a class representing any references of customers (within the state of Massachusetts) during the 4 years prior to the filing date that were contacted by Acceptance Now more frequently during a 12 month period than is permitted by Massachusetts state law. The plaintiffs are seeking injunctive relief and statutory damages of $25 per reference which may be tripled to $75 per reference. References are not parties to our consumer arbitration agreement. We operate 12 Acceptance Now locations in Massachusetts. Discovery has commenced and a mediation took place in September 2019. We intend to continue to vigorously defend these claims, however, we cannot assure you that we will be found to have no liability in this matter.</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Federal Trade Commission civil investigative demand. </w:t>
      </w:r>
      <w:r>
        <w:rPr>
          <w:rFonts w:ascii="Times New Roman" w:cs="Times New Roman" w:eastAsia="Times New Roman" w:hAnsi="Times New Roman"/>
          <w:sz w:val="18"/>
          <w:szCs w:val="18"/>
          <w:color w:val="auto"/>
        </w:rPr>
        <w:t>In April 2019, along with other rent-to-own companies, we received a civil investigative demand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Trade Commission ("FTC") seeking information regarding certain transactions involving the purchase and sale of customer lease agreements, and whether such transactions violated the FTC Act. Although we believe such transactions were in compliance with the FTC Act, this inquiry could lead to an enforcement action and/or a consent order, and substantial costs. The Company has provided substantial information in response to this inquiry and continues to work with the FTC to resolve this matter.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Part 1, "Risk Factors," in our Form 10-K for the year ended December 31, 2018, except that we completed the Refinancing.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8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tc>
      </w:tr>
      <w:tr>
        <w:trPr>
          <w:trHeight w:val="837"/>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Agreement and Plan of Merger, dated as of June 17, 2018, by and among Rent-A-Center, Inc., Vintage Rodeo Parent, LLC and Vintage</w:t>
              </w:r>
            </w:hyperlink>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Rodeo Acquisition, Inc. (Incorporated herein by reference to Exhibit 2.1 to the registrant's Current Report on Form 8-K dated as of June</w:t>
              </w:r>
            </w:hyperlink>
          </w:p>
        </w:tc>
      </w:tr>
      <w:tr>
        <w:trPr>
          <w:trHeight w:val="196"/>
        </w:trPr>
        <w:tc>
          <w:tcPr>
            <w:tcW w:w="152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26">
              <w:r>
                <w:rPr>
                  <w:rFonts w:ascii="Times New Roman" w:cs="Times New Roman" w:eastAsia="Times New Roman" w:hAnsi="Times New Roman"/>
                  <w:sz w:val="18"/>
                  <w:szCs w:val="18"/>
                  <w:color w:val="0000FF"/>
                  <w:w w:val="97"/>
                </w:rPr>
                <w:t>17, 2018.)</w:t>
              </w:r>
            </w:hyperlink>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Asset Purchase Agreement (the “Asset Purchase Agreement”), dated July 12, 2019, among Rent-A-Center, Inc., Braveheart Acquisition,</w:t>
              </w:r>
            </w:hyperlink>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LLC, a Delaware limited liability company and wholly-owned subsidiary of the Company, C/C Financial Corp., a Delaware corporation</w:t>
              </w:r>
            </w:hyperlink>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d/b/a Merchants Preferred , MPLPS II Holdings, LLC, a Delaware limited liability company, MPLPS II, LLC, a Delaware limited</w:t>
              </w:r>
            </w:hyperlink>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liability company, MP Lease-Purchase Services, Inc., a Delaware corporation, and Synterra Capital Management LLC (Incorporated</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herein by reference to Exhibit 2.1 to the registrant's Current Report on Form 8-K dated as of July 15, 2019.)</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Certificate of Incorporation of Rent-A-Center, Inc., as amended (Incorporated herein by reference to Exhibit 3.1 to the registrant's</w:t>
              </w:r>
            </w:hyperlink>
          </w:p>
        </w:tc>
      </w:tr>
      <w:tr>
        <w:trPr>
          <w:trHeight w:val="196"/>
        </w:trPr>
        <w:tc>
          <w:tcPr>
            <w:tcW w:w="152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Current Report on Form 8-K dated as of December 31, 2002.)</w:t>
              </w:r>
            </w:hyperlink>
          </w:p>
        </w:tc>
        <w:tc>
          <w:tcPr>
            <w:tcW w:w="540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Certificate of Amendment to the Certificate of Incorporation of Rent-A-Center, Inc., dated May 19, 2004 (Incorporated herein by</w:t>
              </w:r>
            </w:hyperlink>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reference to Exhibit 3.2 to the registrant's Quarterly Report on Form 10-Q for the quarter ended June 30, 2004.)</w:t>
              </w:r>
            </w:hyperlink>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Amended and Restated Bylaws of Rent-A-Center, Inc. (Incorporated herein by reference to Exhibit 3.1 to the registrant's Current Report</w:t>
              </w:r>
            </w:hyperlink>
          </w:p>
        </w:tc>
      </w:tr>
      <w:tr>
        <w:trPr>
          <w:trHeight w:val="196"/>
        </w:trPr>
        <w:tc>
          <w:tcPr>
            <w:tcW w:w="1520" w:type="dxa"/>
            <w:vAlign w:val="bottom"/>
          </w:tcPr>
          <w:p>
            <w:pPr>
              <w:spacing w:after="0"/>
              <w:rPr>
                <w:sz w:val="17"/>
                <w:szCs w:val="17"/>
                <w:color w:val="auto"/>
              </w:rPr>
            </w:pPr>
          </w:p>
        </w:tc>
        <w:tc>
          <w:tcPr>
            <w:tcW w:w="33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on Form 8-K dated as of September 28, 2011.)</w:t>
              </w:r>
            </w:hyperlink>
          </w:p>
        </w:tc>
        <w:tc>
          <w:tcPr>
            <w:tcW w:w="6520" w:type="dxa"/>
            <w:vAlign w:val="bottom"/>
            <w:gridSpan w:val="9"/>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Certificate of Designations of Series D Preferred Stock of Rent-A-Center, Inc. (Incorporated herein by reference to Exhibit 3.1 to the</w:t>
              </w:r>
            </w:hyperlink>
          </w:p>
        </w:tc>
      </w:tr>
      <w:tr>
        <w:trPr>
          <w:trHeight w:val="196"/>
        </w:trPr>
        <w:tc>
          <w:tcPr>
            <w:tcW w:w="1520" w:type="dxa"/>
            <w:vAlign w:val="bottom"/>
          </w:tcPr>
          <w:p>
            <w:pPr>
              <w:spacing w:after="0"/>
              <w:rPr>
                <w:sz w:val="17"/>
                <w:szCs w:val="17"/>
                <w:color w:val="auto"/>
              </w:rPr>
            </w:pPr>
          </w:p>
        </w:tc>
        <w:tc>
          <w:tcPr>
            <w:tcW w:w="502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registrant's Current Report on Form 8-K dated as of March 29, 2017.)</w:t>
              </w:r>
            </w:hyperlink>
          </w:p>
        </w:tc>
        <w:tc>
          <w:tcPr>
            <w:tcW w:w="484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Form of Certificate evidencing Common Stock (Incorporated herein by reference to Exhibit 4.1 to the registrant's Current Report on</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Form 10-Q dated as of March 31, 2017.)</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Indenture, dated as of November 2, 2010, by and among Rent-A-Center, Inc., as Issuer, the Guarantors named therein, as Guarantors,</w:t>
              </w:r>
            </w:hyperlink>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and The Bank of New York Mellon Trust Company, N.A., as Trustee (Incorporated herein by reference to Exhibit 4.1 to the registrant's</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Current Report on Form 8-K dated as of November 2, 2010.)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Indenture, dated as of May 2, 2013, by and among Rent-A-Center, Inc., as Issuer, the Guarantors named therein, as Guarantors, and The</w:t>
              </w:r>
            </w:hyperlink>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Bank of New York Mellon Trust Company, N.A., as Trustee (Incorporated herein by reference to Exhibit 4.1 to the registrant's Current</w:t>
              </w:r>
            </w:hyperlink>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Report on Form 8-K dated as of May 2, 2013.)</w:t>
              </w:r>
            </w:hyperlink>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Rights Agreement, dated as of March 28, 2017, between Rent-A-Center, Inc. and American Stock Transfer &amp; Trust Company, LLC, as</w:t>
              </w:r>
            </w:hyperlink>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Rights Agent (Incorporated herein by reference to Exhibit 4.1 to the registrant's Current Report on Form 8-K dated as of March 25,</w:t>
              </w:r>
            </w:hyperlink>
          </w:p>
        </w:tc>
      </w:tr>
      <w:tr>
        <w:trPr>
          <w:trHeight w:val="196"/>
        </w:trPr>
        <w:tc>
          <w:tcPr>
            <w:tcW w:w="1520" w:type="dxa"/>
            <w:vAlign w:val="bottom"/>
          </w:tcPr>
          <w:p>
            <w:pPr>
              <w:spacing w:after="0"/>
              <w:rPr>
                <w:sz w:val="17"/>
                <w:szCs w:val="17"/>
                <w:color w:val="auto"/>
              </w:rPr>
            </w:pPr>
          </w:p>
        </w:tc>
        <w:tc>
          <w:tcPr>
            <w:tcW w:w="4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5">
              <w:r>
                <w:rPr>
                  <w:rFonts w:ascii="Times New Roman" w:cs="Times New Roman" w:eastAsia="Times New Roman" w:hAnsi="Times New Roman"/>
                  <w:sz w:val="18"/>
                  <w:szCs w:val="18"/>
                  <w:color w:val="0000FF"/>
                  <w:w w:val="98"/>
                </w:rPr>
                <w:t>2017.</w:t>
              </w:r>
              <w:r>
                <w:rPr>
                  <w:rFonts w:ascii="Times New Roman" w:cs="Times New Roman" w:eastAsia="Times New Roman" w:hAnsi="Times New Roman"/>
                  <w:sz w:val="18"/>
                  <w:szCs w:val="18"/>
                  <w:u w:val="single" w:color="auto"/>
                  <w:color w:val="0000FF"/>
                  <w:w w:val="98"/>
                </w:rPr>
                <w:t>)</w:t>
              </w:r>
            </w:hyperlink>
          </w:p>
        </w:tc>
        <w:tc>
          <w:tcPr>
            <w:tcW w:w="2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Amended and Restated Rent-A-Center, Inc. Long-Term Incentive Plan (Incorporated herein by reference to Exhibit 10.1 to the</w:t>
              </w:r>
            </w:hyperlink>
          </w:p>
        </w:tc>
      </w:tr>
      <w:tr>
        <w:trPr>
          <w:trHeight w:val="196"/>
        </w:trPr>
        <w:tc>
          <w:tcPr>
            <w:tcW w:w="1520" w:type="dxa"/>
            <w:vAlign w:val="bottom"/>
          </w:tcPr>
          <w:p>
            <w:pPr>
              <w:spacing w:after="0"/>
              <w:rPr>
                <w:sz w:val="17"/>
                <w:szCs w:val="17"/>
                <w:color w:val="auto"/>
              </w:rPr>
            </w:pPr>
          </w:p>
        </w:tc>
        <w:tc>
          <w:tcPr>
            <w:tcW w:w="62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registrant's Quarterly Report on Form 10-Q for the quarter ended September 30, 2003.)</w:t>
              </w:r>
            </w:hyperlink>
          </w:p>
        </w:tc>
        <w:tc>
          <w:tcPr>
            <w:tcW w:w="3600" w:type="dxa"/>
            <w:vAlign w:val="bottom"/>
            <w:gridSpan w:val="4"/>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Guarantee and Collateral Agreement, dated March 19, 2014, by and among Rent-A-Center, Inc., its subsidiaries named as guarantors</w:t>
              </w:r>
            </w:hyperlink>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therein and JPMorgan Chase Bank, N.A. as Administrative Agent (Incorporated herein by reference to Exhibit 10.2 to the registrant's</w:t>
              </w:r>
            </w:hyperlink>
          </w:p>
        </w:tc>
      </w:tr>
      <w:tr>
        <w:trPr>
          <w:trHeight w:val="196"/>
        </w:trPr>
        <w:tc>
          <w:tcPr>
            <w:tcW w:w="1520" w:type="dxa"/>
            <w:vAlign w:val="bottom"/>
          </w:tcPr>
          <w:p>
            <w:pPr>
              <w:spacing w:after="0"/>
              <w:rPr>
                <w:sz w:val="17"/>
                <w:szCs w:val="17"/>
                <w:color w:val="auto"/>
              </w:rPr>
            </w:pPr>
          </w:p>
        </w:tc>
        <w:tc>
          <w:tcPr>
            <w:tcW w:w="38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Current Report on Form 8-K dated March 19, 2014.)</w:t>
              </w:r>
            </w:hyperlink>
          </w:p>
        </w:tc>
        <w:tc>
          <w:tcPr>
            <w:tcW w:w="606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880" w:type="dxa"/>
            <w:vAlign w:val="bottom"/>
            <w:gridSpan w:val="16"/>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of Stock Option Agreement issuable to Directors pursuant to the Amended and Restated Rent-A-Center, Inc. Long-Term Incentive</w:t>
              </w:r>
            </w:hyperlink>
          </w:p>
        </w:tc>
      </w:tr>
      <w:tr>
        <w:trPr>
          <w:trHeight w:val="20"/>
        </w:trPr>
        <w:tc>
          <w:tcPr>
            <w:tcW w:w="1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00" w:type="dxa"/>
            <w:vAlign w:val="bottom"/>
            <w:tcBorders>
              <w:left w:val="single" w:sz="8" w:color="0000FF"/>
            </w:tcBorders>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Plan (Incorporated herein by reference to Exhibit 10.20 to the registrant's Annual Report on Form 10-K for the year ended December 31,</w:t>
              </w:r>
            </w:hyperlink>
          </w:p>
        </w:tc>
      </w:tr>
      <w:tr>
        <w:trPr>
          <w:trHeight w:val="196"/>
        </w:trPr>
        <w:tc>
          <w:tcPr>
            <w:tcW w:w="15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8">
              <w:r>
                <w:rPr>
                  <w:rFonts w:ascii="Times New Roman" w:cs="Times New Roman" w:eastAsia="Times New Roman" w:hAnsi="Times New Roman"/>
                  <w:sz w:val="18"/>
                  <w:szCs w:val="18"/>
                  <w:color w:val="0000FF"/>
                  <w:w w:val="94"/>
                </w:rPr>
                <w:t>2004.</w:t>
              </w:r>
              <w:r>
                <w:rPr>
                  <w:rFonts w:ascii="Times New Roman" w:cs="Times New Roman" w:eastAsia="Times New Roman" w:hAnsi="Times New Roman"/>
                  <w:sz w:val="18"/>
                  <w:szCs w:val="18"/>
                  <w:u w:val="single" w:color="auto"/>
                  <w:color w:val="0000FF"/>
                  <w:w w:val="94"/>
                </w:rPr>
                <w:t>)</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Form of Stock Option Agreement issuable to management pursuant to the Amended and Restated Rent-A-Center, Inc. Long-Term</w:t>
              </w:r>
            </w:hyperlink>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Incentive Plan (Incorporated herein by reference to Exhibit 10.21 to the registrant's Annual Report on Form 10-K for the year ended</w:t>
              </w:r>
            </w:hyperlink>
          </w:p>
        </w:tc>
      </w:tr>
      <w:tr>
        <w:trPr>
          <w:trHeight w:val="196"/>
        </w:trPr>
        <w:tc>
          <w:tcPr>
            <w:tcW w:w="1520" w:type="dxa"/>
            <w:vAlign w:val="bottom"/>
          </w:tcPr>
          <w:p>
            <w:pPr>
              <w:spacing w:after="0"/>
              <w:rPr>
                <w:sz w:val="17"/>
                <w:szCs w:val="17"/>
                <w:color w:val="auto"/>
              </w:rPr>
            </w:pPr>
          </w:p>
        </w:tc>
        <w:tc>
          <w:tcPr>
            <w:tcW w:w="152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9">
              <w:r>
                <w:rPr>
                  <w:rFonts w:ascii="Times New Roman" w:cs="Times New Roman" w:eastAsia="Times New Roman" w:hAnsi="Times New Roman"/>
                  <w:sz w:val="18"/>
                  <w:szCs w:val="18"/>
                  <w:color w:val="0000FF"/>
                  <w:w w:val="98"/>
                </w:rPr>
                <w:t>December 31, 2004.)</w:t>
              </w:r>
            </w:hyperlink>
          </w:p>
        </w:tc>
        <w:tc>
          <w:tcPr>
            <w:tcW w:w="834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Summary of Director Compensation (Incorporated herein by reference to Exhibit 10.5 to the registrant's Annual Report on Form 10-K</w:t>
              </w:r>
            </w:hyperlink>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for the year ended December 31, 2017.)</w:t>
              </w:r>
            </w:hyperlink>
          </w:p>
        </w:tc>
      </w:tr>
      <w:tr>
        <w:trPr>
          <w:trHeight w:val="20"/>
        </w:trPr>
        <w:tc>
          <w:tcPr>
            <w:tcW w:w="1520" w:type="dxa"/>
            <w:vAlign w:val="bottom"/>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of Stock Compensation Agreement issuable to management pursuant to the Amended and Restated Rent-A-Center, Inc. Long-</w:t>
              </w:r>
            </w:hyperlink>
          </w:p>
        </w:tc>
      </w:tr>
      <w:tr>
        <w:trPr>
          <w:trHeight w:val="196"/>
        </w:trPr>
        <w:tc>
          <w:tcPr>
            <w:tcW w:w="15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Term Incentive Plan (Incorporated herein by reference to Exhibit 10.15 to the registrant's Annual Report on Form 10-K for the year</w:t>
              </w:r>
            </w:hyperlink>
          </w:p>
        </w:tc>
      </w:tr>
      <w:tr>
        <w:trPr>
          <w:trHeight w:val="196"/>
        </w:trPr>
        <w:tc>
          <w:tcPr>
            <w:tcW w:w="152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ended December 31, 2005.)</w:t>
              </w:r>
            </w:hyperlink>
          </w:p>
        </w:tc>
        <w:tc>
          <w:tcPr>
            <w:tcW w:w="786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00"/>
          </w:cols>
          <w:pgMar w:left="240" w:top="333" w:right="259" w:bottom="113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333" w:right="259" w:bottom="1130" w:gutter="0" w:footer="0" w:header="0"/>
          <w:type w:val="continuous"/>
        </w:sectPr>
      </w:pPr>
    </w:p>
    <w:bookmarkStart w:id="34" w:name="page35"/>
    <w:bookmarkEnd w:id="34"/>
    <w:p>
      <w:pPr>
        <w:ind w:left="2660"/>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320" w:right="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42">
        <w:r>
          <w:rPr>
            <w:rFonts w:ascii="Times New Roman" w:cs="Times New Roman" w:eastAsia="Times New Roman" w:hAnsi="Times New Roman"/>
            <w:sz w:val="18"/>
            <w:szCs w:val="18"/>
            <w:u w:val="single" w:color="auto"/>
            <w:color w:val="0000FF"/>
          </w:rPr>
          <w:t>Form of Long-Term Incentive Cash Award issuable to management pursuant to the Amended and Restated Rent-A-Center, Inc. Long-</w:t>
        </w:r>
      </w:hyperlink>
      <w:hyperlink r:id="rId42">
        <w:r>
          <w:rPr>
            <w:rFonts w:ascii="Times New Roman" w:cs="Times New Roman" w:eastAsia="Times New Roman" w:hAnsi="Times New Roman"/>
            <w:sz w:val="18"/>
            <w:szCs w:val="18"/>
            <w:u w:val="single" w:color="auto"/>
            <w:color w:val="0000FF"/>
          </w:rPr>
          <w:t>Term Incentive Plan (Incorporated herein by reference to Exhibit 10.16 to the registrant's Annual Report on Form 10-K for the year</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ended December 31, 2005.)</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971"/>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43">
        <w:r>
          <w:rPr>
            <w:rFonts w:ascii="Times New Roman" w:cs="Times New Roman" w:eastAsia="Times New Roman" w:hAnsi="Times New Roman"/>
            <w:sz w:val="18"/>
            <w:szCs w:val="18"/>
            <w:u w:val="single" w:color="auto"/>
            <w:color w:val="0000FF"/>
          </w:rPr>
          <w:t>Form of Loyalty and Confidentiality Agreement entered into with management (Incorporated herein by reference to Exhibit 10.14 to the</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registrant's Annual Report on Form 10-K for the year ended December 31, 2016.)</w:t>
        </w:r>
      </w:hyperlink>
    </w:p>
    <w:p>
      <w:pPr>
        <w:spacing w:after="0" w:line="162" w:lineRule="exact"/>
        <w:rPr>
          <w:sz w:val="20"/>
          <w:szCs w:val="20"/>
          <w:color w:val="auto"/>
        </w:rPr>
      </w:pPr>
    </w:p>
    <w:p>
      <w:pPr>
        <w:jc w:val="both"/>
        <w:ind w:left="320" w:right="20" w:hanging="971"/>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44">
        <w:r>
          <w:rPr>
            <w:rFonts w:ascii="Times New Roman" w:cs="Times New Roman" w:eastAsia="Times New Roman" w:hAnsi="Times New Roman"/>
            <w:sz w:val="18"/>
            <w:szCs w:val="18"/>
            <w:u w:val="single" w:color="auto"/>
            <w:color w:val="0000FF"/>
          </w:rPr>
          <w:t>Rent-A-Center, Inc. 2006 Long-Term Incentive Plan (Incorporated herein by reference to Exhibit 10.17 to the registrant's Quarterly</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Report on Form 10-Q for the quarter ended June 30, 2006.)</w:t>
        </w:r>
      </w:hyperlink>
    </w:p>
    <w:p>
      <w:pPr>
        <w:spacing w:after="0" w:line="162" w:lineRule="exact"/>
        <w:rPr>
          <w:sz w:val="20"/>
          <w:szCs w:val="20"/>
          <w:color w:val="auto"/>
        </w:rPr>
      </w:pPr>
    </w:p>
    <w:p>
      <w:pPr>
        <w:jc w:val="both"/>
        <w:ind w:left="320" w:hanging="1016"/>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45">
        <w:r>
          <w:rPr>
            <w:rFonts w:ascii="Times New Roman" w:cs="Times New Roman" w:eastAsia="Times New Roman" w:hAnsi="Times New Roman"/>
            <w:sz w:val="18"/>
            <w:szCs w:val="18"/>
            <w:u w:val="single" w:color="auto"/>
            <w:color w:val="0000FF"/>
          </w:rPr>
          <w:t>Form of Stock Option Agreement issuable to management pursuant to the Rent-A-Center, Inc. 2006 Long-Term Incentive Plan</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(Incorporated herein by reference to Exhibit 10.18 to the registrant's Quarterly Report on Form 10-Q for the quarter ended June 30,</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2006.)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1013"/>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46">
        <w:r>
          <w:rPr>
            <w:rFonts w:ascii="Times New Roman" w:cs="Times New Roman" w:eastAsia="Times New Roman" w:hAnsi="Times New Roman"/>
            <w:sz w:val="18"/>
            <w:szCs w:val="18"/>
            <w:u w:val="single" w:color="auto"/>
            <w:color w:val="0000FF"/>
          </w:rPr>
          <w:t>Form of Stock Compensation Agreement issuable to management pursuant to the Rent-A-Center, Inc. 2006 Equity Incentive Plan</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(Incorporated herein by reference to Exhibit 10.19 to the registrant's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2006.)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1016"/>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47">
        <w:r>
          <w:rPr>
            <w:rFonts w:ascii="Times New Roman" w:cs="Times New Roman" w:eastAsia="Times New Roman" w:hAnsi="Times New Roman"/>
            <w:sz w:val="18"/>
            <w:szCs w:val="18"/>
            <w:u w:val="single" w:color="auto"/>
            <w:color w:val="0000FF"/>
          </w:rPr>
          <w:t>Form of Long-Term Incentive Cash Award issuable to management pursuant to the Rent-A-Center, Inc. 2006 Long-Term Incentive Plan</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(Incorporated herein by reference to Exhibit 10.20 to the registrant's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2006.)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1016"/>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48">
        <w:r>
          <w:rPr>
            <w:rFonts w:ascii="Times New Roman" w:cs="Times New Roman" w:eastAsia="Times New Roman" w:hAnsi="Times New Roman"/>
            <w:sz w:val="18"/>
            <w:szCs w:val="18"/>
            <w:u w:val="single" w:color="auto"/>
            <w:color w:val="0000FF"/>
          </w:rPr>
          <w:t>Rent-A-Center, Inc. 2006 Equity Incentive Plan and Amendment (Incorporated herein by reference to Exhibit 4.5 to the registrant's</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Registration Statement on Form S-8 filed with the SEC on January 4, 2007.)</w:t>
        </w:r>
      </w:hyperlink>
    </w:p>
    <w:p>
      <w:pPr>
        <w:spacing w:after="0" w:line="162" w:lineRule="exact"/>
        <w:rPr>
          <w:sz w:val="20"/>
          <w:szCs w:val="20"/>
          <w:color w:val="auto"/>
        </w:rPr>
      </w:pPr>
    </w:p>
    <w:p>
      <w:pPr>
        <w:jc w:val="both"/>
        <w:ind w:left="320" w:right="20" w:hanging="1016"/>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49">
        <w:r>
          <w:rPr>
            <w:rFonts w:ascii="Times New Roman" w:cs="Times New Roman" w:eastAsia="Times New Roman" w:hAnsi="Times New Roman"/>
            <w:sz w:val="18"/>
            <w:szCs w:val="18"/>
            <w:u w:val="single" w:color="auto"/>
            <w:color w:val="0000FF"/>
          </w:rPr>
          <w:t>Form of Stock Option Agreement issuable to management pursuant to the Rent-A-Center, Inc. 2006 Equity Incentive Plan (Incorporated</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herein by reference to Exhibit 10.22 to the registrant's Annual Report on Form 10-K for the year ended December 31, 2006.)</w:t>
        </w:r>
      </w:hyperlink>
    </w:p>
    <w:p>
      <w:pPr>
        <w:spacing w:after="0" w:line="162" w:lineRule="exact"/>
        <w:rPr>
          <w:sz w:val="20"/>
          <w:szCs w:val="20"/>
          <w:color w:val="auto"/>
        </w:rPr>
      </w:pPr>
    </w:p>
    <w:p>
      <w:pPr>
        <w:jc w:val="both"/>
        <w:ind w:left="320" w:right="20" w:hanging="1016"/>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50">
        <w:r>
          <w:rPr>
            <w:rFonts w:ascii="Times New Roman" w:cs="Times New Roman" w:eastAsia="Times New Roman" w:hAnsi="Times New Roman"/>
            <w:sz w:val="18"/>
            <w:szCs w:val="18"/>
            <w:u w:val="single" w:color="auto"/>
            <w:color w:val="0000FF"/>
          </w:rPr>
          <w:t>Form of Stock Compensation Agreement issuable to management pursuant to the Rent-A-Center, Inc. 2006 Long-Term Incentive Plan</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(Incorporated herein by reference to Exhibit 10.23 to the registrant's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2006.)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1016"/>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51">
        <w:r>
          <w:rPr>
            <w:rFonts w:ascii="Times New Roman" w:cs="Times New Roman" w:eastAsia="Times New Roman" w:hAnsi="Times New Roman"/>
            <w:sz w:val="18"/>
            <w:szCs w:val="18"/>
            <w:u w:val="single" w:color="auto"/>
            <w:color w:val="0000FF"/>
          </w:rPr>
          <w:t>Form of Stock Option Agreement issuable to Directors pursuant to the Rent-A-Center, Inc. 2006 Long-Term Incentive Plan</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(Incorporated herein by reference to Exhibit 10.24 to the registrant's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2006.)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hanging="1016"/>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52">
        <w:r>
          <w:rPr>
            <w:rFonts w:ascii="Times New Roman" w:cs="Times New Roman" w:eastAsia="Times New Roman" w:hAnsi="Times New Roman"/>
            <w:sz w:val="18"/>
            <w:szCs w:val="18"/>
            <w:u w:val="single" w:color="auto"/>
            <w:color w:val="0000FF"/>
          </w:rPr>
          <w:t>Form of Deferred Stock Unit Award Agreement issuable to Directors pursuant to the Rent-A-Center, Inc. 2006 Long-Term Incentive</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Plan (Incorporated herein by reference to Exhibit 10.23 to the registrant's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2010.)</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1016"/>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53">
        <w:r>
          <w:rPr>
            <w:rFonts w:ascii="Times New Roman" w:cs="Times New Roman" w:eastAsia="Times New Roman" w:hAnsi="Times New Roman"/>
            <w:sz w:val="18"/>
            <w:szCs w:val="18"/>
            <w:u w:val="single" w:color="auto"/>
            <w:color w:val="0000FF"/>
          </w:rPr>
          <w:t>Form of Executive Transition Agreement entered into with management (Incorporated herein by reference to Exhibit 10.24 to the</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registrant's Annual Report on Form 10-K for the year ended August 31, 2016.)</w:t>
        </w:r>
      </w:hyperlink>
    </w:p>
    <w:p>
      <w:pPr>
        <w:spacing w:after="0" w:line="162" w:lineRule="exact"/>
        <w:rPr>
          <w:sz w:val="20"/>
          <w:szCs w:val="20"/>
          <w:color w:val="auto"/>
        </w:rPr>
      </w:pPr>
    </w:p>
    <w:p>
      <w:pPr>
        <w:jc w:val="both"/>
        <w:ind w:left="320" w:right="20" w:hanging="1016"/>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54">
        <w:r>
          <w:rPr>
            <w:rFonts w:ascii="Times New Roman" w:cs="Times New Roman" w:eastAsia="Times New Roman" w:hAnsi="Times New Roman"/>
            <w:sz w:val="18"/>
            <w:szCs w:val="18"/>
            <w:u w:val="single" w:color="auto"/>
            <w:color w:val="0000FF"/>
          </w:rPr>
          <w:t>Rent-A-Center, Inc. 2016 Long-Term Incentive Plan (Incorporated herein by reference to Exhibit 10.36 to the registrant's Quarterly</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Report on Form 10-Q for the quarter ended March 31, 2016.)</w:t>
        </w:r>
      </w:hyperlink>
    </w:p>
    <w:p>
      <w:pPr>
        <w:spacing w:after="0" w:line="162" w:lineRule="exact"/>
        <w:rPr>
          <w:sz w:val="20"/>
          <w:szCs w:val="20"/>
          <w:color w:val="auto"/>
        </w:rPr>
      </w:pPr>
    </w:p>
    <w:p>
      <w:pPr>
        <w:jc w:val="both"/>
        <w:ind w:left="320" w:hanging="1016"/>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55">
        <w:r>
          <w:rPr>
            <w:rFonts w:ascii="Times New Roman" w:cs="Times New Roman" w:eastAsia="Times New Roman" w:hAnsi="Times New Roman"/>
            <w:sz w:val="18"/>
            <w:szCs w:val="18"/>
            <w:u w:val="single" w:color="auto"/>
            <w:color w:val="0000FF"/>
          </w:rPr>
          <w:t>Rent-A-Center, Inc. Non-Qualified Deferred Compensation Plan (Incorporated herein by reference to Exhibit 10.28 to the registrant's</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Quarterly Report on Form 10-Q for the quarter ended June 30, 2007.)</w:t>
        </w:r>
      </w:hyperlink>
    </w:p>
    <w:p>
      <w:pPr>
        <w:spacing w:after="0" w:line="162" w:lineRule="exact"/>
        <w:rPr>
          <w:sz w:val="20"/>
          <w:szCs w:val="20"/>
          <w:color w:val="auto"/>
        </w:rPr>
      </w:pPr>
    </w:p>
    <w:p>
      <w:pPr>
        <w:jc w:val="both"/>
        <w:ind w:left="320" w:hanging="1016"/>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56">
        <w:r>
          <w:rPr>
            <w:rFonts w:ascii="Times New Roman" w:cs="Times New Roman" w:eastAsia="Times New Roman" w:hAnsi="Times New Roman"/>
            <w:sz w:val="18"/>
            <w:szCs w:val="18"/>
            <w:u w:val="single" w:color="auto"/>
            <w:color w:val="0000FF"/>
          </w:rPr>
          <w:t>Rent-A-Center, Inc. 401-K Plan (Incorporated herein by reference to Exhibit 10.30 to the registrant's Annual Report on Form 10-K for</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the year ended December 31, 2008.)</w:t>
        </w:r>
      </w:hyperlink>
    </w:p>
    <w:p>
      <w:pPr>
        <w:spacing w:after="0" w:line="162" w:lineRule="exact"/>
        <w:rPr>
          <w:sz w:val="20"/>
          <w:szCs w:val="20"/>
          <w:color w:val="auto"/>
        </w:rPr>
      </w:pPr>
    </w:p>
    <w:p>
      <w:pPr>
        <w:jc w:val="both"/>
        <w:ind w:left="320" w:right="20" w:hanging="971"/>
        <w:spacing w:after="0" w:line="261"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57">
        <w:r>
          <w:rPr>
            <w:rFonts w:ascii="Times New Roman" w:cs="Times New Roman" w:eastAsia="Times New Roman" w:hAnsi="Times New Roman"/>
            <w:sz w:val="18"/>
            <w:szCs w:val="18"/>
            <w:u w:val="single" w:color="auto"/>
            <w:color w:val="0000FF"/>
          </w:rPr>
          <w:t>Credit Agreement, dated as of March 19, 2014, among Rent-A-Center, Inc., the several lenders from time to time parties thereto, Bank</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of America, N.A., BBVA Compass Bank, Wells Fargo Bank, N.A. and Suntrust Bank, as syndication agents, and JPMorgan Chase Bank,</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N.A., as administrative agent (Incorporated herein by reference to Exhibit 10.1 to the Registrant's Current Report on Form 8-K dated as</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of March 19, 2014.)</w:t>
        </w:r>
      </w:hyperlink>
    </w:p>
    <w:p>
      <w:pPr>
        <w:spacing w:after="0" w:line="180" w:lineRule="exact"/>
        <w:rPr>
          <w:rFonts w:ascii="Times New Roman" w:cs="Times New Roman" w:eastAsia="Times New Roman" w:hAnsi="Times New Roman"/>
          <w:sz w:val="18"/>
          <w:szCs w:val="18"/>
          <w:u w:val="single" w:color="auto"/>
          <w:color w:val="0000FF"/>
        </w:rPr>
      </w:pPr>
    </w:p>
    <w:p>
      <w:pPr>
        <w:ind w:left="320" w:hanging="1016"/>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58">
        <w:r>
          <w:rPr>
            <w:rFonts w:ascii="Times New Roman" w:cs="Times New Roman" w:eastAsia="Times New Roman" w:hAnsi="Times New Roman"/>
            <w:sz w:val="18"/>
            <w:szCs w:val="18"/>
            <w:u w:val="single" w:color="auto"/>
            <w:color w:val="0000FF"/>
          </w:rPr>
          <w:t>Rent-A-Center East, Inc. Retirement Savings Plan for Puerto Rico Employees (Incorporated herein by reference to Exhibit 99.1 to the</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registrant's Registration Statement on Form S-8 filed January 28, 2011.)</w:t>
        </w:r>
      </w:hyperlink>
    </w:p>
    <w:p>
      <w:pPr>
        <w:spacing w:after="0" w:line="162" w:lineRule="exact"/>
        <w:rPr>
          <w:sz w:val="20"/>
          <w:szCs w:val="20"/>
          <w:color w:val="auto"/>
        </w:rPr>
      </w:pPr>
    </w:p>
    <w:p>
      <w:pPr>
        <w:jc w:val="both"/>
        <w:ind w:left="320" w:right="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59">
        <w:r>
          <w:rPr>
            <w:rFonts w:ascii="Times New Roman" w:cs="Times New Roman" w:eastAsia="Times New Roman" w:hAnsi="Times New Roman"/>
            <w:sz w:val="18"/>
            <w:szCs w:val="18"/>
            <w:u w:val="single" w:color="auto"/>
            <w:color w:val="0000FF"/>
          </w:rPr>
          <w:t>First Amendment to Franchisee Financing Agreement between ColorTyme Finance, Inc. and Citibank, N.A., dated as of July 25, 2012</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(Incorporated herein by reference to Exhibit 10.32 to the registrant's Quarterly Report on Form 10-Q for the quarter ended September</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30, 2012.)</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971"/>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60">
        <w:r>
          <w:rPr>
            <w:rFonts w:ascii="Times New Roman" w:cs="Times New Roman" w:eastAsia="Times New Roman" w:hAnsi="Times New Roman"/>
            <w:sz w:val="18"/>
            <w:szCs w:val="18"/>
            <w:u w:val="single" w:color="auto"/>
            <w:color w:val="0000FF"/>
          </w:rPr>
          <w:t>Master Confirmation Agreement, dated as of May 2, 2013, between Rent-A-Center, Inc. and Goldman Sachs &amp; Co. (Incorporated herein</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by reference to Exhibit 10.1 to the registrant's Current Report on Form 8-K dated as of May 2, 2013.)</w:t>
        </w:r>
      </w:hyperlink>
    </w:p>
    <w:p>
      <w:pPr>
        <w:sectPr>
          <w:pgSz w:w="11900" w:h="16838" w:orient="portrait"/>
          <w:cols w:equalWidth="0" w:num="1">
            <w:col w:w="10200"/>
          </w:cols>
          <w:pgMar w:left="1440" w:top="333" w:right="259" w:bottom="252" w:gutter="0" w:footer="0" w:header="0"/>
        </w:sectPr>
      </w:pPr>
    </w:p>
    <w:p>
      <w:pPr>
        <w:spacing w:after="0" w:line="3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00"/>
          </w:cols>
          <w:pgMar w:left="1440" w:top="333" w:right="259" w:bottom="252" w:gutter="0" w:footer="0" w:header="0"/>
          <w:type w:val="continuous"/>
        </w:sectPr>
      </w:pPr>
    </w:p>
    <w:bookmarkStart w:id="35" w:name="page36"/>
    <w:bookmarkEnd w:id="35"/>
    <w:p>
      <w:pPr>
        <w:ind w:left="2660"/>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320" w:right="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61">
        <w:r>
          <w:rPr>
            <w:rFonts w:ascii="Times New Roman" w:cs="Times New Roman" w:eastAsia="Times New Roman" w:hAnsi="Times New Roman"/>
            <w:sz w:val="18"/>
            <w:szCs w:val="18"/>
            <w:u w:val="single" w:color="auto"/>
            <w:color w:val="0000FF"/>
          </w:rPr>
          <w:t>Second Amendment to Franchisee Financing Agreement between ColorTyme Finance, Inc. and Citibank, N.A., dated as of August 30,</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2013 (Incorporated herein by reference to Exhibit 10.34 to the registrant's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September 30, 2013.)</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62">
        <w:r>
          <w:rPr>
            <w:rFonts w:ascii="Times New Roman" w:cs="Times New Roman" w:eastAsia="Times New Roman" w:hAnsi="Times New Roman"/>
            <w:sz w:val="18"/>
            <w:szCs w:val="18"/>
            <w:u w:val="single" w:color="auto"/>
            <w:color w:val="0000FF"/>
          </w:rPr>
          <w:t>Third Amendment to Franchisee Financing Agreement between ColorTyme Finance, Inc. and Citibank, N.A., dated as of May 1, 2014</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(Incorporated herein by reference to Exhibit 10.33 to the registrant's Quarterly Report on Form 10-Q for the quarter ended June 30,</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2014.)</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63">
        <w:r>
          <w:rPr>
            <w:rFonts w:ascii="Times New Roman" w:cs="Times New Roman" w:eastAsia="Times New Roman" w:hAnsi="Times New Roman"/>
            <w:sz w:val="18"/>
            <w:szCs w:val="18"/>
            <w:u w:val="single" w:color="auto"/>
            <w:color w:val="0000FF"/>
          </w:rPr>
          <w:t>Waiver and Fourth Amendment to Franchisee Financing Agreement between ColorTyme Finance, Inc. and Citibank, N.A., dated as of</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September 1, 2014 (Incorporated herein by reference to Exhibit 10.34 to the registrant's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ended September 30, 2014.)</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64">
        <w:r>
          <w:rPr>
            <w:rFonts w:ascii="Times New Roman" w:cs="Times New Roman" w:eastAsia="Times New Roman" w:hAnsi="Times New Roman"/>
            <w:sz w:val="18"/>
            <w:szCs w:val="18"/>
            <w:u w:val="single" w:color="auto"/>
            <w:color w:val="0000FF"/>
          </w:rPr>
          <w:t>First Amendment to the Credit Agreement, dated February 1, 2016, between the Company, JPMorgan Chase Bank, N.A., as</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administrative agent, the other agents party thereto and the lenders party thereto (Incorporated herein by reference to Exhibit 10.1 to the</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registrant's Current Report on Form 8-K dated as of February 1, 2016.)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1016"/>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65">
        <w:r>
          <w:rPr>
            <w:rFonts w:ascii="Times New Roman" w:cs="Times New Roman" w:eastAsia="Times New Roman" w:hAnsi="Times New Roman"/>
            <w:sz w:val="18"/>
            <w:szCs w:val="18"/>
            <w:u w:val="single" w:color="auto"/>
            <w:color w:val="0000FF"/>
          </w:rPr>
          <w:t>Form of Stock Option Agreement issuable to management pursuant to the Rent-A-Center, Inc. 2016 Long-Term Incentive Plan</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(Incorporated herein by reference to Exhibit 10.37 to the registrant's Quarterly Report on Form 10-Q for the quarter ended March 31,</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2016.)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1016"/>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66">
        <w:r>
          <w:rPr>
            <w:rFonts w:ascii="Times New Roman" w:cs="Times New Roman" w:eastAsia="Times New Roman" w:hAnsi="Times New Roman"/>
            <w:sz w:val="18"/>
            <w:szCs w:val="18"/>
            <w:u w:val="single" w:color="auto"/>
            <w:color w:val="0000FF"/>
          </w:rPr>
          <w:t>Form of Stock Compensation Agreement (RSU) issuable to management pursuant to the Rent-A-Center, Inc. 2016 Long-Term Incentive</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Plan (Incorporated herein by reference to Exhibit 10.38 to the registrant's Quarterly Report on Form 10-Q for the quarter ended March</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31, 2016.)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right="20" w:hanging="1016"/>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67">
        <w:r>
          <w:rPr>
            <w:rFonts w:ascii="Times New Roman" w:cs="Times New Roman" w:eastAsia="Times New Roman" w:hAnsi="Times New Roman"/>
            <w:sz w:val="18"/>
            <w:szCs w:val="18"/>
            <w:u w:val="single" w:color="auto"/>
            <w:color w:val="0000FF"/>
          </w:rPr>
          <w:t>Form of Stock Compensation Agreement (PSU) issuable to management pursuant to the Rent-A-Center, Inc. 2016 Long-Term Incentive</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Plan (Incorporated herein by reference to Exhibit 10.39 to the registrant's Quarterly Report on Form 10-Q for the quarter ended March</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31, 2016.)</w:t>
        </w:r>
      </w:hyperlink>
    </w:p>
    <w:p>
      <w:pPr>
        <w:spacing w:after="0" w:line="176" w:lineRule="exact"/>
        <w:rPr>
          <w:rFonts w:ascii="Times New Roman" w:cs="Times New Roman" w:eastAsia="Times New Roman" w:hAnsi="Times New Roman"/>
          <w:sz w:val="18"/>
          <w:szCs w:val="18"/>
          <w:u w:val="single" w:color="auto"/>
          <w:color w:val="0000FF"/>
        </w:rPr>
      </w:pPr>
    </w:p>
    <w:p>
      <w:pPr>
        <w:jc w:val="both"/>
        <w:ind w:left="3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68">
        <w:r>
          <w:rPr>
            <w:rFonts w:ascii="Times New Roman" w:cs="Times New Roman" w:eastAsia="Times New Roman" w:hAnsi="Times New Roman"/>
            <w:sz w:val="18"/>
            <w:szCs w:val="18"/>
            <w:u w:val="single" w:color="auto"/>
            <w:color w:val="0000FF"/>
          </w:rPr>
          <w:t>Second Amendment to the Credit Agreement, dated effective as of September 30, 2016, between the Company, JPMorgan Chase Bank,</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N.A., as administrative agent, the other agents party thereto and the lenders party thereto (Incorporated herein by reference to Exhibit</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10.1 to the registrant's Current Report on Form 8-K dated as of October 4, 2016.)</w:t>
        </w:r>
      </w:hyperlink>
    </w:p>
    <w:p>
      <w:pPr>
        <w:spacing w:after="0" w:line="176" w:lineRule="exact"/>
        <w:rPr>
          <w:rFonts w:ascii="Times New Roman" w:cs="Times New Roman" w:eastAsia="Times New Roman" w:hAnsi="Times New Roman"/>
          <w:sz w:val="18"/>
          <w:szCs w:val="18"/>
          <w:u w:val="single" w:color="auto"/>
          <w:color w:val="0000FF"/>
        </w:rPr>
      </w:pPr>
    </w:p>
    <w:p>
      <w:pPr>
        <w:ind w:left="320" w:hanging="1007"/>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rFonts w:ascii="Times New Roman" w:cs="Times New Roman" w:eastAsia="Times New Roman" w:hAnsi="Times New Roman"/>
          <w:sz w:val="14"/>
          <w:szCs w:val="14"/>
          <w:color w:val="auto"/>
        </w:rPr>
        <w:t>†</w:t>
      </w:r>
      <w:r>
        <w:rPr>
          <w:sz w:val="20"/>
          <w:szCs w:val="20"/>
          <w:color w:val="auto"/>
        </w:rPr>
        <w:tab/>
      </w:r>
      <w:hyperlink r:id="rId69">
        <w:r>
          <w:rPr>
            <w:rFonts w:ascii="Times New Roman" w:cs="Times New Roman" w:eastAsia="Times New Roman" w:hAnsi="Times New Roman"/>
            <w:sz w:val="18"/>
            <w:szCs w:val="18"/>
            <w:u w:val="single" w:color="auto"/>
            <w:color w:val="0000FF"/>
          </w:rPr>
          <w:t>Separation Agreement and Release of Claims, dated as of January 9, 2017, between Robert D. Davis and Rent-A-Center, Inc.</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(Incorporated herein by reference to Exhibit 10.2 to the registrant's Current Report on Form 8-K dated as of January 9, 2017.)</w:t>
        </w:r>
      </w:hyperlink>
    </w:p>
    <w:p>
      <w:pPr>
        <w:spacing w:after="0" w:line="121" w:lineRule="exact"/>
        <w:rPr>
          <w:sz w:val="20"/>
          <w:szCs w:val="20"/>
          <w:color w:val="auto"/>
        </w:rPr>
      </w:pPr>
    </w:p>
    <w:p>
      <w:pPr>
        <w:jc w:val="both"/>
        <w:ind w:left="320" w:right="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70">
        <w:r>
          <w:rPr>
            <w:rFonts w:ascii="Times New Roman" w:cs="Times New Roman" w:eastAsia="Times New Roman" w:hAnsi="Times New Roman"/>
            <w:sz w:val="18"/>
            <w:szCs w:val="18"/>
            <w:u w:val="single" w:color="auto"/>
            <w:color w:val="0000FF"/>
          </w:rPr>
          <w:t>Third Amendment and Waiver to the Credit Agreement, dated effective as of May 1, 2017, between the Company, JPMorgan Chase</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Bank, N.A., as administrative agent, the other agents party thereto and the lenders party thereto (Incorporated herein by reference to</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Exhibit 10.1 to the registrant's Current Report on Form 8-K dated as of May 1, 2017.)</w:t>
        </w:r>
      </w:hyperlink>
    </w:p>
    <w:p>
      <w:pPr>
        <w:spacing w:after="0" w:line="136" w:lineRule="exact"/>
        <w:rPr>
          <w:rFonts w:ascii="Times New Roman" w:cs="Times New Roman" w:eastAsia="Times New Roman" w:hAnsi="Times New Roman"/>
          <w:sz w:val="18"/>
          <w:szCs w:val="18"/>
          <w:u w:val="single" w:color="auto"/>
          <w:color w:val="0000FF"/>
        </w:rPr>
      </w:pPr>
    </w:p>
    <w:p>
      <w:pPr>
        <w:jc w:val="both"/>
        <w:ind w:left="320" w:right="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71">
        <w:r>
          <w:rPr>
            <w:rFonts w:ascii="Times New Roman" w:cs="Times New Roman" w:eastAsia="Times New Roman" w:hAnsi="Times New Roman"/>
            <w:sz w:val="18"/>
            <w:szCs w:val="18"/>
            <w:u w:val="single" w:color="auto"/>
            <w:color w:val="0000FF"/>
          </w:rPr>
          <w:t>Fourth Amendment to the Credit Agreement (including Amended and Restated Guarantee and Collateral Agreement), dated as of</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June 6, 2017, between the Company, JPMorgan Chase Bank, N.A., as administrative agent, the other agents party thereto and the lenders</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party thereto (Incorporated herein by reference to Exhibit 10.1 to the registrant's Current Report on Form 8-K dated as of June 6, 2017.)</w:t>
        </w:r>
      </w:hyperlink>
    </w:p>
    <w:p>
      <w:pPr>
        <w:spacing w:after="0" w:line="136" w:lineRule="exact"/>
        <w:rPr>
          <w:rFonts w:ascii="Times New Roman" w:cs="Times New Roman" w:eastAsia="Times New Roman" w:hAnsi="Times New Roman"/>
          <w:sz w:val="18"/>
          <w:szCs w:val="18"/>
          <w:u w:val="single" w:color="auto"/>
          <w:color w:val="0000FF"/>
        </w:rPr>
      </w:pPr>
    </w:p>
    <w:p>
      <w:pPr>
        <w:jc w:val="both"/>
        <w:ind w:left="320" w:right="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72">
        <w:r>
          <w:rPr>
            <w:rFonts w:ascii="Times New Roman" w:cs="Times New Roman" w:eastAsia="Times New Roman" w:hAnsi="Times New Roman"/>
            <w:sz w:val="18"/>
            <w:szCs w:val="18"/>
            <w:u w:val="single" w:color="auto"/>
            <w:color w:val="0000FF"/>
          </w:rPr>
          <w:t>Cooperation Agreement, dated February 5, 2018, by and among Rent-A-Center, Inc., Engaged Capital Flagship Master Fund, LP,</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Engaged Capital Co-Invest V, LP, Engaged Capital Co-Invest V-A, LP, Engaged Capital Holdings, LLC and Glenn W. Welling</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(Incorporated herein by reference to Exhibit 10.1 to the registrant's Current Report on Form 8-K dated as of February 5, 2018.)</w:t>
        </w:r>
      </w:hyperlink>
    </w:p>
    <w:p>
      <w:pPr>
        <w:spacing w:after="0" w:line="136" w:lineRule="exact"/>
        <w:rPr>
          <w:rFonts w:ascii="Times New Roman" w:cs="Times New Roman" w:eastAsia="Times New Roman" w:hAnsi="Times New Roman"/>
          <w:sz w:val="18"/>
          <w:szCs w:val="18"/>
          <w:u w:val="single" w:color="auto"/>
          <w:color w:val="0000FF"/>
        </w:rPr>
      </w:pPr>
    </w:p>
    <w:p>
      <w:pPr>
        <w:ind w:left="320" w:right="20" w:hanging="1007"/>
        <w:spacing w:after="0" w:line="282"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rFonts w:ascii="Times New Roman" w:cs="Times New Roman" w:eastAsia="Times New Roman" w:hAnsi="Times New Roman"/>
          <w:sz w:val="14"/>
          <w:szCs w:val="14"/>
          <w:color w:val="auto"/>
        </w:rPr>
        <w:t>†</w:t>
      </w:r>
      <w:r>
        <w:rPr>
          <w:sz w:val="20"/>
          <w:szCs w:val="20"/>
          <w:color w:val="auto"/>
        </w:rPr>
        <w:tab/>
      </w:r>
      <w:hyperlink r:id="rId73">
        <w:r>
          <w:rPr>
            <w:rFonts w:ascii="Times New Roman" w:cs="Times New Roman" w:eastAsia="Times New Roman" w:hAnsi="Times New Roman"/>
            <w:sz w:val="18"/>
            <w:szCs w:val="18"/>
            <w:u w:val="single" w:color="auto"/>
            <w:color w:val="0000FF"/>
          </w:rPr>
          <w:t>CEO Employment Agreement, dated December 30, 2017, between Mitchell E. Fadel and Rent-A-Center, Inc. (Incorporated herein by</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reference to Exhibit 10.1 to the registrant's Current Report on Form 8-K dated as of April 3, 2018.)</w:t>
        </w:r>
      </w:hyperlink>
    </w:p>
    <w:p>
      <w:pPr>
        <w:spacing w:after="0" w:line="121" w:lineRule="exact"/>
        <w:rPr>
          <w:sz w:val="20"/>
          <w:szCs w:val="20"/>
          <w:color w:val="auto"/>
        </w:rPr>
      </w:pPr>
    </w:p>
    <w:p>
      <w:pPr>
        <w:jc w:val="both"/>
        <w:ind w:left="320" w:right="20" w:hanging="971"/>
        <w:spacing w:after="0" w:line="261"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74">
        <w:r>
          <w:rPr>
            <w:rFonts w:ascii="Times New Roman" w:cs="Times New Roman" w:eastAsia="Times New Roman" w:hAnsi="Times New Roman"/>
            <w:sz w:val="18"/>
            <w:szCs w:val="18"/>
            <w:u w:val="single" w:color="auto"/>
            <w:color w:val="0000FF"/>
          </w:rPr>
          <w:t>Letter Agreement, dated May 25, 2018, by and among Rent-A-Center, Inc., Engaged Capital Flagship Master Fund, LP, Engaged</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Capital Co-Invest V, LP, Engaged Capital Co-Invest V-A, LP, Engaged Capital Flagship Fund, LP, Engaged Capital Flagship Fund, Ltd.,</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Engaged Capital, LLC, Engaged Capital Holdings, LLC and Glenn W. Welling (Incorporated herein by reference to Exhibit 10.1 to the</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registrant's Current Report on Form 8-K dated as of May 25, 2018.)</w:t>
        </w:r>
      </w:hyperlink>
    </w:p>
    <w:p>
      <w:pPr>
        <w:spacing w:after="0" w:line="140" w:lineRule="exact"/>
        <w:rPr>
          <w:rFonts w:ascii="Times New Roman" w:cs="Times New Roman" w:eastAsia="Times New Roman" w:hAnsi="Times New Roman"/>
          <w:sz w:val="18"/>
          <w:szCs w:val="18"/>
          <w:u w:val="single" w:color="auto"/>
          <w:color w:val="0000FF"/>
        </w:rPr>
      </w:pPr>
    </w:p>
    <w:p>
      <w:pPr>
        <w:jc w:val="both"/>
        <w:ind w:left="320" w:hanging="971"/>
        <w:spacing w:after="0" w:line="266" w:lineRule="auto"/>
        <w:tabs>
          <w:tab w:leader="none" w:pos="3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75">
        <w:r>
          <w:rPr>
            <w:rFonts w:ascii="Times New Roman" w:cs="Times New Roman" w:eastAsia="Times New Roman" w:hAnsi="Times New Roman"/>
            <w:sz w:val="18"/>
            <w:szCs w:val="18"/>
            <w:u w:val="single" w:color="auto"/>
            <w:color w:val="0000FF"/>
          </w:rPr>
          <w:t>Fifth Amendment to the Credit Agreement, dated as of December 12, 2018, between the Company, JPMorgan Chase Bank, N.A., as</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administrative agent, the other agents party thereto and the lenders party thereto (Incorporated herein by reference to Exhibit 10.1 to the</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registrant's Current Report on Form 8-K on December 12, 2018.)</w:t>
        </w:r>
      </w:hyperlink>
    </w:p>
    <w:p>
      <w:pPr>
        <w:sectPr>
          <w:pgSz w:w="11900" w:h="16838" w:orient="portrait"/>
          <w:cols w:equalWidth="0" w:num="1">
            <w:col w:w="10200"/>
          </w:cols>
          <w:pgMar w:left="1440" w:top="333" w:right="25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60" w:lineRule="exact"/>
        <w:rPr>
          <w:rFonts w:ascii="Times New Roman" w:cs="Times New Roman" w:eastAsia="Times New Roman" w:hAnsi="Times New Roman"/>
          <w:sz w:val="18"/>
          <w:szCs w:val="18"/>
          <w:u w:val="single" w:color="auto"/>
          <w:color w:val="0000FF"/>
        </w:rPr>
      </w:pPr>
    </w:p>
    <w:p>
      <w:pPr>
        <w:jc w:val="center"/>
        <w:ind w:right="118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200"/>
          </w:cols>
          <w:pgMar w:left="1440" w:top="333" w:right="259" w:bottom="1440" w:gutter="0" w:footer="0" w:header="0"/>
          <w:type w:val="continuous"/>
        </w:sectPr>
      </w:pPr>
    </w:p>
    <w:bookmarkStart w:id="36" w:name="page37"/>
    <w:bookmarkEnd w:id="36"/>
    <w:tbl>
      <w:tblPr>
        <w:tblLayout w:type="fixed"/>
        <w:tblInd w:w="325"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96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tc>
      </w:tr>
      <w:tr>
        <w:trPr>
          <w:trHeight w:val="797"/>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10.41</w:t>
            </w: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Amended and Restated Employment Agreement, entered into as of April 16, 2019, between Rent-A-Center, Inc. and Mitchell E. Fadel</w:t>
              </w:r>
            </w:hyperlink>
          </w:p>
        </w:tc>
      </w:tr>
      <w:tr>
        <w:trPr>
          <w:trHeight w:val="196"/>
        </w:trPr>
        <w:tc>
          <w:tcPr>
            <w:tcW w:w="1160" w:type="dxa"/>
            <w:vAlign w:val="bottom"/>
          </w:tcPr>
          <w:p>
            <w:pPr>
              <w:spacing w:after="0"/>
              <w:rPr>
                <w:sz w:val="17"/>
                <w:szCs w:val="17"/>
                <w:color w:val="auto"/>
              </w:rPr>
            </w:pPr>
          </w:p>
        </w:tc>
        <w:tc>
          <w:tcPr>
            <w:tcW w:w="83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(Incorporated herein by reference to Exhibit 10.1 to the registrant's Current Report on Form 8-K on April 16, 2019.)</w:t>
              </w:r>
            </w:hyperlink>
          </w:p>
        </w:tc>
        <w:tc>
          <w:tcPr>
            <w:tcW w:w="1520" w:type="dxa"/>
            <w:vAlign w:val="bottom"/>
            <w:gridSpan w:val="2"/>
          </w:tcPr>
          <w:p>
            <w:pPr>
              <w:spacing w:after="0"/>
              <w:rPr>
                <w:sz w:val="17"/>
                <w:szCs w:val="17"/>
                <w:color w:val="auto"/>
              </w:rPr>
            </w:pPr>
          </w:p>
        </w:tc>
      </w:tr>
      <w:tr>
        <w:trPr>
          <w:trHeight w:val="37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10.42</w:t>
            </w: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Term Loan Credit Agreement, dated as of August 5, 2019, between Rent-A-Center, Inc., the several lenders from time to time party</w:t>
              </w:r>
            </w:hyperlink>
          </w:p>
        </w:tc>
      </w:tr>
      <w:tr>
        <w:trPr>
          <w:trHeight w:val="196"/>
        </w:trPr>
        <w:tc>
          <w:tcPr>
            <w:tcW w:w="116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thereto and JPMorgan Chase Bank, N.A., as administrative agent (Incorporated herein by reference to Exhibit 10.42 to the registrant's</w:t>
              </w:r>
            </w:hyperlink>
          </w:p>
        </w:tc>
      </w:tr>
      <w:tr>
        <w:trPr>
          <w:trHeight w:val="196"/>
        </w:trPr>
        <w:tc>
          <w:tcPr>
            <w:tcW w:w="1160" w:type="dxa"/>
            <w:vAlign w:val="bottom"/>
          </w:tcPr>
          <w:p>
            <w:pPr>
              <w:spacing w:after="0"/>
              <w:rPr>
                <w:sz w:val="17"/>
                <w:szCs w:val="17"/>
                <w:color w:val="auto"/>
              </w:rPr>
            </w:pPr>
          </w:p>
        </w:tc>
        <w:tc>
          <w:tcPr>
            <w:tcW w:w="986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Current Report on Form 10-Q on August 9, 2019.)</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10.43</w:t>
            </w:r>
          </w:p>
        </w:tc>
        <w:tc>
          <w:tcPr>
            <w:tcW w:w="9880" w:type="dxa"/>
            <w:vAlign w:val="bottom"/>
            <w:gridSpan w:val="12"/>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ABL Credit Agreement, dated as of August 5, 2019, between Rent-A-Center, Inc., the several lenders from time to time party thereto</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and JPMorgan Chase Bank, N.A., as administrative agent (Incorporated herein by reference to Exhibit 10.43 to the registrant's Current</w:t>
              </w:r>
            </w:hyperlink>
          </w:p>
        </w:tc>
      </w:tr>
      <w:tr>
        <w:trPr>
          <w:trHeight w:val="196"/>
        </w:trPr>
        <w:tc>
          <w:tcPr>
            <w:tcW w:w="116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Report on Form 10-Q on August 9, 2019.)</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10.44</w:t>
            </w:r>
          </w:p>
        </w:tc>
        <w:tc>
          <w:tcPr>
            <w:tcW w:w="9880" w:type="dxa"/>
            <w:vAlign w:val="bottom"/>
            <w:gridSpan w:val="12"/>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Term Loan Guarantee and Collateral Agreement, dated as of August 5, 2019, between Rent-A-Center, Inc., its subsidiaries named as</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guarantors therein and JPMorgan Chase Bank, N.A., as administrative agent (Incorporated herein by reference to Exhibit 10.44 to the</w:t>
              </w:r>
            </w:hyperlink>
          </w:p>
        </w:tc>
      </w:tr>
      <w:tr>
        <w:trPr>
          <w:trHeight w:val="196"/>
        </w:trPr>
        <w:tc>
          <w:tcPr>
            <w:tcW w:w="116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registrant's Current Report on Form 10-Q on August 9, 2019.)</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10.45</w:t>
            </w:r>
          </w:p>
        </w:tc>
        <w:tc>
          <w:tcPr>
            <w:tcW w:w="9880" w:type="dxa"/>
            <w:vAlign w:val="bottom"/>
            <w:gridSpan w:val="12"/>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ABL Guarantee and Collateral Agreement, dated as of August 5, 2019, between Rent-A-Center, Inc., its subsidiaries named as</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guarantors therein and JPMorgan Chase Bank, N.A., as administrative agent (Incorporated herein by reference to Exhibit 10.45 to the</w:t>
              </w:r>
            </w:hyperlink>
          </w:p>
        </w:tc>
      </w:tr>
      <w:tr>
        <w:trPr>
          <w:trHeight w:val="196"/>
        </w:trPr>
        <w:tc>
          <w:tcPr>
            <w:tcW w:w="116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registrant's Current Report on Form 10-Q on August 9, 2019.)</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5"/>
              </w:rPr>
              <w:t>18.1</w:t>
            </w: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Preferability letter regarding change in accounting principle (Incorporated herein by reference to Exhibit 18.1 to the registrant's</w:t>
              </w:r>
            </w:hyperlink>
          </w:p>
        </w:tc>
      </w:tr>
      <w:tr>
        <w:trPr>
          <w:trHeight w:val="196"/>
        </w:trPr>
        <w:tc>
          <w:tcPr>
            <w:tcW w:w="116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Quarterly Report on the Form 10-Q for the quarter ended September 30, 2014).</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5"/>
              </w:rPr>
              <w:t>21.1</w:t>
            </w: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Subsidiaries of Rent-A-Center, Inc. (Incorporated herein by reference to Exhibit 21.1 to the registrant's Annual Report on Form 10-K for</w:t>
              </w:r>
            </w:hyperlink>
          </w:p>
        </w:tc>
      </w:tr>
      <w:tr>
        <w:trPr>
          <w:trHeight w:val="196"/>
        </w:trPr>
        <w:tc>
          <w:tcPr>
            <w:tcW w:w="1160" w:type="dxa"/>
            <w:vAlign w:val="bottom"/>
          </w:tcPr>
          <w:p>
            <w:pPr>
              <w:spacing w:after="0"/>
              <w:rPr>
                <w:sz w:val="17"/>
                <w:szCs w:val="17"/>
                <w:color w:val="auto"/>
              </w:rPr>
            </w:pPr>
          </w:p>
        </w:tc>
        <w:tc>
          <w:tcPr>
            <w:tcW w:w="26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the year ended December 31, 2016.)</w:t>
              </w:r>
            </w:hyperlink>
          </w:p>
        </w:tc>
        <w:tc>
          <w:tcPr>
            <w:tcW w:w="7260" w:type="dxa"/>
            <w:vAlign w:val="bottom"/>
            <w:gridSpan w:val="7"/>
          </w:tcPr>
          <w:p>
            <w:pPr>
              <w:spacing w:after="0"/>
              <w:rPr>
                <w:sz w:val="17"/>
                <w:szCs w:val="17"/>
                <w:color w:val="auto"/>
              </w:rPr>
            </w:pPr>
          </w:p>
        </w:tc>
      </w:tr>
      <w:tr>
        <w:trPr>
          <w:trHeight w:val="37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12"/>
          </w:tcPr>
          <w:p>
            <w:pPr>
              <w:spacing w:after="0"/>
              <w:rPr>
                <w:rFonts w:ascii="Times New Roman" w:cs="Times New Roman" w:eastAsia="Times New Roman" w:hAnsi="Times New Roman"/>
                <w:sz w:val="18"/>
                <w:szCs w:val="18"/>
                <w:color w:val="0000FF"/>
                <w:w w:val="99"/>
              </w:rPr>
            </w:pPr>
            <w:hyperlink w:anchor="page39">
              <w:r>
                <w:rPr>
                  <w:rFonts w:ascii="Times New Roman" w:cs="Times New Roman" w:eastAsia="Times New Roman" w:hAnsi="Times New Roman"/>
                  <w:sz w:val="18"/>
                  <w:szCs w:val="18"/>
                  <w:color w:val="0000FF"/>
                  <w:w w:val="99"/>
                </w:rPr>
                <w:t>Certification pursuant to Rule 13a-14(a) of the Securities Exchange Act of 1934 implementing Section 302 of the Sarbanes-Oxley Act of</w:t>
              </w:r>
            </w:hyperlink>
          </w:p>
        </w:tc>
      </w:tr>
      <w:tr>
        <w:trPr>
          <w:trHeight w:val="196"/>
        </w:trPr>
        <w:tc>
          <w:tcPr>
            <w:tcW w:w="1160" w:type="dxa"/>
            <w:vAlign w:val="bottom"/>
          </w:tcPr>
          <w:p>
            <w:pPr>
              <w:spacing w:after="0"/>
              <w:rPr>
                <w:sz w:val="17"/>
                <w:szCs w:val="17"/>
                <w:color w:val="auto"/>
              </w:rPr>
            </w:pPr>
          </w:p>
        </w:tc>
        <w:tc>
          <w:tcPr>
            <w:tcW w:w="986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2002 by Mitchell E. Fadel</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12"/>
          </w:tcPr>
          <w:p>
            <w:pPr>
              <w:spacing w:after="0"/>
              <w:rPr>
                <w:rFonts w:ascii="Times New Roman" w:cs="Times New Roman" w:eastAsia="Times New Roman" w:hAnsi="Times New Roman"/>
                <w:sz w:val="18"/>
                <w:szCs w:val="18"/>
                <w:color w:val="0000FF"/>
                <w:w w:val="99"/>
              </w:rPr>
            </w:pPr>
            <w:hyperlink w:anchor="page40">
              <w:r>
                <w:rPr>
                  <w:rFonts w:ascii="Times New Roman" w:cs="Times New Roman" w:eastAsia="Times New Roman" w:hAnsi="Times New Roman"/>
                  <w:sz w:val="18"/>
                  <w:szCs w:val="18"/>
                  <w:color w:val="0000FF"/>
                  <w:w w:val="99"/>
                </w:rPr>
                <w:t>Certification pursuant to Rule 13a-14(a) of the Securities Exchange Act of 1934 implementing Section 302 of the Sarbanes-Oxley Act of</w:t>
              </w:r>
            </w:hyperlink>
          </w:p>
        </w:tc>
      </w:tr>
      <w:tr>
        <w:trPr>
          <w:trHeight w:val="196"/>
        </w:trPr>
        <w:tc>
          <w:tcPr>
            <w:tcW w:w="116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w:anchor="page40">
              <w:r>
                <w:rPr>
                  <w:rFonts w:ascii="Times New Roman" w:cs="Times New Roman" w:eastAsia="Times New Roman" w:hAnsi="Times New Roman"/>
                  <w:sz w:val="18"/>
                  <w:szCs w:val="18"/>
                  <w:color w:val="0000FF"/>
                  <w:w w:val="99"/>
                </w:rPr>
                <w:t>2002 by Maureen B. Short</w:t>
              </w:r>
            </w:hyperlink>
          </w:p>
        </w:tc>
        <w:tc>
          <w:tcPr>
            <w:tcW w:w="794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w:anchor="page41">
              <w:r>
                <w:rPr>
                  <w:rFonts w:ascii="Times New Roman" w:cs="Times New Roman" w:eastAsia="Times New Roman" w:hAnsi="Times New Roman"/>
                  <w:sz w:val="18"/>
                  <w:szCs w:val="18"/>
                  <w:color w:val="0000FF"/>
                </w:rPr>
                <w:t>Certification pursuant to 18 U.S.C. Section 1350 as adopted pursuant to Section 906 of the Sarbanes-Oxley Act of 2002 by Mitchell E.</w:t>
              </w:r>
            </w:hyperlink>
          </w:p>
        </w:tc>
      </w:tr>
      <w:tr>
        <w:trPr>
          <w:trHeight w:val="196"/>
        </w:trPr>
        <w:tc>
          <w:tcPr>
            <w:tcW w:w="116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41">
              <w:r>
                <w:rPr>
                  <w:rFonts w:ascii="Times New Roman" w:cs="Times New Roman" w:eastAsia="Times New Roman" w:hAnsi="Times New Roman"/>
                  <w:sz w:val="18"/>
                  <w:szCs w:val="18"/>
                  <w:color w:val="0000FF"/>
                  <w:w w:val="99"/>
                </w:rPr>
                <w:t>Fadel</w:t>
              </w:r>
            </w:hyperlink>
          </w:p>
        </w:tc>
        <w:tc>
          <w:tcPr>
            <w:tcW w:w="9460" w:type="dxa"/>
            <w:vAlign w:val="bottom"/>
            <w:gridSpan w:val="10"/>
          </w:tcPr>
          <w:p>
            <w:pPr>
              <w:spacing w:after="0"/>
              <w:rPr>
                <w:sz w:val="17"/>
                <w:szCs w:val="17"/>
                <w:color w:val="auto"/>
              </w:rPr>
            </w:pPr>
          </w:p>
        </w:tc>
      </w:tr>
      <w:tr>
        <w:trPr>
          <w:trHeight w:val="41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32.2*</w:t>
            </w:r>
          </w:p>
        </w:tc>
        <w:tc>
          <w:tcPr>
            <w:tcW w:w="9880" w:type="dxa"/>
            <w:vAlign w:val="bottom"/>
            <w:gridSpan w:val="12"/>
          </w:tcPr>
          <w:p>
            <w:pPr>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Certification pursuant to 18 U.S.C. Section 1350 as adopted pursuant to Section 906 of the Sarbanes-Oxley Act of 2002 by Maureen B.</w:t>
              </w:r>
            </w:hyperlink>
          </w:p>
        </w:tc>
      </w:tr>
      <w:tr>
        <w:trPr>
          <w:trHeight w:val="196"/>
        </w:trPr>
        <w:tc>
          <w:tcPr>
            <w:tcW w:w="11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w:anchor="page42">
              <w:r>
                <w:rPr>
                  <w:rFonts w:ascii="Times New Roman" w:cs="Times New Roman" w:eastAsia="Times New Roman" w:hAnsi="Times New Roman"/>
                  <w:sz w:val="18"/>
                  <w:szCs w:val="18"/>
                  <w:color w:val="0000FF"/>
                  <w:w w:val="97"/>
                </w:rPr>
                <w:t>Short</w:t>
              </w:r>
            </w:hyperlink>
          </w:p>
        </w:tc>
        <w:tc>
          <w:tcPr>
            <w:tcW w:w="946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 XBRL tags are embedded</w:t>
            </w:r>
          </w:p>
        </w:tc>
      </w:tr>
      <w:tr>
        <w:trPr>
          <w:trHeight w:val="234"/>
        </w:trPr>
        <w:tc>
          <w:tcPr>
            <w:tcW w:w="1160" w:type="dxa"/>
            <w:vAlign w:val="bottom"/>
          </w:tcPr>
          <w:p>
            <w:pPr>
              <w:spacing w:after="0"/>
              <w:rPr>
                <w:sz w:val="20"/>
                <w:szCs w:val="20"/>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101.SCH*</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101.DEF*</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66" w:lineRule="exact"/>
        <w:rPr>
          <w:sz w:val="20"/>
          <w:szCs w:val="20"/>
          <w:color w:val="auto"/>
        </w:rPr>
      </w:pPr>
    </w:p>
    <w:p>
      <w:pPr>
        <w:ind w:left="5" w:right="7540" w:hanging="5"/>
        <w:spacing w:after="0" w:line="342" w:lineRule="auto"/>
        <w:tabs>
          <w:tab w:leader="none" w:pos="3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 * Filed herewith.</w:t>
      </w:r>
    </w:p>
    <w:p>
      <w:pPr>
        <w:spacing w:after="0" w:line="200" w:lineRule="exact"/>
        <w:rPr>
          <w:sz w:val="20"/>
          <w:szCs w:val="20"/>
          <w:color w:val="auto"/>
        </w:rPr>
      </w:pPr>
    </w:p>
    <w:p>
      <w:pPr>
        <w:spacing w:after="0" w:line="23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5"/>
          </w:cols>
          <w:pgMar w:left="275" w:top="333" w:right="2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RENT-A-CENTER, INC. AND SUBSIDIARIES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RENT-A-CENTER, INC.</w:t>
      </w:r>
    </w:p>
    <w:p>
      <w:pPr>
        <w:spacing w:after="0" w:line="387" w:lineRule="exact"/>
        <w:rPr>
          <w:sz w:val="20"/>
          <w:szCs w:val="20"/>
          <w:color w:val="auto"/>
        </w:rPr>
      </w:pPr>
    </w:p>
    <w:p>
      <w:pPr>
        <w:ind w:left="6900"/>
        <w:spacing w:after="0"/>
        <w:tabs>
          <w:tab w:leader="none" w:pos="8100" w:val="left"/>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MAUREEN B.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67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Maureen B. Short</w:t>
      </w:r>
    </w:p>
    <w:p>
      <w:pPr>
        <w:spacing w:after="0" w:line="61"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i w:val="1"/>
          <w:iCs w:val="1"/>
          <w:color w:val="auto"/>
        </w:rPr>
        <w:t>EVP, Chief Financial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333" w:right="2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E. Fadel, certify that:</w:t>
      </w:r>
    </w:p>
    <w:p>
      <w:pPr>
        <w:spacing w:after="0" w:line="252" w:lineRule="exact"/>
        <w:rPr>
          <w:sz w:val="20"/>
          <w:szCs w:val="20"/>
          <w:color w:val="auto"/>
        </w:rPr>
      </w:pPr>
    </w:p>
    <w:p>
      <w:pPr>
        <w:ind w:left="1440" w:hanging="784"/>
        <w:spacing w:after="0"/>
        <w:tabs>
          <w:tab w:leader="none" w:pos="1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Rent-A-Center, Inc.;</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20" w:firstLine="656"/>
        <w:spacing w:after="0" w:line="329" w:lineRule="auto"/>
        <w:tabs>
          <w:tab w:leader="none" w:pos="14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329" w:lineRule="auto"/>
        <w:tabs>
          <w:tab w:leader="none" w:pos="1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Mitchell E. Fadel</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6"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Maureen B. Short, certify that:</w:t>
      </w:r>
    </w:p>
    <w:p>
      <w:pPr>
        <w:spacing w:after="0" w:line="252" w:lineRule="exact"/>
        <w:rPr>
          <w:sz w:val="20"/>
          <w:szCs w:val="20"/>
          <w:color w:val="auto"/>
        </w:rPr>
      </w:pPr>
    </w:p>
    <w:p>
      <w:pPr>
        <w:ind w:left="1440" w:hanging="784"/>
        <w:spacing w:after="0"/>
        <w:tabs>
          <w:tab w:leader="none" w:pos="1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Rent-A-Center, Inc.;</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20" w:firstLine="656"/>
        <w:spacing w:after="0" w:line="329" w:lineRule="auto"/>
        <w:tabs>
          <w:tab w:leader="none" w:pos="14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329" w:lineRule="auto"/>
        <w:tabs>
          <w:tab w:leader="none" w:pos="14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Maureen B. Short</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6"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Rent-A-Center,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September 30, 2019,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178"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Mitchell E. Fadel</w:t>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Mitchell E. Fadel</w:t>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7, 2019</w:t>
      </w:r>
    </w:p>
    <w:p>
      <w:pPr>
        <w:spacing w:after="0" w:line="200" w:lineRule="exact"/>
        <w:rPr>
          <w:sz w:val="20"/>
          <w:szCs w:val="20"/>
          <w:color w:val="auto"/>
        </w:rPr>
      </w:pP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6"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Rent-A-Center,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September 30, 2019,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Maureen B. Short, Chief Financial Officer of the Company, hereby certify, pursuant to 18 U.S.C. Section 1350, as adopted pursuant to Section 906 of the Sarbanes-Oxley Act of 2002, that, to the best of my knowledge:</w:t>
      </w:r>
    </w:p>
    <w:p>
      <w:pPr>
        <w:spacing w:after="0" w:line="17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Maureen B. Short</w:t>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Maureen B. Short</w:t>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Executive Vice President, Chief Financial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7, 2019</w:t>
      </w:r>
    </w:p>
    <w:p>
      <w:pPr>
        <w:spacing w:after="0" w:line="200" w:lineRule="exact"/>
        <w:rPr>
          <w:sz w:val="20"/>
          <w:szCs w:val="20"/>
          <w:color w:val="auto"/>
        </w:rPr>
      </w:pP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83" Type="http://schemas.openxmlformats.org/officeDocument/2006/relationships/image" Target="media/image19.png"/><Relationship Id="rId26" Type="http://schemas.openxmlformats.org/officeDocument/2006/relationships/hyperlink" Target="http://www.sec.gov/Archives/edgar/data/933036/000119312518196337/d407444dex21.htm" TargetMode="External"/><Relationship Id="rId27" Type="http://schemas.openxmlformats.org/officeDocument/2006/relationships/hyperlink" Target="http://www.sec.gov/Archives/edgar/data/933036/000093303619000033/exhibit21-mppurchaseagreem.htm" TargetMode="External"/><Relationship Id="rId28" Type="http://schemas.openxmlformats.org/officeDocument/2006/relationships/hyperlink" Target="http://www.sec.gov/Archives/edgar/data/933036/000095013402016210/d02215exv3w1.txt" TargetMode="External"/><Relationship Id="rId29" Type="http://schemas.openxmlformats.org/officeDocument/2006/relationships/hyperlink" Target="http://www.sec.gov/Archives/edgar/data/933036/000095013404010948/d17068exv3w2.txt" TargetMode="External"/><Relationship Id="rId30" Type="http://schemas.openxmlformats.org/officeDocument/2006/relationships/hyperlink" Target="http://www.sec.gov/Archives/edgar/data/933036/000095012311087538/d84891exv3w1.htm" TargetMode="External"/><Relationship Id="rId31" Type="http://schemas.openxmlformats.org/officeDocument/2006/relationships/hyperlink" Target="http://www.sec.gov/Archives/edgar/data/933036/000093303617000022/exhibit31march282017america.htm" TargetMode="External"/><Relationship Id="rId32" Type="http://schemas.openxmlformats.org/officeDocument/2006/relationships/hyperlink" Target="http://www.sec.gov/Archives/edgar/data/933036/000093303617000033/ex-41_q12017.htm" TargetMode="External"/><Relationship Id="rId33" Type="http://schemas.openxmlformats.org/officeDocument/2006/relationships/hyperlink" Target="http://www.sec.gov/Archives/edgar/data/933036/000095012310101026/d77466exv4w1.htm" TargetMode="External"/><Relationship Id="rId34" Type="http://schemas.openxmlformats.org/officeDocument/2006/relationships/hyperlink" Target="http://www.sec.gov/Archives/edgar/data/933036/000110465913036953/a13-11511_1ex4d1.htm" TargetMode="External"/><Relationship Id="rId35" Type="http://schemas.openxmlformats.org/officeDocument/2006/relationships/hyperlink" Target="http://www.sec.gov/Archives/edgar/data/933036/000093303617000020/exhibit41march282017rights.htm" TargetMode="External"/><Relationship Id="rId36" Type="http://schemas.openxmlformats.org/officeDocument/2006/relationships/hyperlink" Target="http://www.sec.gov/Archives/edgar/data/933036/000095013403014447/d10151exv10w1.txt" TargetMode="External"/><Relationship Id="rId37" Type="http://schemas.openxmlformats.org/officeDocument/2006/relationships/hyperlink" Target="http://www.sec.gov/Archives/edgar/data/933036/000110465914021176/a14-8387_1ex10d2.htm" TargetMode="External"/><Relationship Id="rId38" Type="http://schemas.openxmlformats.org/officeDocument/2006/relationships/hyperlink" Target="http://www.sec.gov/Archives/edgar/data/933036/000095013405004635/d23167exv10w20.htm" TargetMode="External"/><Relationship Id="rId39" Type="http://schemas.openxmlformats.org/officeDocument/2006/relationships/hyperlink" Target="http://www.sec.gov/Archives/edgar/data/933036/000095013405004635/d23167exv10w21.htm" TargetMode="External"/><Relationship Id="rId40" Type="http://schemas.openxmlformats.org/officeDocument/2006/relationships/hyperlink" Target="http://www.sec.gov/Archives/edgar/data/933036/000093303618000010/ex-105_q42017.htm" TargetMode="External"/><Relationship Id="rId41" Type="http://schemas.openxmlformats.org/officeDocument/2006/relationships/hyperlink" Target="http://www.sec.gov/Archives/edgar/data/933036/000095013406004738/d32968exv10w15.htm" TargetMode="External"/><Relationship Id="rId42" Type="http://schemas.openxmlformats.org/officeDocument/2006/relationships/hyperlink" Target="http://www.sec.gov/Archives/edgar/data/933036/000095013406004738/d32968exv10w16.htm" TargetMode="External"/><Relationship Id="rId43" Type="http://schemas.openxmlformats.org/officeDocument/2006/relationships/hyperlink" Target="http://www.sec.gov/Archives/edgar/data/933036/000093303617000009/a2016exhibit1014loyaltyagr.htm" TargetMode="External"/><Relationship Id="rId44" Type="http://schemas.openxmlformats.org/officeDocument/2006/relationships/hyperlink" Target="http://www.sec.gov/Archives/edgar/data/933036/000095013406014316/d38165exv10w17.htm" TargetMode="External"/><Relationship Id="rId45" Type="http://schemas.openxmlformats.org/officeDocument/2006/relationships/hyperlink" Target="http://www.sec.gov/Archives/edgar/data/933036/000095013406014316/d38165exv10w18.htm" TargetMode="External"/><Relationship Id="rId46" Type="http://schemas.openxmlformats.org/officeDocument/2006/relationships/hyperlink" Target="http://www.sec.gov/Archives/edgar/data/933036/000095013407004543/d43717exv10w19.htm" TargetMode="External"/><Relationship Id="rId47" Type="http://schemas.openxmlformats.org/officeDocument/2006/relationships/hyperlink" Target="http://www.sec.gov/Archives/edgar/data/933036/000095013407004543/d43717exv10w20.htm" TargetMode="External"/><Relationship Id="rId48" Type="http://schemas.openxmlformats.org/officeDocument/2006/relationships/hyperlink" Target="http://www.sec.gov/Archives/edgar/data/933036/000095013407000078/d42373exv4w5.htm" TargetMode="External"/><Relationship Id="rId49" Type="http://schemas.openxmlformats.org/officeDocument/2006/relationships/hyperlink" Target="http://www.sec.gov/Archives/edgar/data/933036/000095013407004543/d43717exv10w22.htm" TargetMode="External"/><Relationship Id="rId50" Type="http://schemas.openxmlformats.org/officeDocument/2006/relationships/hyperlink" Target="http://www.sec.gov/Archives/edgar/data/933036/000095013407004543/d43717exv10w23.htm" TargetMode="External"/><Relationship Id="rId51" Type="http://schemas.openxmlformats.org/officeDocument/2006/relationships/hyperlink" Target="http://www.sec.gov/Archives/edgar/data/933036/000095013407004543/d43717exv10w24.htm" TargetMode="External"/><Relationship Id="rId52" Type="http://schemas.openxmlformats.org/officeDocument/2006/relationships/hyperlink" Target="http://www.sec.gov/Archives/edgar/data/933036/000095012311018066/d78805exv10w23.htm" TargetMode="External"/><Relationship Id="rId53" Type="http://schemas.openxmlformats.org/officeDocument/2006/relationships/hyperlink" Target="http://www.sec.gov/Archives/edgar/data/933036/000093303617000009/a2016exhibit1024transition.htm" TargetMode="External"/><Relationship Id="rId54" Type="http://schemas.openxmlformats.org/officeDocument/2006/relationships/hyperlink" Target="http://www.sec.gov/Archives/edgar/data/933036/000093303616000050/ex1036rac2016long-termince.htm" TargetMode="External"/><Relationship Id="rId55" Type="http://schemas.openxmlformats.org/officeDocument/2006/relationships/hyperlink" Target="http://www.sec.gov/Archives/edgar/data/933036/000095013407016769/d48725exv10w28.htm" TargetMode="External"/><Relationship Id="rId56" Type="http://schemas.openxmlformats.org/officeDocument/2006/relationships/hyperlink" Target="http://www.sec.gov/Archives/edgar/data/933036/000095013409003883/d66311exv10w30.htm" TargetMode="External"/><Relationship Id="rId57" Type="http://schemas.openxmlformats.org/officeDocument/2006/relationships/hyperlink" Target="http://www.sec.gov/Archives/edgar/data/933036/000110465914021176/a14-8387_1ex10d1.htm" TargetMode="External"/><Relationship Id="rId58" Type="http://schemas.openxmlformats.org/officeDocument/2006/relationships/hyperlink" Target="http://www.sec.gov/Archives/edgar/data/933036/000095012311006540/d79301exv99w1.htm" TargetMode="External"/><Relationship Id="rId59" Type="http://schemas.openxmlformats.org/officeDocument/2006/relationships/hyperlink" Target="http://www.sec.gov/Archives/edgar/data/933036/000144530512003241/ex1032.htm" TargetMode="External"/><Relationship Id="rId60" Type="http://schemas.openxmlformats.org/officeDocument/2006/relationships/hyperlink" Target="http://www.sec.gov/Archives/edgar/data/933036/000110465913036953/a13-11511_1ex10d1.htm" TargetMode="External"/><Relationship Id="rId61" Type="http://schemas.openxmlformats.org/officeDocument/2006/relationships/hyperlink" Target="http://www.sec.gov/Archives/edgar/data/933036/000093303613000035/a2013q3ex-1034.htm" TargetMode="External"/><Relationship Id="rId62" Type="http://schemas.openxmlformats.org/officeDocument/2006/relationships/hyperlink" Target="http://www.sec.gov/Archives/edgar/data/933036/000093303614000024/a2014q2ex-1033thirdamendme.htm" TargetMode="External"/><Relationship Id="rId63" Type="http://schemas.openxmlformats.org/officeDocument/2006/relationships/hyperlink" Target="http://www.sec.gov/Archives/edgar/data/933036/000093303614000033/ex1034waiverandfourthamend.htm" TargetMode="External"/><Relationship Id="rId64" Type="http://schemas.openxmlformats.org/officeDocument/2006/relationships/hyperlink" Target="http://www.sec.gov/Archives/edgar/data/933036/000110465916092957/a16-3161_1ex10d1.htm" TargetMode="External"/><Relationship Id="rId65" Type="http://schemas.openxmlformats.org/officeDocument/2006/relationships/hyperlink" Target="http://www.sec.gov/Archives/edgar/data/933036/000093303616000050/ex1037optionagreement-2016.htm" TargetMode="External"/><Relationship Id="rId66" Type="http://schemas.openxmlformats.org/officeDocument/2006/relationships/hyperlink" Target="http://www.sec.gov/Archives/edgar/data/933036/000093303616000050/ex1038rsuagreement-2016ltip.htm" TargetMode="External"/><Relationship Id="rId67" Type="http://schemas.openxmlformats.org/officeDocument/2006/relationships/hyperlink" Target="http://www.sec.gov/Archives/edgar/data/933036/000093303616000050/ex1039psuagreement-2016ltip.htm" TargetMode="External"/><Relationship Id="rId68" Type="http://schemas.openxmlformats.org/officeDocument/2006/relationships/hyperlink" Target="http://www.sec.gov/Archives/edgar/data/933036/000093303616000058/exhibit101-secondamendment.htm" TargetMode="External"/><Relationship Id="rId69" Type="http://schemas.openxmlformats.org/officeDocument/2006/relationships/hyperlink" Target="http://www.sec.gov/Archives/edgar/data/933036/000093303617000002/ex-102_separationagree.htm" TargetMode="External"/><Relationship Id="rId70" Type="http://schemas.openxmlformats.org/officeDocument/2006/relationships/hyperlink" Target="http://www.sec.gov/Archives/edgar/data/933036/000093303617000031/rac2017q1-exhibit101.htm" TargetMode="External"/><Relationship Id="rId71" Type="http://schemas.openxmlformats.org/officeDocument/2006/relationships/hyperlink" Target="http://www.sec.gov/Archives/edgar/data/933036/000119312517201336/d410558dex101.htm" TargetMode="External"/><Relationship Id="rId72" Type="http://schemas.openxmlformats.org/officeDocument/2006/relationships/hyperlink" Target="http://www.sec.gov/Archives/edgar/data/933036/000119312518034839/d398659dex101.htm" TargetMode="External"/><Relationship Id="rId73" Type="http://schemas.openxmlformats.org/officeDocument/2006/relationships/hyperlink" Target="http://www.sec.gov/Archives/edgar/data/933036/000119312518106335/d563036dex101.htm" TargetMode="External"/><Relationship Id="rId74" Type="http://schemas.openxmlformats.org/officeDocument/2006/relationships/hyperlink" Target="http://www.sec.gov/Archives/edgar/data/933036/000119312518176911/d591864dex101.htm" TargetMode="External"/><Relationship Id="rId75" Type="http://schemas.openxmlformats.org/officeDocument/2006/relationships/hyperlink" Target="http://www.sec.gov/Archives/edgar/data/933036/000093303618000033/ex101fifthamendmentcredi.htm" TargetMode="External"/><Relationship Id="rId76" Type="http://schemas.openxmlformats.org/officeDocument/2006/relationships/hyperlink" Target="http://www.sec.gov/Archives/edgar/data/933036/000093303619000011/ex-101_20198xkfadelamend.htm" TargetMode="External"/><Relationship Id="rId77" Type="http://schemas.openxmlformats.org/officeDocument/2006/relationships/hyperlink" Target="http://www.sec.gov/Archives/edgar/data/933036/000093303619000039/exhibit1042termloancredi.htm" TargetMode="External"/><Relationship Id="rId78" Type="http://schemas.openxmlformats.org/officeDocument/2006/relationships/hyperlink" Target="http://www.sec.gov/Archives/edgar/data/933036/000093303619000039/exhibit1043ablcreditagre.htm" TargetMode="External"/><Relationship Id="rId79" Type="http://schemas.openxmlformats.org/officeDocument/2006/relationships/hyperlink" Target="http://www.sec.gov/Archives/edgar/data/933036/000093303619000039/exhibit1044tlbguaranteea.htm" TargetMode="External"/><Relationship Id="rId80" Type="http://schemas.openxmlformats.org/officeDocument/2006/relationships/hyperlink" Target="http://www.sec.gov/Archives/edgar/data/933036/000093303619000039/exhibit1045ablguaranteea.htm" TargetMode="External"/><Relationship Id="rId81" Type="http://schemas.openxmlformats.org/officeDocument/2006/relationships/hyperlink" Target="http://www.sec.gov/Archives/edgar/data/933036/000093303614000033/ex181letterfromkpmg.htm" TargetMode="External"/><Relationship Id="rId82" Type="http://schemas.openxmlformats.org/officeDocument/2006/relationships/hyperlink" Target="http://www.sec.gov/Archives/edgar/data/933036/000093303617000009/a2016exhibit211subsidiari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2019-12-28T01:55:00Z</dcterms:created>
  <dcterms:modified xsi:type="dcterms:W3CDTF">2019-12-28T01:55:00Z</dcterms:modified>
</cp:coreProperties>
</file>