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91.jpeg" ContentType="image/jpeg"/>
  <Override PartName="/word/media/image18.jpeg" ContentType="image/jpeg"/>
  <Override PartName="/word/media/image110.jpeg" ContentType="image/jpeg"/>
  <Override PartName="/word/media/image12.jpeg" ContentType="image/jpeg"/>
  <Override PartName="/word/media/image88.jpeg" ContentType="image/jpeg"/>
  <Override PartName="/word/media/image29.jpeg" ContentType="image/jpeg"/>
  <Override PartName="/word/media/image108.jpeg" ContentType="image/jpeg"/>
  <Override PartName="/word/media/image106.jpeg" ContentType="image/jpeg"/>
  <Override PartName="/word/media/image86.jpeg" ContentType="image/jpeg"/>
  <Override PartName="/word/media/image10.jpeg" ContentType="image/jpeg"/>
  <Override PartName="/word/media/image27.jpeg" ContentType="image/jpeg"/>
  <Override PartName="/word/media/image98.jpeg" ContentType="image/jpeg"/>
  <Override PartName="/word/media/image39.jpeg" ContentType="image/jpeg"/>
  <Override PartName="/word/media/image8.jpeg" ContentType="image/jpeg"/>
  <Override PartName="/word/media/image13.jpeg" ContentType="image/jpeg"/>
  <Override PartName="/word/media/image40.jpeg" ContentType="image/jpeg"/>
  <Override PartName="/word/media/image87.jpeg" ContentType="image/jpeg"/>
  <Override PartName="/word/media/image11.jpeg" ContentType="image/jpeg"/>
  <Override PartName="/word/media/image28.jpeg" ContentType="image/jpeg"/>
  <Override PartName="/word/media/image107.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8.jpeg" ContentType="image/jpeg"/>
  <Override PartName="/word/media/image49.jpeg" ContentType="image/jpeg"/>
  <Override PartName="/word/media/image140.jpeg" ContentType="image/jpeg"/>
  <Override PartName="/word/media/image45.jpeg" ContentType="image/jpeg"/>
  <Override PartName="/word/media/image136.jpeg" ContentType="image/jpeg"/>
  <Override PartName="/word/media/image57.jpeg" ContentType="image/jpeg"/>
  <Override PartName="/word/media/image141.jpeg" ContentType="image/jpeg"/>
  <Override PartName="/word/media/image46.jpeg" ContentType="image/jpeg"/>
  <Override PartName="/word/media/image137.jpeg" ContentType="image/jpeg"/>
  <Override PartName="/word/media/image58.jpeg" ContentType="image/jpeg"/>
  <Override PartName="/word/media/image142.jpeg" ContentType="image/jpeg"/>
  <Override PartName="/word/media/image47.jpeg" ContentType="image/jpeg"/>
  <Override PartName="/word/media/image138.jpeg" ContentType="image/jpeg"/>
  <Override PartName="/word/media/image59.jpeg" ContentType="image/jpeg"/>
  <Override PartName="/word/media/image42.jpeg" ContentType="image/jpeg"/>
  <Override PartName="/word/media/image52.jpeg" ContentType="image/jpeg"/>
  <Override PartName="/word/media/image148.jpeg" ContentType="image/jpeg"/>
  <Override PartName="/word/media/image131.jpeg" ContentType="image/jpeg"/>
  <Override PartName="/word/media/image143.jpeg" ContentType="image/jpeg"/>
  <Override PartName="/word/media/image56.jpeg" ContentType="image/jpeg"/>
  <Override PartName="/word/media/image135.jpeg" ContentType="image/jpeg"/>
  <Override PartName="/word/media/image147.jpeg" ContentType="image/jpeg"/>
  <Override PartName="/word/media/image130.jpeg" ContentType="image/jpeg"/>
  <Override PartName="/word/media/image51.jpeg" ContentType="image/jpeg"/>
  <Override PartName="/word/media/image149.jpeg" ContentType="image/jpeg"/>
  <Override PartName="/word/media/image53.jpeg" ContentType="image/jpeg"/>
  <Override PartName="/word/media/image132.jpeg" ContentType="image/jpeg"/>
  <Override PartName="/word/media/image44.jpeg" ContentType="image/jpeg"/>
  <Override PartName="/word/media/image129.jpeg" ContentType="image/jpeg"/>
  <Override PartName="/word/media/image146.jpeg" ContentType="image/jpeg"/>
  <Override PartName="/word/media/image55.jpeg" ContentType="image/jpeg"/>
  <Override PartName="/word/media/image134.jpeg" ContentType="image/jpeg"/>
  <Override PartName="/word/media/image43.jpeg" ContentType="image/jpeg"/>
  <Override PartName="/word/media/image50.jpeg" ContentType="image/jpeg"/>
  <Override PartName="/word/media/image139.jpeg" ContentType="image/jpeg"/>
  <Override PartName="/word/media/image128.jpeg" ContentType="image/jpeg"/>
  <Override PartName="/word/media/image145.jpeg" ContentType="image/jpeg"/>
  <Override PartName="/word/media/image54.jpeg" ContentType="image/jpeg"/>
  <Override PartName="/word/media/image133.jpeg" ContentType="image/jpeg"/>
  <Override PartName="/word/media/image144.jpeg" ContentType="image/jpeg"/>
  <Override PartName="/word/media/image38.jpeg" ContentType="image/jpeg"/>
  <Override PartName="/word/media/image97.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22.jpeg" ContentType="image/jpeg"/>
  <Override PartName="/word/media/image81.jpeg" ContentType="image/jpeg"/>
  <Override PartName="/word/media/image101.jpeg" ContentType="image/jpeg"/>
  <Override PartName="/word/media/image118.jpeg" ContentType="image/jpeg"/>
  <Override PartName="/word/media/image41.jpeg" ContentType="image/jpeg"/>
  <Override PartName="/word/media/image120.jpeg" ContentType="image/jpeg"/>
  <Override PartName="/word/media/image14.jpeg" ContentType="image/jpeg"/>
  <Override PartName="/word/media/image15.jpeg" ContentType="image/jpeg"/>
  <Override PartName="/word/media/image16.jpeg" ContentType="image/jpeg"/>
  <Override PartName="/word/media/image109.jpeg" ContentType="image/jpeg"/>
  <Override PartName="/word/media/image20.jpeg" ContentType="image/jpeg"/>
  <Override PartName="/word/media/image116.jpeg" ContentType="image/jpeg"/>
  <Override PartName="/word/media/image21.jpeg" ContentType="image/jpeg"/>
  <Override PartName="/word/media/image80.jpeg" ContentType="image/jpeg"/>
  <Override PartName="/word/media/image100.jpeg" ContentType="image/jpeg"/>
  <Override PartName="/word/media/image117.jpeg" ContentType="image/jpeg"/>
  <Override PartName="/word/media/image60.jpeg" ContentType="image/jpeg"/>
  <Override PartName="/word/media/image77.jpeg" ContentType="image/jpeg"/>
  <Override PartName="/word/media/image61.jpeg" ContentType="image/jpeg"/>
  <Override PartName="/word/media/image78.jpeg" ContentType="image/jpeg"/>
  <Override PartName="/word/media/image62.jpeg" ContentType="image/jpeg"/>
  <Override PartName="/word/media/image79.jpeg" ContentType="image/jpeg"/>
  <Override PartName="/word/media/image63.jpeg" ContentType="image/jpeg"/>
  <Override PartName="/word/media/image64.jpeg" ContentType="image/jpeg"/>
  <Override PartName="/word/media/image65.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0.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5.jpeg" ContentType="image/jpeg"/>
  <Override PartName="/word/media/image76.jpeg" ContentType="image/jpeg"/>
  <Override PartName="/word/media/image17.jpeg" ContentType="image/jpeg"/>
  <Override PartName="/word/media/image9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pPr>
      <w:r>
        <w:rPr>
          <w:rFonts w:ascii="Times New Roman;sans-serif" w:hAnsi="Times New Roman;sans-serif"/>
          <w:b/>
          <w:color w:val="000000"/>
          <w:sz w:val="24"/>
        </w:rPr>
        <w:t>Washington, D.C. 20549</w:t>
      </w: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June 30, 2023 </w:t>
      </w:r>
    </w:p>
    <w:p>
      <w:pPr>
        <w:pStyle w:val="TextBody"/>
        <w:bidi w:val="0"/>
        <w:spacing w:lineRule="auto" w:line="288" w:before="0" w:after="0"/>
        <w:jc w:val="center"/>
        <w:rPr/>
      </w:pPr>
      <w:r>
        <w:rPr>
          <w:rFonts w:ascii="Times New Roman;sans-serif" w:hAnsi="Times New Roman;sans-serif"/>
          <w:b/>
          <w:color w:val="000000"/>
          <w:sz w:val="20"/>
        </w:rPr>
        <w:t>or</w:t>
      </w: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001-38047 </w:t>
      </w:r>
    </w:p>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Upbound Group,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4181" w:type="dxa"/>
        <w:jc w:val="center"/>
        <w:tblInd w:w="0" w:type="dxa"/>
        <w:tblLayout w:type="fixed"/>
        <w:tblCellMar>
          <w:top w:w="28" w:type="dxa"/>
          <w:left w:w="28" w:type="dxa"/>
          <w:bottom w:w="28" w:type="dxa"/>
          <w:right w:w="28" w:type="dxa"/>
        </w:tblCellMar>
      </w:tblPr>
      <w:tblGrid>
        <w:gridCol w:w="857"/>
        <w:gridCol w:w="751"/>
        <w:gridCol w:w="762"/>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45-0491516</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5501 Headquarters Drive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Plano, Texas 75024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including zip code of registrant’s principal executive offices)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972-801-1100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former address and former fiscal year, if changed since last report)</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662" w:type="dxa"/>
        <w:jc w:val="center"/>
        <w:tblInd w:w="0" w:type="dxa"/>
        <w:tblLayout w:type="fixed"/>
        <w:tblCellMar>
          <w:top w:w="28" w:type="dxa"/>
          <w:left w:w="28" w:type="dxa"/>
          <w:bottom w:w="28" w:type="dxa"/>
          <w:right w:w="28" w:type="dxa"/>
        </w:tblCellMar>
      </w:tblPr>
      <w:tblGrid>
        <w:gridCol w:w="970"/>
        <w:gridCol w:w="852"/>
        <w:gridCol w:w="862"/>
        <w:gridCol w:w="109"/>
        <w:gridCol w:w="109"/>
        <w:gridCol w:w="109"/>
        <w:gridCol w:w="499"/>
        <w:gridCol w:w="499"/>
        <w:gridCol w:w="501"/>
        <w:gridCol w:w="109"/>
        <w:gridCol w:w="109"/>
        <w:gridCol w:w="109"/>
        <w:gridCol w:w="1118"/>
        <w:gridCol w:w="1118"/>
        <w:gridCol w:w="1589"/>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UPBD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w:t>
            </w:r>
          </w:p>
        </w:tc>
      </w:tr>
    </w:tbl>
    <w:p>
      <w:pPr>
        <w:pStyle w:val="TextBody"/>
        <w:bidi w:val="0"/>
        <w:spacing w:lineRule="auto" w:line="288" w:before="0" w:after="0"/>
        <w:jc w:val="left"/>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60" w:after="283"/>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428"/>
        <w:gridCol w:w="1255"/>
        <w:gridCol w:w="1214"/>
        <w:gridCol w:w="214"/>
        <w:gridCol w:w="214"/>
        <w:gridCol w:w="214"/>
        <w:gridCol w:w="214"/>
        <w:gridCol w:w="214"/>
        <w:gridCol w:w="214"/>
        <w:gridCol w:w="214"/>
        <w:gridCol w:w="214"/>
        <w:gridCol w:w="214"/>
        <w:gridCol w:w="1330"/>
        <w:gridCol w:w="1330"/>
        <w:gridCol w:w="1338"/>
        <w:gridCol w:w="109"/>
        <w:gridCol w:w="109"/>
        <w:gridCol w:w="166"/>
      </w:tblGrid>
      <w:tr>
        <w:trPr/>
        <w:tc>
          <w:tcPr>
            <w:tcW w:w="1428"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Exchange Act).</w:t>
      </w:r>
    </w:p>
    <w:p>
      <w:pPr>
        <w:pStyle w:val="TextBody"/>
        <w:bidi w:val="0"/>
        <w:spacing w:lineRule="auto" w:line="288" w:before="0" w:after="0"/>
        <w:jc w:val="left"/>
        <w:rPr/>
      </w:pPr>
      <w:r>
        <w:rPr>
          <w:rFonts w:ascii="Times New Roman;sans-serif" w:hAnsi="Times New Roman;sans-serif"/>
          <w:b w:val="false"/>
          <w:color w:val="000000"/>
          <w:sz w:val="18"/>
        </w:rPr>
        <w:t xml:space="preserve">Yes </w:t>
      </w:r>
      <w:r>
        <w:rPr>
          <w:color w:val="000000"/>
        </w:rPr>
        <w:t>☐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any of these error corrections are restatements that require a recovery analysis of incentive-based compensation received by any of the registrant's executive officers during the relevant recovery period pursuant to §240 10D-1(b).  ☐</w:t>
      </w:r>
    </w:p>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the number of shares outstanding of each of the issuer’s classes of common stock, as of July 27, 2023:</w:t>
      </w:r>
    </w:p>
    <w:tbl>
      <w:tblPr>
        <w:tblW w:w="3642" w:type="dxa"/>
        <w:jc w:val="left"/>
        <w:tblInd w:w="0" w:type="dxa"/>
        <w:tblLayout w:type="fixed"/>
        <w:tblCellMar>
          <w:top w:w="28" w:type="dxa"/>
          <w:left w:w="28" w:type="dxa"/>
          <w:bottom w:w="28" w:type="dxa"/>
          <w:right w:w="28" w:type="dxa"/>
        </w:tblCellMar>
      </w:tblPr>
      <w:tblGrid>
        <w:gridCol w:w="830"/>
        <w:gridCol w:w="727"/>
        <w:gridCol w:w="737"/>
        <w:gridCol w:w="109"/>
        <w:gridCol w:w="109"/>
        <w:gridCol w:w="109"/>
        <w:gridCol w:w="299"/>
        <w:gridCol w:w="299"/>
        <w:gridCol w:w="423"/>
      </w:tblGrid>
      <w:tr>
        <w:trPr/>
        <w:tc>
          <w:tcPr>
            <w:tcW w:w="83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Outstanding</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55,978,966</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21"/>
        <w:gridCol w:w="281"/>
        <w:gridCol w:w="284"/>
        <w:gridCol w:w="2833"/>
        <w:gridCol w:w="2833"/>
        <w:gridCol w:w="2840"/>
        <w:gridCol w:w="237"/>
        <w:gridCol w:w="237"/>
        <w:gridCol w:w="339"/>
      </w:tblGrid>
      <w:tr>
        <w:trPr/>
        <w:tc>
          <w:tcPr>
            <w:tcW w:w="3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 No.</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fd5ab07c6e42d997a5910b2f20ac7d_13">
              <w:r>
                <w:rPr>
                  <w:rStyle w:val="InternetLink"/>
                  <w:rFonts w:ascii="Times New Roman;sans-serif" w:hAnsi="Times New Roman;sans-serif"/>
                  <w:b/>
                  <w:strike w:val="false"/>
                  <w:dstrike w:val="false"/>
                  <w:color w:val="000000"/>
                  <w:sz w:val="20"/>
                  <w:u w:val="none"/>
                  <w:effect w:val="none"/>
                </w:rPr>
                <w:t>PART I.</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fd5ab07c6e42d997a5910b2f20ac7d_13">
              <w:r>
                <w:rPr>
                  <w:rStyle w:val="InternetLink"/>
                  <w:rFonts w:ascii="Times New Roman;sans-serif" w:hAnsi="Times New Roman;sans-serif"/>
                  <w:b/>
                  <w:strike w:val="false"/>
                  <w:dstrike w:val="false"/>
                  <w:color w:val="000000"/>
                  <w:sz w:val="20"/>
                  <w:u w:val="none"/>
                  <w:effect w:val="none"/>
                </w:rPr>
                <w:t>FINANCIAL INFORMATION</w:t>
              </w:r>
            </w:hyperlink>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fd5ab07c6e42d997a5910b2f20ac7d_13">
              <w:r>
                <w:rPr>
                  <w:rStyle w:val="InternetLink"/>
                  <w:rFonts w:ascii="Times New Roman;sans-serif" w:hAnsi="Times New Roman;sans-serif"/>
                  <w:b w:val="false"/>
                  <w:strike w:val="false"/>
                  <w:dstrike w:val="false"/>
                  <w:color w:val="000000"/>
                  <w:sz w:val="20"/>
                  <w:u w:val="none"/>
                  <w:effect w:val="none"/>
                </w:rPr>
                <w:t>Item 1.</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fd5ab07c6e42d997a5910b2f20ac7d_13">
              <w:r>
                <w:rPr>
                  <w:rStyle w:val="InternetLink"/>
                  <w:rFonts w:ascii="Times New Roman;sans-serif" w:hAnsi="Times New Roman;sans-serif"/>
                  <w:b w:val="false"/>
                  <w:strike w:val="false"/>
                  <w:dstrike w:val="false"/>
                  <w:color w:val="000000"/>
                  <w:sz w:val="20"/>
                  <w:u w:val="none"/>
                  <w:effect w:val="none"/>
                </w:rPr>
                <w:t>Condensed Consolidated Financial Statements</w:t>
              </w:r>
            </w:hyperlink>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fd5ab07c6e42d997a5910b2f20ac7d_16">
              <w:r>
                <w:rPr>
                  <w:rStyle w:val="InternetLink"/>
                  <w:rFonts w:ascii="Times New Roman;sans-serif" w:hAnsi="Times New Roman;sans-serif"/>
                  <w:b w:val="false"/>
                  <w:strike w:val="false"/>
                  <w:dstrike w:val="false"/>
                  <w:color w:val="000080"/>
                  <w:sz w:val="20"/>
                  <w:u w:val="single"/>
                  <w:effect w:val="none"/>
                </w:rPr>
                <w:t>Condensed Consolidated Statements of Operations for the</w:t>
              </w:r>
            </w:hyperlink>
            <w:hyperlink w:anchor="i9bfd5ab07c6e42d997a5910b2f20ac7d_16">
              <w:r>
                <w:rPr>
                  <w:rStyle w:val="InternetLink"/>
                  <w:rFonts w:ascii="Times New Roman;sans-serif" w:hAnsi="Times New Roman;sans-serif"/>
                  <w:b w:val="false"/>
                  <w:strike w:val="false"/>
                  <w:dstrike w:val="false"/>
                  <w:color w:val="000080"/>
                  <w:sz w:val="20"/>
                  <w:u w:val="single"/>
                  <w:effect w:val="none"/>
                </w:rPr>
                <w:t xml:space="preserve"> th</w:t>
              </w:r>
            </w:hyperlink>
            <w:hyperlink w:anchor="i9bfd5ab07c6e42d997a5910b2f20ac7d_16">
              <w:r>
                <w:rPr>
                  <w:rStyle w:val="InternetLink"/>
                  <w:rFonts w:ascii="Times New Roman;sans-serif" w:hAnsi="Times New Roman;sans-serif"/>
                  <w:b w:val="false"/>
                  <w:strike w:val="false"/>
                  <w:dstrike w:val="false"/>
                  <w:color w:val="000080"/>
                  <w:sz w:val="20"/>
                  <w:u w:val="single"/>
                  <w:effect w:val="none"/>
                </w:rPr>
                <w:t>ree-month a</w:t>
              </w:r>
            </w:hyperlink>
            <w:hyperlink w:anchor="i9bfd5ab07c6e42d997a5910b2f20ac7d_16">
              <w:r>
                <w:rPr>
                  <w:rStyle w:val="InternetLink"/>
                  <w:rFonts w:ascii="Times New Roman;sans-serif" w:hAnsi="Times New Roman;sans-serif"/>
                  <w:b w:val="false"/>
                  <w:strike w:val="false"/>
                  <w:dstrike w:val="false"/>
                  <w:color w:val="000080"/>
                  <w:sz w:val="20"/>
                  <w:u w:val="single"/>
                  <w:effect w:val="none"/>
                </w:rPr>
                <w:t>nd</w:t>
              </w:r>
            </w:hyperlink>
            <w:hyperlink w:anchor="i9bfd5ab07c6e42d997a5910b2f20ac7d_16">
              <w:r>
                <w:rPr>
                  <w:rStyle w:val="InternetLink"/>
                  <w:rFonts w:ascii="Times New Roman;sans-serif" w:hAnsi="Times New Roman;sans-serif"/>
                  <w:b w:val="false"/>
                  <w:strike w:val="false"/>
                  <w:dstrike w:val="false"/>
                  <w:color w:val="000080"/>
                  <w:sz w:val="20"/>
                  <w:u w:val="single"/>
                  <w:effect w:val="none"/>
                </w:rPr>
                <w:t xml:space="preserve"> </w:t>
              </w:r>
            </w:hyperlink>
            <w:r>
              <w:rPr>
                <w:rFonts w:ascii="Times New Roman;sans-serif" w:hAnsi="Times New Roman;sans-serif"/>
                <w:b w:val="false"/>
                <w:color w:val="000000"/>
                <w:sz w:val="20"/>
              </w:rPr>
              <w:t>six-month</w:t>
            </w:r>
            <w:hyperlink w:anchor="i9bfd5ab07c6e42d997a5910b2f20ac7d_16">
              <w:r>
                <w:rPr>
                  <w:rStyle w:val="InternetLink"/>
                  <w:rFonts w:ascii="Times New Roman;sans-serif" w:hAnsi="Times New Roman;sans-serif"/>
                  <w:b w:val="false"/>
                  <w:strike w:val="false"/>
                  <w:dstrike w:val="false"/>
                  <w:color w:val="000000"/>
                  <w:sz w:val="20"/>
                  <w:u w:val="none"/>
                  <w:effect w:val="none"/>
                </w:rPr>
                <w:t xml:space="preserve"> periods ended </w:t>
              </w:r>
            </w:hyperlink>
            <w:r>
              <w:rPr>
                <w:rFonts w:ascii="Times New Roman;sans-serif" w:hAnsi="Times New Roman;sans-serif"/>
                <w:b w:val="false"/>
                <w:color w:val="000000"/>
                <w:sz w:val="20"/>
              </w:rPr>
              <w:t>June 30, 2023</w:t>
            </w:r>
            <w:hyperlink w:anchor="i9bfd5ab07c6e42d997a5910b2f20ac7d_16">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2022</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fd5ab07c6e42d997a5910b2f20ac7d_16">
              <w:r>
                <w:rPr>
                  <w:rStyle w:val="InternetLink"/>
                  <w:rFonts w:ascii="Times New Roman;sans-serif" w:hAnsi="Times New Roman;sans-serif"/>
                  <w:b w:val="false"/>
                  <w:strike w:val="false"/>
                  <w:dstrike w:val="false"/>
                  <w:color w:val="000000"/>
                  <w:sz w:val="20"/>
                  <w:u w:val="none"/>
                  <w:effect w:val="none"/>
                </w:rPr>
                <w:t>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fd5ab07c6e42d997a5910b2f20ac7d_19">
              <w:r>
                <w:rPr>
                  <w:rStyle w:val="InternetLink"/>
                  <w:rFonts w:ascii="Times New Roman;sans-serif" w:hAnsi="Times New Roman;sans-serif"/>
                  <w:b w:val="false"/>
                  <w:strike w:val="false"/>
                  <w:dstrike w:val="false"/>
                  <w:color w:val="000080"/>
                  <w:sz w:val="20"/>
                  <w:u w:val="single"/>
                  <w:effect w:val="none"/>
                </w:rPr>
                <w:t>Condensed Consolidated Statements of Comprehensive</w:t>
              </w:r>
            </w:hyperlink>
            <w:hyperlink w:anchor="i9bfd5ab07c6e42d997a5910b2f20ac7d_19">
              <w:r>
                <w:rPr>
                  <w:rStyle w:val="InternetLink"/>
                  <w:rFonts w:ascii="Times New Roman;sans-serif" w:hAnsi="Times New Roman;sans-serif"/>
                  <w:b w:val="false"/>
                  <w:strike w:val="false"/>
                  <w:dstrike w:val="false"/>
                  <w:color w:val="000080"/>
                  <w:sz w:val="20"/>
                  <w:u w:val="single"/>
                  <w:effect w:val="none"/>
                </w:rPr>
                <w:t xml:space="preserve"> (Loss)</w:t>
              </w:r>
            </w:hyperlink>
            <w:hyperlink w:anchor="i9bfd5ab07c6e42d997a5910b2f20ac7d_19">
              <w:r>
                <w:rPr>
                  <w:rStyle w:val="InternetLink"/>
                  <w:rFonts w:ascii="Times New Roman;sans-serif" w:hAnsi="Times New Roman;sans-serif"/>
                  <w:b w:val="false"/>
                  <w:strike w:val="false"/>
                  <w:dstrike w:val="false"/>
                  <w:color w:val="000080"/>
                  <w:sz w:val="20"/>
                  <w:u w:val="single"/>
                  <w:effect w:val="none"/>
                </w:rPr>
                <w:t xml:space="preserve"> </w:t>
              </w:r>
            </w:hyperlink>
            <w:hyperlink w:anchor="i9bfd5ab07c6e42d997a5910b2f20ac7d_19">
              <w:r>
                <w:rPr>
                  <w:rStyle w:val="InternetLink"/>
                  <w:rFonts w:ascii="Times New Roman;sans-serif" w:hAnsi="Times New Roman;sans-serif"/>
                  <w:b w:val="false"/>
                  <w:strike w:val="false"/>
                  <w:dstrike w:val="false"/>
                  <w:color w:val="000080"/>
                  <w:sz w:val="20"/>
                  <w:u w:val="single"/>
                  <w:effect w:val="none"/>
                </w:rPr>
                <w:t>Income</w:t>
              </w:r>
            </w:hyperlink>
            <w:hyperlink w:anchor="i9bfd5ab07c6e42d997a5910b2f20ac7d_19">
              <w:r>
                <w:rPr>
                  <w:rStyle w:val="InternetLink"/>
                  <w:rFonts w:ascii="Times New Roman;sans-serif" w:hAnsi="Times New Roman;sans-serif"/>
                  <w:b w:val="false"/>
                  <w:strike w:val="false"/>
                  <w:dstrike w:val="false"/>
                  <w:color w:val="000080"/>
                  <w:sz w:val="20"/>
                  <w:u w:val="single"/>
                  <w:effect w:val="none"/>
                </w:rPr>
                <w:t xml:space="preserve"> </w:t>
              </w:r>
            </w:hyperlink>
            <w:hyperlink w:anchor="i9bfd5ab07c6e42d997a5910b2f20ac7d_19">
              <w:r>
                <w:rPr>
                  <w:rStyle w:val="InternetLink"/>
                  <w:rFonts w:ascii="Times New Roman;sans-serif" w:hAnsi="Times New Roman;sans-serif"/>
                  <w:b w:val="false"/>
                  <w:strike w:val="false"/>
                  <w:dstrike w:val="false"/>
                  <w:color w:val="000080"/>
                  <w:sz w:val="20"/>
                  <w:u w:val="single"/>
                  <w:effect w:val="none"/>
                </w:rPr>
                <w:t>for the</w:t>
              </w:r>
            </w:hyperlink>
            <w:hyperlink w:anchor="i9bfd5ab07c6e42d997a5910b2f20ac7d_19">
              <w:r>
                <w:rPr>
                  <w:rStyle w:val="InternetLink"/>
                  <w:rFonts w:ascii="Times New Roman;sans-serif" w:hAnsi="Times New Roman;sans-serif"/>
                  <w:b w:val="false"/>
                  <w:strike w:val="false"/>
                  <w:dstrike w:val="false"/>
                  <w:color w:val="000080"/>
                  <w:sz w:val="20"/>
                  <w:u w:val="single"/>
                  <w:effect w:val="none"/>
                </w:rPr>
                <w:t xml:space="preserve"> three-month and </w:t>
              </w:r>
            </w:hyperlink>
            <w:r>
              <w:rPr>
                <w:rFonts w:ascii="Times New Roman;sans-serif" w:hAnsi="Times New Roman;sans-serif"/>
                <w:b w:val="false"/>
                <w:color w:val="000000"/>
                <w:sz w:val="20"/>
              </w:rPr>
              <w:t>six-month</w:t>
            </w:r>
            <w:hyperlink w:anchor="i9bfd5ab07c6e42d997a5910b2f20ac7d_19">
              <w:r>
                <w:rPr>
                  <w:rStyle w:val="InternetLink"/>
                  <w:rFonts w:ascii="Times New Roman;sans-serif" w:hAnsi="Times New Roman;sans-serif"/>
                  <w:b w:val="false"/>
                  <w:strike w:val="false"/>
                  <w:dstrike w:val="false"/>
                  <w:color w:val="000000"/>
                  <w:sz w:val="20"/>
                  <w:u w:val="none"/>
                  <w:effect w:val="none"/>
                </w:rPr>
                <w:t xml:space="preserve"> periods ended </w:t>
              </w:r>
            </w:hyperlink>
            <w:r>
              <w:rPr>
                <w:rFonts w:ascii="Times New Roman;sans-serif" w:hAnsi="Times New Roman;sans-serif"/>
                <w:b w:val="false"/>
                <w:color w:val="000000"/>
                <w:sz w:val="20"/>
              </w:rPr>
              <w:t>June 30, 2023</w:t>
            </w:r>
            <w:hyperlink w:anchor="i9bfd5ab07c6e42d997a5910b2f20ac7d_19">
              <w:r>
                <w:rPr>
                  <w:rStyle w:val="InternetLink"/>
                  <w:rFonts w:ascii="Times New Roman;sans-serif" w:hAnsi="Times New Roman;sans-serif"/>
                  <w:b w:val="false"/>
                  <w:strike w:val="false"/>
                  <w:dstrike w:val="false"/>
                  <w:color w:val="000080"/>
                  <w:sz w:val="20"/>
                  <w:u w:val="single"/>
                  <w:effect w:val="none"/>
                </w:rPr>
                <w:t xml:space="preserve"> and</w:t>
              </w:r>
            </w:hyperlink>
            <w:hyperlink w:anchor="i9bfd5ab07c6e42d997a5910b2f20ac7d_19">
              <w:r>
                <w:rPr>
                  <w:rStyle w:val="InternetLink"/>
                  <w:rFonts w:ascii="Times New Roman;sans-serif" w:hAnsi="Times New Roman;sans-serif"/>
                  <w:b w:val="false"/>
                  <w:strike w:val="false"/>
                  <w:dstrike w:val="false"/>
                  <w:color w:val="000080"/>
                  <w:sz w:val="20"/>
                  <w:u w:val="single"/>
                  <w:effect w:val="none"/>
                </w:rPr>
                <w:t xml:space="preserve"> </w:t>
              </w:r>
            </w:hyperlink>
            <w:r>
              <w:rPr>
                <w:rFonts w:ascii="Times New Roman;sans-serif" w:hAnsi="Times New Roman;sans-serif"/>
                <w:b w:val="false"/>
                <w:color w:val="000000"/>
                <w:sz w:val="20"/>
              </w:rPr>
              <w:t>2022</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fd5ab07c6e42d997a5910b2f20ac7d_19">
              <w:r>
                <w:rPr>
                  <w:rStyle w:val="InternetLink"/>
                  <w:rFonts w:ascii="Times New Roman;sans-serif" w:hAnsi="Times New Roman;sans-serif"/>
                  <w:b w:val="false"/>
                  <w:strike w:val="false"/>
                  <w:dstrike w:val="false"/>
                  <w:color w:val="000000"/>
                  <w:sz w:val="20"/>
                  <w:u w:val="none"/>
                  <w:effect w:val="none"/>
                </w:rPr>
                <w:t>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fd5ab07c6e42d997a5910b2f20ac7d_22">
              <w:r>
                <w:rPr>
                  <w:rStyle w:val="InternetLink"/>
                  <w:rFonts w:ascii="Times New Roman;sans-serif" w:hAnsi="Times New Roman;sans-serif"/>
                  <w:b w:val="false"/>
                  <w:strike w:val="false"/>
                  <w:dstrike w:val="false"/>
                  <w:color w:val="000000"/>
                  <w:sz w:val="20"/>
                  <w:u w:val="none"/>
                  <w:effect w:val="none"/>
                </w:rPr>
                <w:t>Condensed Consolidated Balance Sheets as of</w:t>
              </w:r>
            </w:hyperlink>
            <w:r>
              <w:rPr>
                <w:rFonts w:ascii="Times New Roman;sans-serif" w:hAnsi="Times New Roman;sans-serif"/>
                <w:b w:val="false"/>
                <w:color w:val="000000"/>
                <w:sz w:val="20"/>
              </w:rPr>
              <w:t xml:space="preserve"> June 30, 2023</w:t>
            </w:r>
            <w:hyperlink w:anchor="i9bfd5ab07c6e42d997a5910b2f20ac7d_22">
              <w:r>
                <w:rPr>
                  <w:rStyle w:val="InternetLink"/>
                  <w:rFonts w:ascii="Times New Roman;sans-serif" w:hAnsi="Times New Roman;sans-serif"/>
                  <w:b w:val="false"/>
                  <w:strike w:val="false"/>
                  <w:dstrike w:val="false"/>
                  <w:color w:val="000080"/>
                  <w:sz w:val="20"/>
                  <w:u w:val="single"/>
                  <w:effect w:val="none"/>
                </w:rPr>
                <w:t xml:space="preserve"> and</w:t>
              </w:r>
            </w:hyperlink>
            <w:hyperlink w:anchor="i9bfd5ab07c6e42d997a5910b2f20ac7d_22">
              <w:r>
                <w:rPr>
                  <w:rStyle w:val="InternetLink"/>
                  <w:rFonts w:ascii="Times New Roman;sans-serif" w:hAnsi="Times New Roman;sans-serif"/>
                  <w:b w:val="false"/>
                  <w:strike w:val="false"/>
                  <w:dstrike w:val="false"/>
                  <w:color w:val="000080"/>
                  <w:sz w:val="20"/>
                  <w:u w:val="single"/>
                  <w:effect w:val="none"/>
                </w:rPr>
                <w:t xml:space="preserve"> </w:t>
              </w:r>
            </w:hyperlink>
            <w:r>
              <w:rPr>
                <w:rFonts w:ascii="Times New Roman;sans-serif" w:hAnsi="Times New Roman;sans-serif"/>
                <w:b w:val="false"/>
                <w:color w:val="000000"/>
                <w:sz w:val="20"/>
              </w:rPr>
              <w:t>December 31, 2022</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fd5ab07c6e42d997a5910b2f20ac7d_22">
              <w:r>
                <w:rPr>
                  <w:rStyle w:val="InternetLink"/>
                  <w:rFonts w:ascii="Times New Roman;sans-serif" w:hAnsi="Times New Roman;sans-serif"/>
                  <w:b w:val="false"/>
                  <w:strike w:val="false"/>
                  <w:dstrike w:val="false"/>
                  <w:color w:val="000000"/>
                  <w:sz w:val="20"/>
                  <w:u w:val="none"/>
                  <w:effect w:val="none"/>
                </w:rPr>
                <w:t>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fd5ab07c6e42d997a5910b2f20ac7d_25">
              <w:r>
                <w:rPr>
                  <w:rStyle w:val="InternetLink"/>
                  <w:rFonts w:ascii="Times New Roman;sans-serif" w:hAnsi="Times New Roman;sans-serif"/>
                  <w:b w:val="false"/>
                  <w:strike w:val="false"/>
                  <w:dstrike w:val="false"/>
                  <w:color w:val="000080"/>
                  <w:sz w:val="20"/>
                  <w:u w:val="single"/>
                  <w:effect w:val="none"/>
                </w:rPr>
                <w:t>Condensed Consolidated Statement</w:t>
              </w:r>
            </w:hyperlink>
            <w:hyperlink w:anchor="i9bfd5ab07c6e42d997a5910b2f20ac7d_25">
              <w:r>
                <w:rPr>
                  <w:rStyle w:val="InternetLink"/>
                  <w:rFonts w:ascii="Times New Roman;sans-serif" w:hAnsi="Times New Roman;sans-serif"/>
                  <w:b w:val="false"/>
                  <w:strike w:val="false"/>
                  <w:dstrike w:val="false"/>
                  <w:color w:val="000080"/>
                  <w:sz w:val="20"/>
                  <w:u w:val="single"/>
                  <w:effect w:val="none"/>
                </w:rPr>
                <w:t>s</w:t>
              </w:r>
            </w:hyperlink>
            <w:hyperlink w:anchor="i9bfd5ab07c6e42d997a5910b2f20ac7d_25">
              <w:r>
                <w:rPr>
                  <w:rStyle w:val="InternetLink"/>
                  <w:rFonts w:ascii="Times New Roman;sans-serif" w:hAnsi="Times New Roman;sans-serif"/>
                  <w:b w:val="false"/>
                  <w:strike w:val="false"/>
                  <w:dstrike w:val="false"/>
                  <w:color w:val="000080"/>
                  <w:sz w:val="20"/>
                  <w:u w:val="single"/>
                  <w:effect w:val="none"/>
                </w:rPr>
                <w:t xml:space="preserve"> of Stockholders</w:t>
              </w:r>
            </w:hyperlink>
            <w:hyperlink w:anchor="i9bfd5ab07c6e42d997a5910b2f20ac7d_25">
              <w:r>
                <w:rPr>
                  <w:rStyle w:val="InternetLink"/>
                  <w:rFonts w:ascii="Times New Roman;sans-serif" w:hAnsi="Times New Roman;sans-serif"/>
                  <w:b w:val="false"/>
                  <w:strike w:val="false"/>
                  <w:dstrike w:val="false"/>
                  <w:color w:val="000080"/>
                  <w:sz w:val="20"/>
                  <w:u w:val="single"/>
                  <w:effect w:val="none"/>
                </w:rPr>
                <w:t>'</w:t>
              </w:r>
            </w:hyperlink>
            <w:hyperlink w:anchor="i9bfd5ab07c6e42d997a5910b2f20ac7d_25">
              <w:r>
                <w:rPr>
                  <w:rStyle w:val="InternetLink"/>
                  <w:rFonts w:ascii="Times New Roman;sans-serif" w:hAnsi="Times New Roman;sans-serif"/>
                  <w:b w:val="false"/>
                  <w:strike w:val="false"/>
                  <w:dstrike w:val="false"/>
                  <w:color w:val="000080"/>
                  <w:sz w:val="20"/>
                  <w:u w:val="single"/>
                  <w:effect w:val="none"/>
                </w:rPr>
                <w:t xml:space="preserve"> Equity for the</w:t>
              </w:r>
            </w:hyperlink>
            <w:hyperlink w:anchor="i9bfd5ab07c6e42d997a5910b2f20ac7d_25">
              <w:r>
                <w:rPr>
                  <w:rStyle w:val="InternetLink"/>
                  <w:rFonts w:ascii="Times New Roman;sans-serif" w:hAnsi="Times New Roman;sans-serif"/>
                  <w:b w:val="false"/>
                  <w:strike w:val="false"/>
                  <w:dstrike w:val="false"/>
                  <w:color w:val="000080"/>
                  <w:sz w:val="20"/>
                  <w:u w:val="single"/>
                  <w:effect w:val="none"/>
                </w:rPr>
                <w:t xml:space="preserve"> </w:t>
              </w:r>
            </w:hyperlink>
            <w:r>
              <w:rPr>
                <w:rFonts w:ascii="Times New Roman;sans-serif" w:hAnsi="Times New Roman;sans-serif"/>
                <w:b w:val="false"/>
                <w:color w:val="000000"/>
                <w:sz w:val="20"/>
              </w:rPr>
              <w:t>six-month</w:t>
            </w:r>
            <w:hyperlink w:anchor="i9bfd5ab07c6e42d997a5910b2f20ac7d_25">
              <w:r>
                <w:rPr>
                  <w:rStyle w:val="InternetLink"/>
                  <w:rFonts w:ascii="Times New Roman;sans-serif" w:hAnsi="Times New Roman;sans-serif"/>
                  <w:b w:val="false"/>
                  <w:strike w:val="false"/>
                  <w:dstrike w:val="false"/>
                  <w:color w:val="000000"/>
                  <w:sz w:val="20"/>
                  <w:u w:val="none"/>
                  <w:effect w:val="none"/>
                </w:rPr>
                <w:t xml:space="preserve"> periods ending</w:t>
              </w:r>
            </w:hyperlink>
            <w:r>
              <w:rPr>
                <w:rFonts w:ascii="Times New Roman;sans-serif" w:hAnsi="Times New Roman;sans-serif"/>
                <w:b w:val="false"/>
                <w:color w:val="000000"/>
                <w:sz w:val="20"/>
              </w:rPr>
              <w:t xml:space="preserve"> June 30, 2023</w:t>
            </w:r>
            <w:hyperlink w:anchor="i9bfd5ab07c6e42d997a5910b2f20ac7d_25">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2022</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fd5ab07c6e42d997a5910b2f20ac7d_25">
              <w:r>
                <w:rPr>
                  <w:rStyle w:val="InternetLink"/>
                  <w:rFonts w:ascii="Times New Roman;sans-serif" w:hAnsi="Times New Roman;sans-serif"/>
                  <w:b w:val="false"/>
                  <w:strike w:val="false"/>
                  <w:dstrike w:val="false"/>
                  <w:color w:val="000000"/>
                  <w:sz w:val="20"/>
                  <w:u w:val="none"/>
                  <w:effect w:val="none"/>
                </w:rPr>
                <w:t>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fd5ab07c6e42d997a5910b2f20ac7d_28">
              <w:r>
                <w:rPr>
                  <w:rStyle w:val="InternetLink"/>
                  <w:rFonts w:ascii="Times New Roman;sans-serif" w:hAnsi="Times New Roman;sans-serif"/>
                  <w:b w:val="false"/>
                  <w:strike w:val="false"/>
                  <w:dstrike w:val="false"/>
                  <w:color w:val="000000"/>
                  <w:sz w:val="20"/>
                  <w:u w:val="none"/>
                  <w:effect w:val="none"/>
                </w:rPr>
                <w:t xml:space="preserve">Condensed Consolidated Statements of Cash Flows for the </w:t>
              </w:r>
            </w:hyperlink>
            <w:r>
              <w:rPr>
                <w:rFonts w:ascii="Times New Roman;sans-serif" w:hAnsi="Times New Roman;sans-serif"/>
                <w:b w:val="false"/>
                <w:color w:val="000000"/>
                <w:sz w:val="20"/>
              </w:rPr>
              <w:t>six-month</w:t>
            </w:r>
            <w:hyperlink w:anchor="i9bfd5ab07c6e42d997a5910b2f20ac7d_28">
              <w:r>
                <w:rPr>
                  <w:rStyle w:val="InternetLink"/>
                  <w:rFonts w:ascii="Times New Roman;sans-serif" w:hAnsi="Times New Roman;sans-serif"/>
                  <w:b w:val="false"/>
                  <w:strike w:val="false"/>
                  <w:dstrike w:val="false"/>
                  <w:color w:val="000000"/>
                  <w:sz w:val="20"/>
                  <w:u w:val="none"/>
                  <w:effect w:val="none"/>
                </w:rPr>
                <w:t xml:space="preserve"> periods ended </w:t>
              </w:r>
            </w:hyperlink>
            <w:r>
              <w:rPr>
                <w:rFonts w:ascii="Times New Roman;sans-serif" w:hAnsi="Times New Roman;sans-serif"/>
                <w:b w:val="false"/>
                <w:color w:val="000000"/>
                <w:sz w:val="20"/>
              </w:rPr>
              <w:t>June 30, 2023</w:t>
            </w:r>
            <w:hyperlink w:anchor="i9bfd5ab07c6e42d997a5910b2f20ac7d_28">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2022</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fd5ab07c6e42d997a5910b2f20ac7d_28">
              <w:r>
                <w:rPr>
                  <w:rStyle w:val="InternetLink"/>
                  <w:rFonts w:ascii="Times New Roman;sans-serif" w:hAnsi="Times New Roman;sans-serif"/>
                  <w:b w:val="false"/>
                  <w:strike w:val="false"/>
                  <w:dstrike w:val="false"/>
                  <w:color w:val="000000"/>
                  <w:sz w:val="20"/>
                  <w:u w:val="none"/>
                  <w:effect w:val="none"/>
                </w:rPr>
                <w:t>6</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fd5ab07c6e42d997a5910b2f20ac7d_31">
              <w:r>
                <w:rPr>
                  <w:rStyle w:val="InternetLink"/>
                  <w:rFonts w:ascii="Times New Roman;sans-serif" w:hAnsi="Times New Roman;sans-serif"/>
                  <w:b w:val="false"/>
                  <w:strike w:val="false"/>
                  <w:dstrike w:val="false"/>
                  <w:color w:val="000000"/>
                  <w:sz w:val="20"/>
                  <w:u w:val="none"/>
                  <w:effect w:val="none"/>
                </w:rPr>
                <w:t>Notes to Condensed Consolidated Financial Statements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fd5ab07c6e42d997a5910b2f20ac7d_31">
              <w:r>
                <w:rPr>
                  <w:rStyle w:val="InternetLink"/>
                  <w:rFonts w:ascii="Times New Roman;sans-serif" w:hAnsi="Times New Roman;sans-serif"/>
                  <w:b w:val="false"/>
                  <w:strike w:val="false"/>
                  <w:dstrike w:val="false"/>
                  <w:color w:val="000000"/>
                  <w:sz w:val="20"/>
                  <w:u w:val="none"/>
                  <w:effect w:val="none"/>
                </w:rPr>
                <w:t>7</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8506"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8506"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fd5ab07c6e42d997a5910b2f20ac7d_76">
              <w:r>
                <w:rPr>
                  <w:rStyle w:val="InternetLink"/>
                  <w:rFonts w:ascii="Times New Roman;sans-serif" w:hAnsi="Times New Roman;sans-serif"/>
                  <w:b w:val="false"/>
                  <w:strike w:val="false"/>
                  <w:dstrike w:val="false"/>
                  <w:color w:val="000000"/>
                  <w:sz w:val="20"/>
                  <w:u w:val="none"/>
                  <w:effect w:val="none"/>
                </w:rPr>
                <w:t>Item 2.</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fd5ab07c6e42d997a5910b2f20ac7d_76">
              <w:r>
                <w:rPr>
                  <w:rStyle w:val="InternetLink"/>
                  <w:rFonts w:ascii="Times New Roman;sans-serif" w:hAnsi="Times New Roman;sans-serif"/>
                  <w:b w:val="false"/>
                  <w:strike w:val="false"/>
                  <w:dstrike w:val="false"/>
                  <w:color w:val="000000"/>
                  <w:sz w:val="20"/>
                  <w:u w:val="none"/>
                  <w:effect w:val="none"/>
                </w:rPr>
                <w:t>Management's Discussion and Analysis of Financial Condition and Results of Operations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fd5ab07c6e42d997a5910b2f20ac7d_79">
              <w:r>
                <w:rPr>
                  <w:rStyle w:val="InternetLink"/>
                  <w:rFonts w:ascii="Times New Roman;sans-serif" w:hAnsi="Times New Roman;sans-serif"/>
                  <w:b w:val="false"/>
                  <w:strike w:val="false"/>
                  <w:dstrike w:val="false"/>
                  <w:color w:val="000000"/>
                  <w:sz w:val="20"/>
                  <w:u w:val="none"/>
                  <w:effect w:val="none"/>
                </w:rPr>
                <w:t>22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fd5ab07c6e42d997a5910b2f20ac7d_136">
              <w:r>
                <w:rPr>
                  <w:rStyle w:val="InternetLink"/>
                  <w:rFonts w:ascii="Times New Roman;sans-serif" w:hAnsi="Times New Roman;sans-serif"/>
                  <w:b w:val="false"/>
                  <w:strike w:val="false"/>
                  <w:dstrike w:val="false"/>
                  <w:color w:val="000000"/>
                  <w:sz w:val="20"/>
                  <w:u w:val="none"/>
                  <w:effect w:val="none"/>
                </w:rPr>
                <w:t>Item 3.</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fd5ab07c6e42d997a5910b2f20ac7d_136">
              <w:r>
                <w:rPr>
                  <w:rStyle w:val="InternetLink"/>
                  <w:rFonts w:ascii="Times New Roman;sans-serif" w:hAnsi="Times New Roman;sans-serif"/>
                  <w:b w:val="false"/>
                  <w:strike w:val="false"/>
                  <w:dstrike w:val="false"/>
                  <w:color w:val="000000"/>
                  <w:sz w:val="20"/>
                  <w:u w:val="none"/>
                  <w:effect w:val="none"/>
                </w:rPr>
                <w:t>Quantitative and Qualitative Disclosures About Market Risk</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fd5ab07c6e42d997a5910b2f20ac7d_136">
              <w:r>
                <w:rPr>
                  <w:rStyle w:val="InternetLink"/>
                  <w:rFonts w:ascii="Times New Roman;sans-serif" w:hAnsi="Times New Roman;sans-serif"/>
                  <w:b w:val="false"/>
                  <w:strike w:val="false"/>
                  <w:dstrike w:val="false"/>
                  <w:color w:val="000000"/>
                  <w:sz w:val="20"/>
                  <w:u w:val="none"/>
                  <w:effect w:val="none"/>
                </w:rPr>
                <w:t>35</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fd5ab07c6e42d997a5910b2f20ac7d_139">
              <w:r>
                <w:rPr>
                  <w:rStyle w:val="InternetLink"/>
                  <w:rFonts w:ascii="Times New Roman;sans-serif" w:hAnsi="Times New Roman;sans-serif"/>
                  <w:b w:val="false"/>
                  <w:strike w:val="false"/>
                  <w:dstrike w:val="false"/>
                  <w:color w:val="000000"/>
                  <w:sz w:val="20"/>
                  <w:u w:val="none"/>
                  <w:effect w:val="none"/>
                </w:rPr>
                <w:t>Item 4.</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fd5ab07c6e42d997a5910b2f20ac7d_139">
              <w:r>
                <w:rPr>
                  <w:rStyle w:val="InternetLink"/>
                  <w:rFonts w:ascii="Times New Roman;sans-serif" w:hAnsi="Times New Roman;sans-serif"/>
                  <w:b w:val="false"/>
                  <w:strike w:val="false"/>
                  <w:dstrike w:val="false"/>
                  <w:color w:val="000000"/>
                  <w:sz w:val="20"/>
                  <w:u w:val="none"/>
                  <w:effect w:val="none"/>
                </w:rPr>
                <w:t>Controls and Procedures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fd5ab07c6e42d997a5910b2f20ac7d_139">
              <w:r>
                <w:rPr>
                  <w:rStyle w:val="InternetLink"/>
                  <w:rFonts w:ascii="Times New Roman;sans-serif" w:hAnsi="Times New Roman;sans-serif"/>
                  <w:b w:val="false"/>
                  <w:strike w:val="false"/>
                  <w:dstrike w:val="false"/>
                  <w:color w:val="000000"/>
                  <w:sz w:val="20"/>
                  <w:u w:val="none"/>
                  <w:effect w:val="none"/>
                </w:rPr>
                <w:t>35</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fd5ab07c6e42d997a5910b2f20ac7d_142">
              <w:r>
                <w:rPr>
                  <w:rStyle w:val="InternetLink"/>
                  <w:rFonts w:ascii="Times New Roman;sans-serif" w:hAnsi="Times New Roman;sans-serif"/>
                  <w:b/>
                  <w:strike w:val="false"/>
                  <w:dstrike w:val="false"/>
                  <w:color w:val="000000"/>
                  <w:sz w:val="20"/>
                  <w:u w:val="none"/>
                  <w:effect w:val="none"/>
                </w:rPr>
                <w:t>PART II.</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fd5ab07c6e42d997a5910b2f20ac7d_142">
              <w:r>
                <w:rPr>
                  <w:rStyle w:val="InternetLink"/>
                  <w:rFonts w:ascii="Times New Roman;sans-serif" w:hAnsi="Times New Roman;sans-serif"/>
                  <w:b/>
                  <w:strike w:val="false"/>
                  <w:dstrike w:val="false"/>
                  <w:color w:val="000000"/>
                  <w:sz w:val="20"/>
                  <w:u w:val="none"/>
                  <w:effect w:val="none"/>
                </w:rPr>
                <w:t>OTHER INFORMATION</w:t>
              </w:r>
            </w:hyperlink>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8506"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8506"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fd5ab07c6e42d997a5910b2f20ac7d_145">
              <w:r>
                <w:rPr>
                  <w:rStyle w:val="InternetLink"/>
                  <w:rFonts w:ascii="Times New Roman;sans-serif" w:hAnsi="Times New Roman;sans-serif"/>
                  <w:b w:val="false"/>
                  <w:strike w:val="false"/>
                  <w:dstrike w:val="false"/>
                  <w:color w:val="000000"/>
                  <w:sz w:val="20"/>
                  <w:u w:val="none"/>
                  <w:effect w:val="none"/>
                </w:rPr>
                <w:t>Item 1.</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fd5ab07c6e42d997a5910b2f20ac7d_145">
              <w:r>
                <w:rPr>
                  <w:rStyle w:val="InternetLink"/>
                  <w:rFonts w:ascii="Times New Roman;sans-serif" w:hAnsi="Times New Roman;sans-serif"/>
                  <w:b w:val="false"/>
                  <w:strike w:val="false"/>
                  <w:dstrike w:val="false"/>
                  <w:color w:val="000000"/>
                  <w:sz w:val="20"/>
                  <w:u w:val="none"/>
                  <w:effect w:val="none"/>
                </w:rPr>
                <w:t>Legal Proceedings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fd5ab07c6e42d997a5910b2f20ac7d_145">
              <w:r>
                <w:rPr>
                  <w:rStyle w:val="InternetLink"/>
                  <w:rFonts w:ascii="Times New Roman;sans-serif" w:hAnsi="Times New Roman;sans-serif"/>
                  <w:b w:val="false"/>
                  <w:strike w:val="false"/>
                  <w:dstrike w:val="false"/>
                  <w:color w:val="000000"/>
                  <w:sz w:val="20"/>
                  <w:u w:val="none"/>
                  <w:effect w:val="none"/>
                </w:rPr>
                <w:t>35</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fd5ab07c6e42d997a5910b2f20ac7d_148">
              <w:r>
                <w:rPr>
                  <w:rStyle w:val="InternetLink"/>
                  <w:rFonts w:ascii="Times New Roman;sans-serif" w:hAnsi="Times New Roman;sans-serif"/>
                  <w:b w:val="false"/>
                  <w:strike w:val="false"/>
                  <w:dstrike w:val="false"/>
                  <w:color w:val="000000"/>
                  <w:sz w:val="20"/>
                  <w:u w:val="none"/>
                  <w:effect w:val="none"/>
                </w:rPr>
                <w:t>Item 1A.</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fd5ab07c6e42d997a5910b2f20ac7d_148">
              <w:r>
                <w:rPr>
                  <w:rStyle w:val="InternetLink"/>
                  <w:rFonts w:ascii="Times New Roman;sans-serif" w:hAnsi="Times New Roman;sans-serif"/>
                  <w:b w:val="false"/>
                  <w:strike w:val="false"/>
                  <w:dstrike w:val="false"/>
                  <w:color w:val="000000"/>
                  <w:sz w:val="20"/>
                  <w:u w:val="none"/>
                  <w:effect w:val="none"/>
                </w:rPr>
                <w:t>Risk Factors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fd5ab07c6e42d997a5910b2f20ac7d_148">
              <w:r>
                <w:rPr>
                  <w:rStyle w:val="InternetLink"/>
                  <w:rFonts w:ascii="Times New Roman;sans-serif" w:hAnsi="Times New Roman;sans-serif"/>
                  <w:b w:val="false"/>
                  <w:strike w:val="false"/>
                  <w:dstrike w:val="false"/>
                  <w:color w:val="000000"/>
                  <w:sz w:val="20"/>
                  <w:u w:val="none"/>
                  <w:effect w:val="none"/>
                </w:rPr>
                <w:t>35</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fd5ab07c6e42d997a5910b2f20ac7d_151">
              <w:r>
                <w:rPr>
                  <w:rStyle w:val="InternetLink"/>
                  <w:rFonts w:ascii="Times New Roman;sans-serif" w:hAnsi="Times New Roman;sans-serif"/>
                  <w:b w:val="false"/>
                  <w:strike w:val="false"/>
                  <w:dstrike w:val="false"/>
                  <w:color w:val="000000"/>
                  <w:sz w:val="20"/>
                  <w:u w:val="none"/>
                  <w:effect w:val="none"/>
                </w:rPr>
                <w:t>Item 2.</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fd5ab07c6e42d997a5910b2f20ac7d_151">
              <w:r>
                <w:rPr>
                  <w:rStyle w:val="InternetLink"/>
                  <w:rFonts w:ascii="Times New Roman;sans-serif" w:hAnsi="Times New Roman;sans-serif"/>
                  <w:b w:val="false"/>
                  <w:strike w:val="false"/>
                  <w:dstrike w:val="false"/>
                  <w:color w:val="000000"/>
                  <w:sz w:val="20"/>
                  <w:u w:val="none"/>
                  <w:effect w:val="none"/>
                </w:rPr>
                <w:t>Unregistered Sales of Equity Securities and Use of Proceeds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fd5ab07c6e42d997a5910b2f20ac7d_151">
              <w:r>
                <w:rPr>
                  <w:rStyle w:val="InternetLink"/>
                  <w:rFonts w:ascii="Times New Roman;sans-serif" w:hAnsi="Times New Roman;sans-serif"/>
                  <w:b w:val="false"/>
                  <w:strike w:val="false"/>
                  <w:dstrike w:val="false"/>
                  <w:color w:val="000000"/>
                  <w:sz w:val="20"/>
                  <w:u w:val="none"/>
                  <w:effect w:val="none"/>
                </w:rPr>
                <w:t>35</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fd5ab07c6e42d997a5910b2f20ac7d_154">
              <w:r>
                <w:rPr>
                  <w:rStyle w:val="InternetLink"/>
                  <w:rFonts w:ascii="Times New Roman;sans-serif" w:hAnsi="Times New Roman;sans-serif"/>
                  <w:b w:val="false"/>
                  <w:strike w:val="false"/>
                  <w:dstrike w:val="false"/>
                  <w:color w:val="000000"/>
                  <w:sz w:val="20"/>
                  <w:u w:val="none"/>
                  <w:effect w:val="none"/>
                </w:rPr>
                <w:t>Item 3.</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fd5ab07c6e42d997a5910b2f20ac7d_154">
              <w:r>
                <w:rPr>
                  <w:rStyle w:val="InternetLink"/>
                  <w:rFonts w:ascii="Times New Roman;sans-serif" w:hAnsi="Times New Roman;sans-serif"/>
                  <w:b w:val="false"/>
                  <w:strike w:val="false"/>
                  <w:dstrike w:val="false"/>
                  <w:color w:val="000080"/>
                  <w:sz w:val="20"/>
                  <w:u w:val="single"/>
                  <w:effect w:val="none"/>
                </w:rPr>
                <w:t xml:space="preserve">Defaults </w:t>
              </w:r>
            </w:hyperlink>
            <w:hyperlink w:anchor="i9bfd5ab07c6e42d997a5910b2f20ac7d_154">
              <w:r>
                <w:rPr>
                  <w:rStyle w:val="InternetLink"/>
                  <w:rFonts w:ascii="Times New Roman;sans-serif" w:hAnsi="Times New Roman;sans-serif"/>
                  <w:b w:val="false"/>
                  <w:strike w:val="false"/>
                  <w:dstrike w:val="false"/>
                  <w:color w:val="000080"/>
                  <w:sz w:val="20"/>
                  <w:u w:val="single"/>
                  <w:effect w:val="none"/>
                </w:rPr>
                <w:t>U</w:t>
              </w:r>
            </w:hyperlink>
            <w:hyperlink w:anchor="i9bfd5ab07c6e42d997a5910b2f20ac7d_154">
              <w:r>
                <w:rPr>
                  <w:rStyle w:val="InternetLink"/>
                  <w:rFonts w:ascii="Times New Roman;sans-serif" w:hAnsi="Times New Roman;sans-serif"/>
                  <w:b w:val="false"/>
                  <w:strike w:val="false"/>
                  <w:dstrike w:val="false"/>
                  <w:color w:val="000080"/>
                  <w:sz w:val="20"/>
                  <w:u w:val="single"/>
                  <w:effect w:val="none"/>
                </w:rPr>
                <w:t>pon Senior Securities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fd5ab07c6e42d997a5910b2f20ac7d_154">
              <w:r>
                <w:rPr>
                  <w:rStyle w:val="InternetLink"/>
                  <w:rFonts w:ascii="Times New Roman;sans-serif" w:hAnsi="Times New Roman;sans-serif"/>
                  <w:b w:val="false"/>
                  <w:strike w:val="false"/>
                  <w:dstrike w:val="false"/>
                  <w:color w:val="000000"/>
                  <w:sz w:val="20"/>
                  <w:u w:val="none"/>
                  <w:effect w:val="none"/>
                </w:rPr>
                <w:t>36</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fd5ab07c6e42d997a5910b2f20ac7d_157">
              <w:r>
                <w:rPr>
                  <w:rStyle w:val="InternetLink"/>
                  <w:rFonts w:ascii="Times New Roman;sans-serif" w:hAnsi="Times New Roman;sans-serif"/>
                  <w:b w:val="false"/>
                  <w:strike w:val="false"/>
                  <w:dstrike w:val="false"/>
                  <w:color w:val="000000"/>
                  <w:sz w:val="20"/>
                  <w:u w:val="none"/>
                  <w:effect w:val="none"/>
                </w:rPr>
                <w:t>Item 4.</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fd5ab07c6e42d997a5910b2f20ac7d_157">
              <w:r>
                <w:rPr>
                  <w:rStyle w:val="InternetLink"/>
                  <w:rFonts w:ascii="Times New Roman;sans-serif" w:hAnsi="Times New Roman;sans-serif"/>
                  <w:b w:val="false"/>
                  <w:strike w:val="false"/>
                  <w:dstrike w:val="false"/>
                  <w:color w:val="000000"/>
                  <w:sz w:val="20"/>
                  <w:u w:val="none"/>
                  <w:effect w:val="none"/>
                </w:rPr>
                <w:t>Mine Safety Disclosures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fd5ab07c6e42d997a5910b2f20ac7d_157">
              <w:r>
                <w:rPr>
                  <w:rStyle w:val="InternetLink"/>
                  <w:rFonts w:ascii="Times New Roman;sans-serif" w:hAnsi="Times New Roman;sans-serif"/>
                  <w:b w:val="false"/>
                  <w:strike w:val="false"/>
                  <w:dstrike w:val="false"/>
                  <w:color w:val="000000"/>
                  <w:sz w:val="20"/>
                  <w:u w:val="none"/>
                  <w:effect w:val="none"/>
                </w:rPr>
                <w:t>36</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fd5ab07c6e42d997a5910b2f20ac7d_160">
              <w:r>
                <w:rPr>
                  <w:rStyle w:val="InternetLink"/>
                  <w:rFonts w:ascii="Times New Roman;sans-serif" w:hAnsi="Times New Roman;sans-serif"/>
                  <w:b w:val="false"/>
                  <w:strike w:val="false"/>
                  <w:dstrike w:val="false"/>
                  <w:color w:val="000000"/>
                  <w:sz w:val="20"/>
                  <w:u w:val="none"/>
                  <w:effect w:val="none"/>
                </w:rPr>
                <w:t>Item 5.</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fd5ab07c6e42d997a5910b2f20ac7d_160">
              <w:r>
                <w:rPr>
                  <w:rStyle w:val="InternetLink"/>
                  <w:rFonts w:ascii="Times New Roman;sans-serif" w:hAnsi="Times New Roman;sans-serif"/>
                  <w:b w:val="false"/>
                  <w:strike w:val="false"/>
                  <w:dstrike w:val="false"/>
                  <w:color w:val="000000"/>
                  <w:sz w:val="20"/>
                  <w:u w:val="none"/>
                  <w:effect w:val="none"/>
                </w:rPr>
                <w:t>Other Information</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fd5ab07c6e42d997a5910b2f20ac7d_160">
              <w:r>
                <w:rPr>
                  <w:rStyle w:val="InternetLink"/>
                  <w:rFonts w:ascii="Times New Roman;sans-serif" w:hAnsi="Times New Roman;sans-serif"/>
                  <w:b w:val="false"/>
                  <w:strike w:val="false"/>
                  <w:dstrike w:val="false"/>
                  <w:color w:val="000000"/>
                  <w:sz w:val="20"/>
                  <w:u w:val="none"/>
                  <w:effect w:val="none"/>
                </w:rPr>
                <w:t>36</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fd5ab07c6e42d997a5910b2f20ac7d_163">
              <w:r>
                <w:rPr>
                  <w:rStyle w:val="InternetLink"/>
                  <w:rFonts w:ascii="Times New Roman;sans-serif" w:hAnsi="Times New Roman;sans-serif"/>
                  <w:b w:val="false"/>
                  <w:strike w:val="false"/>
                  <w:dstrike w:val="false"/>
                  <w:color w:val="000000"/>
                  <w:sz w:val="20"/>
                  <w:u w:val="none"/>
                  <w:effect w:val="none"/>
                </w:rPr>
                <w:t>Item 6.</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fd5ab07c6e42d997a5910b2f20ac7d_163">
              <w:r>
                <w:rPr>
                  <w:rStyle w:val="InternetLink"/>
                  <w:rFonts w:ascii="Times New Roman;sans-serif" w:hAnsi="Times New Roman;sans-serif"/>
                  <w:b w:val="false"/>
                  <w:strike w:val="false"/>
                  <w:dstrike w:val="false"/>
                  <w:color w:val="000000"/>
                  <w:sz w:val="20"/>
                  <w:u w:val="none"/>
                  <w:effect w:val="none"/>
                </w:rPr>
                <w:t>Exhibits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fd5ab07c6e42d997a5910b2f20ac7d_163">
              <w:r>
                <w:rPr>
                  <w:rStyle w:val="InternetLink"/>
                  <w:rFonts w:ascii="Times New Roman;sans-serif" w:hAnsi="Times New Roman;sans-serif"/>
                  <w:b w:val="false"/>
                  <w:strike w:val="false"/>
                  <w:dstrike w:val="false"/>
                  <w:color w:val="000000"/>
                  <w:sz w:val="20"/>
                  <w:u w:val="none"/>
                  <w:effect w:val="none"/>
                </w:rPr>
                <w:t>37</w:t>
              </w:r>
            </w:hyperlink>
          </w:p>
        </w:tc>
      </w:tr>
      <w:tr>
        <w:trPr/>
        <w:tc>
          <w:tcPr>
            <w:tcW w:w="93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bfd5ab07c6e42d997a5910b2f20ac7d_166">
              <w:r>
                <w:rPr>
                  <w:rStyle w:val="InternetLink"/>
                  <w:rFonts w:ascii="Times New Roman;sans-serif" w:hAnsi="Times New Roman;sans-serif"/>
                  <w:b/>
                  <w:strike w:val="false"/>
                  <w:dstrike w:val="false"/>
                  <w:color w:val="000000"/>
                  <w:sz w:val="20"/>
                  <w:u w:val="none"/>
                  <w:effect w:val="none"/>
                </w:rPr>
                <w:t>SIGNATURES</w:t>
              </w:r>
            </w:hyperlink>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21945"/>
                <wp:effectExtent l="0" t="0" r="0" b="0"/>
                <wp:wrapNone/>
                <wp:docPr id="2" name="Frame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color w:val="000000"/>
        </w:rPr>
      </w:pPr>
      <w:r>
        <w:rPr>
          <w:color w:val="000000"/>
        </w:rPr>
        <w:t> </w:t>
      </w:r>
    </w:p>
    <w:tbl>
      <w:tblPr>
        <w:tblW w:w="9540" w:type="dxa"/>
        <w:jc w:val="left"/>
        <w:tblInd w:w="0" w:type="dxa"/>
        <w:tblLayout w:type="fixed"/>
        <w:tblCellMar>
          <w:top w:w="28" w:type="dxa"/>
          <w:left w:w="28" w:type="dxa"/>
          <w:bottom w:w="28" w:type="dxa"/>
          <w:right w:w="28" w:type="dxa"/>
        </w:tblCellMar>
      </w:tblPr>
      <w:tblGrid>
        <w:gridCol w:w="1313"/>
        <w:gridCol w:w="1154"/>
        <w:gridCol w:w="1163"/>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31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data)</w:t>
            </w:r>
          </w:p>
        </w:tc>
        <w:tc>
          <w:tcPr>
            <w:tcW w:w="2619"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Rentals and fees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393,649 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Installment sales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store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2,171,989 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sales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income and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2,230,976 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rentals and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658,576 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merchandise sold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436,066 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installment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store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1,106,989 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Franchise cost of merchandise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1,152,338 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1,078,638 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Store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330,559 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store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963,572 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1,009,515 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earnings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(loss) earnings per common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(loss) earnings per common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declared per common share</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0.68 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before="0" w:after="0"/>
        <w:jc w:val="center"/>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COMPREHENSIVE (LOSS) INCOME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928"/>
        <w:gridCol w:w="1660"/>
        <w:gridCol w:w="1498"/>
        <w:gridCol w:w="211"/>
        <w:gridCol w:w="754"/>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55"/>
      </w:tblGrid>
      <w:tr>
        <w:trPr/>
        <w:tc>
          <w:tcPr>
            <w:tcW w:w="1928"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0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2442"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earnings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net of tax of $1,102 and $(26), $1,927 and $150 for the three and six months ended June 30, 2023 and 2022, respectively</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(41,473)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before="0" w:after="0"/>
        <w:jc w:val="center"/>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05"/>
        <w:gridCol w:w="2113"/>
        <w:gridCol w:w="2128"/>
        <w:gridCol w:w="211"/>
        <w:gridCol w:w="976"/>
        <w:gridCol w:w="109"/>
        <w:gridCol w:w="109"/>
        <w:gridCol w:w="109"/>
        <w:gridCol w:w="109"/>
        <w:gridCol w:w="225"/>
        <w:gridCol w:w="1044"/>
        <w:gridCol w:w="167"/>
      </w:tblGrid>
      <w:tr>
        <w:trPr/>
        <w:tc>
          <w:tcPr>
            <w:tcW w:w="2905"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par value data)</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144,141 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 of allowance for doubtful accounts of $13,183 and $13,214 in 2023 and 2022,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111,865 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46,070 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merchandise, net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989,869 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Held for 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134,959 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held for installment sale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assets, net of accumulated depreciation of $608,822 and $576,675 in 2023 and 2022,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295,371 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302,311 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82,886 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289,750 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359,409 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2,763,619 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 trade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155,449 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320,624 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305,556 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87,986 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debt,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930,902 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437,956 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1,960,331 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2,238,473 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250,000,000 shares authorized; 125,308,008 and 125,028,169 shares issued in June 30, 2023 and December 31, 2022,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1,298,094 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1,077,189 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69,354,651 shares in June 30, 2023 and December 31, 2022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(1,840,591)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525,146 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2,585,924 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2,763,619 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before="0" w:after="0"/>
        <w:jc w:val="center"/>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1581" w:type="dxa"/>
        <w:jc w:val="center"/>
        <w:tblInd w:w="0" w:type="dxa"/>
        <w:tblLayout w:type="fixed"/>
        <w:tblCellMar>
          <w:top w:w="28" w:type="dxa"/>
          <w:left w:w="28" w:type="dxa"/>
          <w:bottom w:w="28" w:type="dxa"/>
          <w:right w:w="28" w:type="dxa"/>
        </w:tblCellMar>
      </w:tblPr>
      <w:tblGrid>
        <w:gridCol w:w="536"/>
        <w:gridCol w:w="406"/>
        <w:gridCol w:w="409"/>
        <w:gridCol w:w="413"/>
        <w:gridCol w:w="413"/>
        <w:gridCol w:w="196"/>
        <w:gridCol w:w="109"/>
        <w:gridCol w:w="109"/>
        <w:gridCol w:w="109"/>
        <w:gridCol w:w="211"/>
        <w:gridCol w:w="616"/>
        <w:gridCol w:w="109"/>
        <w:gridCol w:w="109"/>
        <w:gridCol w:w="109"/>
        <w:gridCol w:w="109"/>
        <w:gridCol w:w="211"/>
        <w:gridCol w:w="976"/>
        <w:gridCol w:w="109"/>
        <w:gridCol w:w="109"/>
        <w:gridCol w:w="109"/>
        <w:gridCol w:w="109"/>
        <w:gridCol w:w="211"/>
        <w:gridCol w:w="976"/>
        <w:gridCol w:w="109"/>
        <w:gridCol w:w="109"/>
        <w:gridCol w:w="109"/>
        <w:gridCol w:w="109"/>
        <w:gridCol w:w="211"/>
        <w:gridCol w:w="991"/>
        <w:gridCol w:w="109"/>
        <w:gridCol w:w="109"/>
        <w:gridCol w:w="109"/>
        <w:gridCol w:w="109"/>
        <w:gridCol w:w="242"/>
        <w:gridCol w:w="847"/>
        <w:gridCol w:w="127"/>
        <w:gridCol w:w="109"/>
        <w:gridCol w:w="109"/>
        <w:gridCol w:w="109"/>
        <w:gridCol w:w="211"/>
        <w:gridCol w:w="826"/>
        <w:gridCol w:w="154"/>
      </w:tblGrid>
      <w:tr>
        <w:trPr/>
        <w:tc>
          <w:tcPr>
            <w:tcW w:w="5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125,028 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share units, net of shares withheld for employee taxes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 of stock awards vested and options exercised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2023</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125,287 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(1,840,591)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(7,522)</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670,342 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share units, net of shares withheld for employee taxes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at June 30, 2023</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125,308 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1,040,761 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(1,840,591)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625,593 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before="0" w:after="0"/>
        <w:jc w:val="center"/>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1686" w:type="dxa"/>
        <w:jc w:val="center"/>
        <w:tblInd w:w="0" w:type="dxa"/>
        <w:tblLayout w:type="fixed"/>
        <w:tblCellMar>
          <w:top w:w="28" w:type="dxa"/>
          <w:left w:w="28" w:type="dxa"/>
          <w:bottom w:w="28" w:type="dxa"/>
          <w:right w:w="28" w:type="dxa"/>
        </w:tblCellMar>
      </w:tblPr>
      <w:tblGrid>
        <w:gridCol w:w="641"/>
        <w:gridCol w:w="406"/>
        <w:gridCol w:w="409"/>
        <w:gridCol w:w="413"/>
        <w:gridCol w:w="413"/>
        <w:gridCol w:w="196"/>
        <w:gridCol w:w="109"/>
        <w:gridCol w:w="109"/>
        <w:gridCol w:w="109"/>
        <w:gridCol w:w="211"/>
        <w:gridCol w:w="616"/>
        <w:gridCol w:w="109"/>
        <w:gridCol w:w="109"/>
        <w:gridCol w:w="109"/>
        <w:gridCol w:w="109"/>
        <w:gridCol w:w="211"/>
        <w:gridCol w:w="976"/>
        <w:gridCol w:w="109"/>
        <w:gridCol w:w="109"/>
        <w:gridCol w:w="109"/>
        <w:gridCol w:w="109"/>
        <w:gridCol w:w="211"/>
        <w:gridCol w:w="976"/>
        <w:gridCol w:w="109"/>
        <w:gridCol w:w="109"/>
        <w:gridCol w:w="109"/>
        <w:gridCol w:w="109"/>
        <w:gridCol w:w="211"/>
        <w:gridCol w:w="991"/>
        <w:gridCol w:w="109"/>
        <w:gridCol w:w="109"/>
        <w:gridCol w:w="109"/>
        <w:gridCol w:w="109"/>
        <w:gridCol w:w="242"/>
        <w:gridCol w:w="847"/>
        <w:gridCol w:w="127"/>
        <w:gridCol w:w="109"/>
        <w:gridCol w:w="109"/>
        <w:gridCol w:w="109"/>
        <w:gridCol w:w="211"/>
        <w:gridCol w:w="826"/>
        <w:gridCol w:w="154"/>
      </w:tblGrid>
      <w:tr>
        <w:trPr/>
        <w:tc>
          <w:tcPr>
            <w:tcW w:w="6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at December 31, 2021</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124,398 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513,276 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share units, net of shares withheld for employee taxes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 of stock awards vested and options exercised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2022</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124,844 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(1,765,574)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(11,710)</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share units, net of shares withheld for employee taxes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 of stock awards vested and options exercised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at June 30, 2022</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124,981 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(1,765,574)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(11,807)</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before="0" w:after="0"/>
        <w:jc w:val="center"/>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color w:val="000000"/>
        </w:rPr>
      </w:pPr>
      <w:r>
        <w:rPr>
          <w:color w:val="000000"/>
        </w:rPr>
        <w:t> </w:t>
      </w:r>
    </w:p>
    <w:tbl>
      <w:tblPr>
        <w:tblW w:w="9309" w:type="dxa"/>
        <w:jc w:val="left"/>
        <w:tblInd w:w="0" w:type="dxa"/>
        <w:tblLayout w:type="fixed"/>
        <w:tblCellMar>
          <w:top w:w="28" w:type="dxa"/>
          <w:left w:w="28" w:type="dxa"/>
          <w:bottom w:w="28" w:type="dxa"/>
          <w:right w:w="28" w:type="dxa"/>
        </w:tblCellMar>
      </w:tblPr>
      <w:tblGrid>
        <w:gridCol w:w="2444"/>
        <w:gridCol w:w="2151"/>
        <w:gridCol w:w="2155"/>
        <w:gridCol w:w="211"/>
        <w:gridCol w:w="721"/>
        <w:gridCol w:w="109"/>
        <w:gridCol w:w="109"/>
        <w:gridCol w:w="109"/>
        <w:gridCol w:w="109"/>
        <w:gridCol w:w="211"/>
        <w:gridCol w:w="826"/>
        <w:gridCol w:w="154"/>
      </w:tblGrid>
      <w:tr>
        <w:trPr/>
        <w:tc>
          <w:tcPr>
            <w:tcW w:w="2444"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67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2559"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earnings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rental merchandise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637,870 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property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sale or disposal of property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financing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net of acquired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merchandise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and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 trade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property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businesses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withheld for payment of employee tax withholdings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1 - Basis of Presentation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interim condensed consolidated financial statements of Upbound Group, Inc. included herein have been prepared by us pursuant to the rules and regulations of the Securities and Exchange Commission (the “SEC”). Certain information and footnote disclosures normally included in financial statements prepared in accordance with U.S. generally accepted accounting principles (“GAAP”) have been condensed or omitted pursuant to the SEC’s rules and regulations, although we believe the disclosures are adequate to make the information presented not misleading. We suggest these financial statements be read in conjunction with the financial statements and notes included in our Annual Report on Form 10-K for the year ended December 31, 2022. In our opinion, the accompanying unaudited interim financial statements contain all adjustments, consisting only of those of a normal recurring nature, necessary to present fairly our results of operations and cash flows for the periods presented. The results of operations for the periods presented are not necessarily indicative of the results to be expected for the full year.</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preparing financial statements in conformity with U.S. generally accepted accounting principles, we are required to make estimates and assumptions that affect the reported amounts of assets and liabilities, the disclosure of contingent losses and liabilities at the date of the condensed consolidated financial statements, and the reported amounts of revenues and expenses during the reporting period. In applying accounting principles, we must often make individual estimates and assumptions regarding expected outcomes or uncertainties. Our estimates, judgments and assumptions are continually evaluated based on available information and experience. However, uncertainties, including those related to recent macroeconomic trends or other factors, may affect certain estimates and assumptions inherent in the financial reporting process, which may impact reported amounts of assets and liabilities in future periods and cause actual results to differ from those estimates.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 and Nature of Operations</w:t>
      </w:r>
    </w:p>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included herein include the accounts of Upbound Group, Inc. and its direct and indirect subsidiaries. All intercompany accounts and transactions have been eliminated. Unless the context indicates otherwise, references to “Upbound Group, Inc.” refer only to Upbound Group, Inc., the parent, and references to the “Company”, “we,” “us” and “our” refer to the consolidated business operations of Upbound Group and any or all of its direct and indirect subsidiaries. We report four operating segments: Rent-A-Center, Acima, Mexico, and Franchising.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Rent-A-Center segment consists of company-owned lease-to-own stores in the United States and Puerto Rico that lease household durable goods to customers on a lease-to-own basis. We also offer merchandise on an installment sales basis in certain of our stores under the names “Get It Now” and “Home Choice.” Our Rent-A-Center segment operates through our company-owned stores and e-commerce platform through rentacenter.com.</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Acima segment, which operates in the United States and Puerto Rico, and includes the operations of Acima Holdings and certain locations previously operating under our Preferred Lease brand, generally offers the lease-to-own transaction to consumers who do not qualify for financing from the traditional retailer through staffed or unstaffed kiosks located within such retailer’s locations, or other virtual options. Virtual locations employ a virtual solution where customers, either directly or with the assistance of a representative of the third-party retailer, initiate the lease-to-own transaction online in the retailers’ locations using our virtual solutions.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Mexico segment consists of our company-owned lease-to-own stores in Mexico that lease household durable goods to customers on a lease-to-own basis.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Rent-A-Center Franchising International, Inc., an indirect wholly-owned subsidiary of Upbound Group, Inc., is a franchisor of lease-to-own stores. Our Franchising segment’s primary source of revenue is the sale of rental merchandise to its franchisees, who in turn offer the merchandise to the general public for rent or purchase under a lease-to-own transaction. The balance of our Franchising segment’s revenue is generated primarily from royalties based on franchisees’ monthly gross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2- Revenues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disaggregate our revenue for the periods ended June 30, 2023 and 2022:</w:t>
      </w:r>
    </w:p>
    <w:tbl>
      <w:tblPr>
        <w:tblW w:w="9043" w:type="dxa"/>
        <w:jc w:val="left"/>
        <w:tblInd w:w="0" w:type="dxa"/>
        <w:tblLayout w:type="fixed"/>
        <w:tblCellMar>
          <w:top w:w="28" w:type="dxa"/>
          <w:left w:w="28" w:type="dxa"/>
          <w:bottom w:w="28" w:type="dxa"/>
          <w:right w:w="28" w:type="dxa"/>
        </w:tblCellMar>
      </w:tblPr>
      <w:tblGrid>
        <w:gridCol w:w="771"/>
        <w:gridCol w:w="678"/>
        <w:gridCol w:w="681"/>
        <w:gridCol w:w="218"/>
        <w:gridCol w:w="854"/>
        <w:gridCol w:w="114"/>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Times New Roman;sans-serif" w:hAnsi="Times New Roman;sans-serif"/>
                <w:b/>
                <w:color w:val="000000"/>
                <w:sz w:val="16"/>
              </w:rPr>
            </w:pPr>
            <w:r>
              <w:rPr>
                <w:rFonts w:ascii="Times New Roman;sans-serif" w:hAnsi="Times New Roman;sans-serif"/>
                <w:b/>
                <w:color w:val="000000"/>
                <w:sz w:val="16"/>
              </w:rPr>
              <w:t>Rent-A-Center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Acima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Mexico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Franchising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6913" w:type="dxa"/>
            <w:gridSpan w:val="27"/>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Store</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Rentals and fees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sales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Installment sales</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store revenues</w:t>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466,191 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949,707 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Franchise</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sales</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income and fees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466,191 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464,358 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979,163 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193" w:type="dxa"/>
        <w:jc w:val="left"/>
        <w:tblInd w:w="0" w:type="dxa"/>
        <w:tblLayout w:type="fixed"/>
        <w:tblCellMar>
          <w:top w:w="28" w:type="dxa"/>
          <w:left w:w="28" w:type="dxa"/>
          <w:bottom w:w="28" w:type="dxa"/>
          <w:right w:w="28" w:type="dxa"/>
        </w:tblCellMar>
      </w:tblPr>
      <w:tblGrid>
        <w:gridCol w:w="771"/>
        <w:gridCol w:w="678"/>
        <w:gridCol w:w="681"/>
        <w:gridCol w:w="218"/>
        <w:gridCol w:w="854"/>
        <w:gridCol w:w="114"/>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976"/>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6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Times New Roman;sans-serif" w:hAnsi="Times New Roman;sans-serif"/>
                <w:b/>
                <w:color w:val="000000"/>
                <w:sz w:val="16"/>
              </w:rPr>
            </w:pPr>
            <w:r>
              <w:rPr>
                <w:rFonts w:ascii="Times New Roman;sans-serif" w:hAnsi="Times New Roman;sans-serif"/>
                <w:b/>
                <w:color w:val="000000"/>
                <w:sz w:val="16"/>
              </w:rPr>
              <w:t>Rent-A-Center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Acima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Mexico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Franchising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7063" w:type="dxa"/>
            <w:gridSpan w:val="27"/>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Store</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Rentals and fees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847,694 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sales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71,086 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Installment sales</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store revenues</w:t>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951,199 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1,936,705 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Franchise</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sales</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income and fees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951,199 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948,206 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1,995,224 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192" w:type="dxa"/>
        <w:jc w:val="left"/>
        <w:tblInd w:w="0" w:type="dxa"/>
        <w:tblLayout w:type="fixed"/>
        <w:tblCellMar>
          <w:top w:w="28" w:type="dxa"/>
          <w:left w:w="28" w:type="dxa"/>
          <w:bottom w:w="28" w:type="dxa"/>
          <w:right w:w="28" w:type="dxa"/>
        </w:tblCellMar>
      </w:tblPr>
      <w:tblGrid>
        <w:gridCol w:w="772"/>
        <w:gridCol w:w="676"/>
        <w:gridCol w:w="681"/>
        <w:gridCol w:w="218"/>
        <w:gridCol w:w="854"/>
        <w:gridCol w:w="114"/>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976"/>
        <w:gridCol w:w="154"/>
      </w:tblGrid>
      <w:tr>
        <w:trPr/>
        <w:tc>
          <w:tcPr>
            <w:tcW w:w="7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6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2022</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Times New Roman;sans-serif" w:hAnsi="Times New Roman;sans-serif"/>
                <w:b/>
                <w:color w:val="000000"/>
                <w:sz w:val="16"/>
              </w:rPr>
            </w:pPr>
            <w:r>
              <w:rPr>
                <w:rFonts w:ascii="Times New Roman;sans-serif" w:hAnsi="Times New Roman;sans-serif"/>
                <w:b/>
                <w:color w:val="000000"/>
                <w:sz w:val="16"/>
              </w:rPr>
              <w:t>Rent-A-Center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Acima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Mexico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Franchising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7063" w:type="dxa"/>
            <w:gridSpan w:val="27"/>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Store</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Rentals and fees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857,298 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sales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Installment sales</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store revenues</w:t>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490,185 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1,037,683 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Franchise</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sales</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income and fees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490,185 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530,170 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1,071,255 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452" w:type="dxa"/>
        <w:jc w:val="left"/>
        <w:tblInd w:w="0" w:type="dxa"/>
        <w:tblLayout w:type="fixed"/>
        <w:tblCellMar>
          <w:top w:w="28" w:type="dxa"/>
          <w:left w:w="28" w:type="dxa"/>
          <w:bottom w:w="28" w:type="dxa"/>
          <w:right w:w="28" w:type="dxa"/>
        </w:tblCellMar>
      </w:tblPr>
      <w:tblGrid>
        <w:gridCol w:w="772"/>
        <w:gridCol w:w="676"/>
        <w:gridCol w:w="681"/>
        <w:gridCol w:w="211"/>
        <w:gridCol w:w="976"/>
        <w:gridCol w:w="109"/>
        <w:gridCol w:w="109"/>
        <w:gridCol w:w="109"/>
        <w:gridCol w:w="109"/>
        <w:gridCol w:w="211"/>
        <w:gridCol w:w="976"/>
        <w:gridCol w:w="109"/>
        <w:gridCol w:w="109"/>
        <w:gridCol w:w="109"/>
        <w:gridCol w:w="109"/>
        <w:gridCol w:w="211"/>
        <w:gridCol w:w="721"/>
        <w:gridCol w:w="109"/>
        <w:gridCol w:w="109"/>
        <w:gridCol w:w="109"/>
        <w:gridCol w:w="109"/>
        <w:gridCol w:w="211"/>
        <w:gridCol w:w="721"/>
        <w:gridCol w:w="109"/>
        <w:gridCol w:w="109"/>
        <w:gridCol w:w="109"/>
        <w:gridCol w:w="109"/>
        <w:gridCol w:w="211"/>
        <w:gridCol w:w="976"/>
        <w:gridCol w:w="154"/>
      </w:tblGrid>
      <w:tr>
        <w:trPr/>
        <w:tc>
          <w:tcPr>
            <w:tcW w:w="7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2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2022</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Times New Roman;sans-serif" w:hAnsi="Times New Roman;sans-serif"/>
                <w:b/>
                <w:color w:val="000000"/>
                <w:sz w:val="16"/>
              </w:rPr>
            </w:pPr>
            <w:r>
              <w:rPr>
                <w:rFonts w:ascii="Times New Roman;sans-serif" w:hAnsi="Times New Roman;sans-serif"/>
                <w:b/>
                <w:color w:val="000000"/>
                <w:sz w:val="16"/>
              </w:rPr>
              <w:t>Rent-A-Center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Acima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Mexico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Franchising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7323" w:type="dxa"/>
            <w:gridSpan w:val="27"/>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Rentals and fees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sales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Installment sales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store revenues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1,129,546 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2,171,989 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sales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income and fees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1,008,690 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1,129,546 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2,230,976 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Lease Purchase Agreements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Rent-A-Center, Acima, and Mexico</w:t>
      </w:r>
    </w:p>
    <w:p>
      <w:pPr>
        <w:pStyle w:val="TextBody"/>
        <w:bidi w:val="0"/>
        <w:spacing w:lineRule="auto" w:line="288" w:before="120" w:after="283"/>
        <w:jc w:val="both"/>
        <w:rPr/>
      </w:pPr>
      <w:r>
        <w:rPr>
          <w:rFonts w:ascii="Times New Roman;sans-serif" w:hAnsi="Times New Roman;sans-serif"/>
          <w:b w:val="false"/>
          <w:i/>
          <w:color w:val="000000"/>
          <w:sz w:val="20"/>
        </w:rPr>
        <w:t>Rentals and Fees.</w:t>
      </w:r>
      <w:r>
        <w:rPr>
          <w:color w:val="000000"/>
        </w:rPr>
        <w:t xml:space="preserve"> </w:t>
      </w:r>
      <w:r>
        <w:rPr>
          <w:rFonts w:ascii="Times New Roman;sans-serif" w:hAnsi="Times New Roman;sans-serif"/>
          <w:b w:val="false"/>
          <w:color w:val="000000"/>
          <w:sz w:val="20"/>
        </w:rPr>
        <w:t xml:space="preserve">Rental merchandise is leased to customers pursuant to lease-to-own agreements, which provide for weekly, bi-weekly, semi-monthly or monthly terms with non-refundable lease payments. At the expiration of each lease term, customers may renew the lease-to-own agreement for the next lease term. Generally, the customer has the right to acquire title of the merchandise either through a purchase option or through payment of all required lease terms. Customers can terminate the lease-to-own agreement at the end of any lease term without penalty. Therefore, lease-to-own agreements are accounted for as operating leases.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Lease payments received at our Rent-A-Center stores, certain Acima staffed locations formerly operating under the Preferred Lease brand, and Mexico stores must be prepaid in advance of the next lease term. Under the Acima Holdings business model, revenues may be earned prior to the lease payment due date, in which case revenue is accrued prior to receipt of the lease payment, net of estimated returns and uncollectible renewal payments. Under both models, rental revenue is recognized over the lease term. See Note 3 for additional information regarding accrued lease revenue.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received for rental payments, including fees, prior to the period in which it should be recognized, is deferred and recognized according to the lease term. At June 30, 2023 and December 31, 2022, we had $48.0 million and $54.9 million, respectively, in deferred revenue included in accrued liabilities related to our lease-to-own agreements. Revenue related to various payment, reinstatement or late fees is recognized when paid by the customer at the point service is provided. Rental merchandise in our Rent-A-Center stores, certain Acima staffed locations formerly operating under the Preferred Lease brand, and Mexico stores is depreciated using the income forecasting method and recognized in cost of rentals and fees in our Consolidated Statement of Operations over the lease term. Lease merchandise under Acima Holdings is depreciated over the lease term using a straight-line depreciation method. Under the income forecasting method, the consumption of lease merchandise occurs during periods of rental and depreciation directly coincides with the receipt of rental revenue over the lease-to-own contract period. Depreciation under the straight-line method is recognized each period over the term of the lease-to-own contract irrespective of receipt of revenue payments from the customer.</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offer additional product plans along with our lease-to-own agreements which provide customers with liability protection against significant damage or loss of a product, and club membership benefits, including various discount programs and product service and replacement benefits in the event merchandise is damaged or lost, and payment insurance in the event eligible customers become unemployed. Customers renew product plans in conjunction with their rental term renewals, and can cancel the plans at any time. Revenue for product plans is recognized over the term of the plan. Costs incurred related to product plans are primarily recognized in cost of sales.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Revenue from contracts with customers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Rent-A-Center, Acima, and Mexico</w:t>
      </w:r>
    </w:p>
    <w:p>
      <w:pPr>
        <w:pStyle w:val="TextBody"/>
        <w:bidi w:val="0"/>
        <w:spacing w:lineRule="auto" w:line="288" w:before="120" w:after="283"/>
        <w:jc w:val="both"/>
        <w:rPr/>
      </w:pPr>
      <w:r>
        <w:rPr>
          <w:rFonts w:ascii="Times New Roman;sans-serif" w:hAnsi="Times New Roman;sans-serif"/>
          <w:b w:val="false"/>
          <w:i/>
          <w:color w:val="000000"/>
          <w:sz w:val="20"/>
        </w:rPr>
        <w:t>Merchandise Sales.</w:t>
      </w:r>
      <w:r>
        <w:rPr>
          <w:color w:val="000000"/>
        </w:rPr>
        <w:t xml:space="preserve"> </w:t>
      </w:r>
      <w:r>
        <w:rPr>
          <w:rFonts w:ascii="Times New Roman;sans-serif" w:hAnsi="Times New Roman;sans-serif"/>
          <w:b w:val="false"/>
          <w:color w:val="000000"/>
          <w:sz w:val="20"/>
        </w:rPr>
        <w:t xml:space="preserve">Merchandise sales include payments received for the exercise of the early purchase options offered through our lease-to-own agreements or merchandise sold through point of sale transactions. Revenue for merchandise sales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recognized when payment is received and ownership of the merchandise passes to the customer. The remaining net value of merchandise sold is recorded to cost of sales at the time of the transaction.</w:t>
      </w:r>
    </w:p>
    <w:p>
      <w:pPr>
        <w:pStyle w:val="TextBody"/>
        <w:bidi w:val="0"/>
        <w:spacing w:lineRule="auto" w:line="288" w:before="120" w:after="283"/>
        <w:jc w:val="both"/>
        <w:rPr/>
      </w:pPr>
      <w:r>
        <w:rPr>
          <w:rFonts w:ascii="Times New Roman;sans-serif" w:hAnsi="Times New Roman;sans-serif"/>
          <w:b w:val="false"/>
          <w:i/>
          <w:color w:val="000000"/>
          <w:sz w:val="20"/>
        </w:rPr>
        <w:t>Installment Sales.</w:t>
      </w:r>
      <w:r>
        <w:rPr>
          <w:color w:val="000000"/>
        </w:rPr>
        <w:t xml:space="preserve"> </w:t>
      </w:r>
      <w:r>
        <w:rPr>
          <w:rFonts w:ascii="Times New Roman;sans-serif" w:hAnsi="Times New Roman;sans-serif"/>
          <w:b w:val="false"/>
          <w:color w:val="000000"/>
          <w:sz w:val="20"/>
        </w:rPr>
        <w:t>Revenue from the sale of merchandise in our retail installment stores is recognized when the installment note is signed and control of the merchandise has passed to the customer. The cost of merchandise sold through installment agreements is recognized in cost of sales at the time of the transaction. We offer extended service plans with our installment agreements which are administered by third parties and provide customers with product service maintenance beyond the term of the installment agreement. Payments received for extended service plans are deferred and recognized, net of related costs, when the installment payment plan is complete and the service plan goes into effect. Customers can cancel extended service plans at any time during the installment agreement period and receive a refund for payments previously made towards the plan. At June 30, 2023 and December 31, 2022, we had $1.5 million and $2.0 million, respectively, in deferred revenue included in accrued liabilities related to extended service plans.</w:t>
      </w:r>
    </w:p>
    <w:p>
      <w:pPr>
        <w:pStyle w:val="TextBody"/>
        <w:bidi w:val="0"/>
        <w:spacing w:lineRule="auto" w:line="288" w:before="120" w:after="283"/>
        <w:jc w:val="both"/>
        <w:rPr/>
      </w:pPr>
      <w:r>
        <w:rPr>
          <w:rFonts w:ascii="Times New Roman;sans-serif" w:hAnsi="Times New Roman;sans-serif"/>
          <w:b w:val="false"/>
          <w:i/>
          <w:color w:val="000000"/>
          <w:sz w:val="20"/>
        </w:rPr>
        <w:t xml:space="preserve">Other. </w:t>
      </w:r>
      <w:r>
        <w:rPr>
          <w:rFonts w:ascii="Times New Roman;sans-serif" w:hAnsi="Times New Roman;sans-serif"/>
          <w:b w:val="false"/>
          <w:color w:val="000000"/>
          <w:sz w:val="20"/>
        </w:rPr>
        <w:t>Other revenue consists of revenue generated by other miscellaneous product plans offered to our rental and installment customers. Revenue for other product plans is recognized in accordance with the terms of the applicable plan agreement.</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Franchising</w:t>
      </w:r>
    </w:p>
    <w:p>
      <w:pPr>
        <w:pStyle w:val="TextBody"/>
        <w:bidi w:val="0"/>
        <w:spacing w:lineRule="auto" w:line="288" w:before="120" w:after="283"/>
        <w:jc w:val="both"/>
        <w:rPr/>
      </w:pPr>
      <w:r>
        <w:rPr>
          <w:rFonts w:ascii="Times New Roman;sans-serif" w:hAnsi="Times New Roman;sans-serif"/>
          <w:b w:val="false"/>
          <w:i/>
          <w:color w:val="000000"/>
          <w:sz w:val="20"/>
        </w:rPr>
        <w:t>Merchandise Sales.</w:t>
      </w:r>
      <w:r>
        <w:rPr>
          <w:color w:val="000000"/>
        </w:rPr>
        <w:t xml:space="preserve"> </w:t>
      </w:r>
      <w:r>
        <w:rPr>
          <w:rFonts w:ascii="Times New Roman;sans-serif" w:hAnsi="Times New Roman;sans-serif"/>
          <w:b w:val="false"/>
          <w:color w:val="000000"/>
          <w:sz w:val="20"/>
        </w:rPr>
        <w:t xml:space="preserve">Revenue from the sale of rental merchandise is recognized upon shipment of the merchandise to the franchisee. </w:t>
      </w:r>
    </w:p>
    <w:p>
      <w:pPr>
        <w:pStyle w:val="TextBody"/>
        <w:bidi w:val="0"/>
        <w:spacing w:lineRule="auto" w:line="288" w:before="120" w:after="283"/>
        <w:jc w:val="both"/>
        <w:rPr/>
      </w:pPr>
      <w:r>
        <w:rPr>
          <w:rFonts w:ascii="Times New Roman;sans-serif" w:hAnsi="Times New Roman;sans-serif"/>
          <w:b w:val="false"/>
          <w:i/>
          <w:color w:val="000000"/>
          <w:sz w:val="20"/>
        </w:rPr>
        <w:t>Royalty Income and Fees.</w:t>
      </w:r>
      <w:r>
        <w:rPr>
          <w:color w:val="000000"/>
        </w:rPr>
        <w:t xml:space="preserve"> </w:t>
      </w:r>
      <w:r>
        <w:rPr>
          <w:rFonts w:ascii="Times New Roman;sans-serif" w:hAnsi="Times New Roman;sans-serif"/>
          <w:b w:val="false"/>
          <w:color w:val="000000"/>
          <w:sz w:val="20"/>
        </w:rPr>
        <w:t>Franchise royalties, including franchisee contributions to corporate advertising funds, represent sales-based royalties calculated as a percentage of gross rental payments and sales. Royalty revenue is accrued and recognized as rental payments and merchandise sales occur. Franchise fees are initial fees charged to franchisees for new or converted franchise stores. Franchise fee revenue is recognized on a straight-line basis over the term of the franchise agreement. At June 30, 2023 and December 31, 2022, we had $3.2 million and $3.4 million, respectively, in deferred revenue included in accrued liabilities related to franchise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3 - Receivables and Allowance for Doubtful Accounts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Installment sales receivables consist primarily of receivables due from customers for the sale of merchandise in our retail installment stores. Installment sales receivables associated with the sale of merchandise at our Get It Now and Home Choice stores generally consist of the sales price of the merchandise purchased and any additional fees for services the customer has chosen, less the customer’s down payment. No interest is accrued and interest income is recognized each time a customer makes a payment, generally on a monthly basis. Interest paid on installment agreements for each of the six months ended June 30, 2023 and 2022 was $5.9 million and $6.1 million, respectively.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Trade and notes receivables consist of amounts due from our lease-to-own customers for lease renewal payments and past due uncollected lease payments, adjusted for the probability of collection based on our assessment of historical collection rates and length of time the receivable is past due; amounts owed from our franchisees for inventory purchases, earned royalties and other obligations; and other corporate related receivables. Credit is extended to franchisees based on an evaluation of each franchisee’s financial condition and collateral is generally not required. Trade receivables are generally due within 30 days.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Receivables consist of the following:</w:t>
      </w:r>
    </w:p>
    <w:tbl>
      <w:tblPr>
        <w:tblW w:w="7107" w:type="dxa"/>
        <w:jc w:val="left"/>
        <w:tblInd w:w="0" w:type="dxa"/>
        <w:tblLayout w:type="fixed"/>
        <w:tblCellMar>
          <w:top w:w="28" w:type="dxa"/>
          <w:left w:w="28" w:type="dxa"/>
          <w:bottom w:w="28" w:type="dxa"/>
          <w:right w:w="28" w:type="dxa"/>
        </w:tblCellMar>
      </w:tblPr>
      <w:tblGrid>
        <w:gridCol w:w="1489"/>
        <w:gridCol w:w="1309"/>
        <w:gridCol w:w="1312"/>
        <w:gridCol w:w="232"/>
        <w:gridCol w:w="764"/>
        <w:gridCol w:w="129"/>
        <w:gridCol w:w="109"/>
        <w:gridCol w:w="109"/>
        <w:gridCol w:w="109"/>
        <w:gridCol w:w="279"/>
        <w:gridCol w:w="1047"/>
        <w:gridCol w:w="219"/>
      </w:tblGrid>
      <w:tr>
        <w:trPr/>
        <w:tc>
          <w:tcPr>
            <w:tcW w:w="148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Installment sales receivables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66,162 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69,550 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Trade and notes receivables</w:t>
            </w:r>
            <w:r>
              <w:rPr>
                <w:rFonts w:ascii="Times New Roman;sans-serif" w:hAnsi="Times New Roman;sans-serif"/>
                <w:b w:val="false"/>
                <w:color w:val="000000"/>
                <w:sz w:val="12"/>
              </w:rPr>
              <w:t>(1)</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45,815 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55,529 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receivables</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111,977 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125,079 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Less allowance for doubtful accounts</w:t>
            </w:r>
            <w:r>
              <w:rPr>
                <w:rFonts w:ascii="Times New Roman;sans-serif" w:hAnsi="Times New Roman;sans-serif"/>
                <w:b w:val="false"/>
                <w:color w:val="000000"/>
                <w:sz w:val="12"/>
              </w:rPr>
              <w:t>(2)</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(13,183)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(13,214)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receivables, net of allowance for doubtful accounts</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98,794 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111,865 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ans-serif" w:hAnsi="Times New Roman;sans-serif"/>
          <w:b w:val="false"/>
          <w:color w:val="000000"/>
          <w:sz w:val="9"/>
        </w:rPr>
        <w:t xml:space="preserve">(1) </w:t>
      </w:r>
      <w:r>
        <w:rPr>
          <w:rFonts w:ascii="Times New Roman;sans-serif" w:hAnsi="Times New Roman;sans-serif"/>
          <w:b w:val="false"/>
          <w:color w:val="000000"/>
          <w:sz w:val="14"/>
        </w:rPr>
        <w:t xml:space="preserve">Trade and notes receivables includes accrued revenue, adjusted for the probability of collection, related to our lease-to-own agreements of $24.1 million and $28.7 million at June 30, 2023 and December 31, 2022, respectively. </w:t>
      </w:r>
    </w:p>
    <w:p>
      <w:pPr>
        <w:pStyle w:val="TextBody"/>
        <w:bidi w:val="0"/>
        <w:spacing w:lineRule="auto" w:line="288" w:before="0" w:after="0"/>
        <w:ind w:left="0" w:right="0" w:hanging="180"/>
        <w:jc w:val="both"/>
        <w:rPr/>
      </w:pPr>
      <w:r>
        <w:rPr>
          <w:rFonts w:ascii="Times New Roman;sans-serif" w:hAnsi="Times New Roman;sans-serif"/>
          <w:b w:val="false"/>
          <w:color w:val="000000"/>
          <w:sz w:val="9"/>
        </w:rPr>
        <w:t xml:space="preserve">(2) </w:t>
      </w:r>
      <w:r>
        <w:rPr>
          <w:rFonts w:ascii="Times New Roman;sans-serif" w:hAnsi="Times New Roman;sans-serif"/>
          <w:b w:val="false"/>
          <w:color w:val="000000"/>
          <w:sz w:val="14"/>
        </w:rPr>
        <w:t>Lease receivables are accrued on a net basis, adjusted for the probability of collection based on our assessment of historical collection rates, as described above. Therefore, we do not maintain a separate allowance for doubtful accounts related to our lease receivables.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established an allowance for doubtful accounts for our installment notes receivable. Our policy for determining the allowance is primarily based on historical loss experience, as well as the results of management’s review and analysis of the payment and collection of the installment notes receivable within the previous year. We believe our allowance is adequate to absorb all expected losses. Our policy is to charge off installment notes receivable that are 120 days or more past due. Charge-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offs are applied as a reduction to the allowance for doubtful accounts and any recoveries of previously charged off balances are applied as an increase to the allowance for doubtful accounts.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allowance for our Franchising trade and notes receivables is determined by considering a number of factors, including the length of time receivables are past due, previous loss history, the franchisee’s current ability to pay its obligation, and the condition of the general economy and the industry as a whole. Trade receivables that are more than 90 days past due are either written-off or fully reserved in our allowance for doubtful accounts. Payments subsequently received on such receivables are credited to the allowance for doubtful accounts.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allowance for doubtful accounts related to Franchising trade and notes receivables was $1.2 million, and the allowance for doubtful accounts related to installment sales receivables was $12.0 million at both June 30, 2023 and December 31, 2022.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our allowance for doubtful accounts are as follows:</w:t>
      </w:r>
    </w:p>
    <w:tbl>
      <w:tblPr>
        <w:tblW w:w="4771" w:type="dxa"/>
        <w:jc w:val="left"/>
        <w:tblInd w:w="0" w:type="dxa"/>
        <w:tblLayout w:type="fixed"/>
        <w:tblCellMar>
          <w:top w:w="28" w:type="dxa"/>
          <w:left w:w="28" w:type="dxa"/>
          <w:bottom w:w="28" w:type="dxa"/>
          <w:right w:w="28" w:type="dxa"/>
        </w:tblCellMar>
      </w:tblPr>
      <w:tblGrid>
        <w:gridCol w:w="1146"/>
        <w:gridCol w:w="1008"/>
        <w:gridCol w:w="1011"/>
        <w:gridCol w:w="232"/>
        <w:gridCol w:w="764"/>
        <w:gridCol w:w="129"/>
        <w:gridCol w:w="109"/>
        <w:gridCol w:w="109"/>
        <w:gridCol w:w="109"/>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allowance for doubtful accounts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13,214 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Bad debt expense</w:t>
            </w:r>
            <w:r>
              <w:rPr>
                <w:rFonts w:ascii="Times New Roman;sans-serif" w:hAnsi="Times New Roman;sans-serif"/>
                <w:b w:val="false"/>
                <w:color w:val="000000"/>
                <w:sz w:val="12"/>
              </w:rPr>
              <w:t>(1)</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written off, net of recoveries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Ending allowance for doubtful accounts</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13,183 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ans-serif" w:hAnsi="Times New Roman;sans-serif"/>
          <w:b w:val="false"/>
          <w:color w:val="000000"/>
          <w:sz w:val="9"/>
        </w:rPr>
        <w:t>(1)</w:t>
      </w:r>
      <w:r>
        <w:rPr>
          <w:color w:val="000000"/>
        </w:rPr>
        <w:t xml:space="preserve"> </w:t>
      </w:r>
      <w:r>
        <w:rPr>
          <w:rFonts w:ascii="Times New Roman;sans-serif" w:hAnsi="Times New Roman;sans-serif"/>
          <w:b w:val="false"/>
          <w:color w:val="000000"/>
          <w:sz w:val="14"/>
        </w:rPr>
        <w:t>Uncollectible installment payments, franchisee obligations, and other corporate receivables are recognized in other store operating expenses in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4 - Leases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lease space for all of our Rent-A-Center and Mexico stores under operating leases expiring at various times through 2038. In addition, we lease space for certain support facilities under operating leases expiring at various times through 2032. Most of our store leases are five year leases and contain renewal options for additional periods ranging from three years to five years at rental rates adjusted according to agreed upon formulas. We evaluate all leases to determine if it is likely that we will exercise future renewal options and in most cases we are not reasonably certain of exercise due to competing market rental rates and lack of significant penalty, or business disruption incurred by not exercising the renewal options.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certain situations involving the sale of a Rent-A-Center corporate store to a franchisee, we enter into a lease assignment agreement with the buyer, but we remain the primary obligor under the original lease for the remaining active term. These assignments are therefore classified as subleases and the original lease is included in our operating lease right-of-use assets and operating lease liabilities in our Condensed Consolidated Balance Sheets.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lease vehicles for all of our Rent-A-Center stores under operating leases with lease terms expiring twelve months after the start date of the lease. We classify these leases as short-term and have elected the short-term lease exemption for our vehicle leases, and have therefore excluded them from our operating lease right-of-use assets within our Condensed Consolidated Balance Sheets. We also lease vehicles for all of our Mexico stores which have terms expiring at various times through 2026 with rental rates adjusted periodically for inflation. Finally, we have a minimal number of equipment leases, primarily related to temporary storage containers and certain back-office technology hardware assets.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our calculation of operating lease right-of-use assets and operating lease liabilities we have elected not to separate the lease and non-lease components. Furthermore, operating lease right-of-use assets and operating lease liabilities are discounted using our incremental borrowing rate, since the implicit rate is not readily determinable. We do not currently have any financing leases.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costs are recorded on a straight-line basis within other store expenses in our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operating lease costs by expense type:</w:t>
      </w:r>
    </w:p>
    <w:tbl>
      <w:tblPr>
        <w:tblW w:w="9959" w:type="dxa"/>
        <w:jc w:val="left"/>
        <w:tblInd w:w="0" w:type="dxa"/>
        <w:tblLayout w:type="fixed"/>
        <w:tblCellMar>
          <w:top w:w="28" w:type="dxa"/>
          <w:left w:w="28" w:type="dxa"/>
          <w:bottom w:w="28" w:type="dxa"/>
          <w:right w:w="28" w:type="dxa"/>
        </w:tblCellMar>
      </w:tblPr>
      <w:tblGrid>
        <w:gridCol w:w="1727"/>
        <w:gridCol w:w="1519"/>
        <w:gridCol w:w="152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727"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lease cost included in Other store expenses</w:t>
            </w:r>
            <w:r>
              <w:rPr>
                <w:rFonts w:ascii="Times New Roman;sans-serif" w:hAnsi="Times New Roman;sans-serif"/>
                <w:b w:val="false"/>
                <w:color w:val="000000"/>
                <w:sz w:val="13"/>
              </w:rPr>
              <w:t>(1)(2)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lease cost included in Other charges</w:t>
            </w:r>
            <w:r>
              <w:rPr>
                <w:rFonts w:ascii="Times New Roman;sans-serif" w:hAnsi="Times New Roman;sans-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receipts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operating lease charges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9"/>
        </w:rPr>
        <w:t xml:space="preserve">(1) </w:t>
      </w:r>
      <w:r>
        <w:rPr>
          <w:rFonts w:ascii="Times New Roman;sans-serif" w:hAnsi="Times New Roman;sans-serif"/>
          <w:b w:val="false"/>
          <w:color w:val="000000"/>
          <w:sz w:val="14"/>
        </w:rPr>
        <w:t>Includes short-term lease costs, which are not significant.</w:t>
      </w:r>
    </w:p>
    <w:p>
      <w:pPr>
        <w:pStyle w:val="TextBody"/>
        <w:bidi w:val="0"/>
        <w:spacing w:lineRule="auto" w:line="288" w:before="0" w:after="0"/>
        <w:jc w:val="left"/>
        <w:rPr/>
      </w:pPr>
      <w:r>
        <w:rPr>
          <w:rFonts w:ascii="Times New Roman;sans-serif" w:hAnsi="Times New Roman;sans-serif"/>
          <w:b w:val="false"/>
          <w:color w:val="000000"/>
          <w:sz w:val="9"/>
        </w:rPr>
        <w:t>(2)</w:t>
      </w:r>
      <w:r>
        <w:rPr>
          <w:color w:val="000000"/>
        </w:rPr>
        <w:t xml:space="preserve"> </w:t>
      </w:r>
      <w:r>
        <w:rPr>
          <w:rFonts w:ascii="Times New Roman;sans-serif" w:hAnsi="Times New Roman;sans-serif"/>
          <w:b w:val="false"/>
          <w:color w:val="000000"/>
          <w:sz w:val="14"/>
        </w:rPr>
        <w:t xml:space="preserve">Excludes variable lease costs of $9.7 million and $19.1 million for the three and six months ended June 30, 2023, respectively, compared to $9.0 million and $17.8 million for the three and six months ended June 30, 2022, respectively.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w:t>
      </w:r>
    </w:p>
    <w:tbl>
      <w:tblPr>
        <w:tblW w:w="9264" w:type="dxa"/>
        <w:jc w:val="left"/>
        <w:tblInd w:w="0" w:type="dxa"/>
        <w:tblLayout w:type="fixed"/>
        <w:tblCellMar>
          <w:top w:w="28" w:type="dxa"/>
          <w:left w:w="28" w:type="dxa"/>
          <w:bottom w:w="28" w:type="dxa"/>
          <w:right w:w="28" w:type="dxa"/>
        </w:tblCellMar>
      </w:tblPr>
      <w:tblGrid>
        <w:gridCol w:w="2464"/>
        <w:gridCol w:w="2164"/>
        <w:gridCol w:w="2182"/>
        <w:gridCol w:w="211"/>
        <w:gridCol w:w="721"/>
        <w:gridCol w:w="109"/>
        <w:gridCol w:w="109"/>
        <w:gridCol w:w="109"/>
        <w:gridCol w:w="109"/>
        <w:gridCol w:w="211"/>
        <w:gridCol w:w="721"/>
        <w:gridCol w:w="154"/>
      </w:tblGrid>
      <w:tr>
        <w:trPr/>
        <w:tc>
          <w:tcPr>
            <w:tcW w:w="2464"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6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measurement of operating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short-term operating leases not included in 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and weighted-average remaining lease term:</w:t>
      </w:r>
    </w:p>
    <w:tbl>
      <w:tblPr>
        <w:tblW w:w="7121" w:type="dxa"/>
        <w:jc w:val="left"/>
        <w:tblInd w:w="0" w:type="dxa"/>
        <w:tblLayout w:type="fixed"/>
        <w:tblCellMar>
          <w:top w:w="28" w:type="dxa"/>
          <w:left w:w="28" w:type="dxa"/>
          <w:bottom w:w="28" w:type="dxa"/>
          <w:right w:w="28" w:type="dxa"/>
        </w:tblCellMar>
      </w:tblPr>
      <w:tblGrid>
        <w:gridCol w:w="1495"/>
        <w:gridCol w:w="1312"/>
        <w:gridCol w:w="1318"/>
        <w:gridCol w:w="249"/>
        <w:gridCol w:w="249"/>
        <w:gridCol w:w="626"/>
        <w:gridCol w:w="109"/>
        <w:gridCol w:w="109"/>
        <w:gridCol w:w="109"/>
        <w:gridCol w:w="314"/>
        <w:gridCol w:w="314"/>
        <w:gridCol w:w="917"/>
      </w:tblGrid>
      <w:tr>
        <w:trPr/>
        <w:tc>
          <w:tcPr>
            <w:tcW w:w="149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Weighted-average discount rate</w:t>
            </w:r>
            <w:r>
              <w:rPr>
                <w:rFonts w:ascii="Times New Roman;sans-serif" w:hAnsi="Times New Roman;sans-serif"/>
                <w:b w:val="false"/>
                <w:color w:val="000000"/>
                <w:sz w:val="13"/>
              </w:rPr>
              <w:t>(1)</w:t>
            </w:r>
          </w:p>
        </w:tc>
        <w:tc>
          <w:tcPr>
            <w:tcW w:w="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(in years)</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r>
    </w:tbl>
    <w:p>
      <w:pPr>
        <w:pStyle w:val="TextBody"/>
        <w:bidi w:val="0"/>
        <w:spacing w:lineRule="auto" w:line="288" w:before="0" w:after="0"/>
        <w:jc w:val="left"/>
        <w:rPr/>
      </w:pPr>
      <w:r>
        <w:rPr>
          <w:rFonts w:ascii="Times New Roman;sans-serif" w:hAnsi="Times New Roman;sans-serif"/>
          <w:b w:val="false"/>
          <w:color w:val="000000"/>
          <w:sz w:val="9"/>
        </w:rPr>
        <w:t xml:space="preserve">(1) </w:t>
      </w:r>
      <w:r>
        <w:rPr>
          <w:rFonts w:ascii="Times New Roman;sans-serif" w:hAnsi="Times New Roman;sans-serif"/>
          <w:b w:val="false"/>
          <w:color w:val="000000"/>
          <w:sz w:val="14"/>
        </w:rPr>
        <w:t>The January 1, 2019 incremental borrowing rate was used for leases in existence at the time of adoption of ASU 2016-02.</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Reconciliation of undiscounted operating lease liabilities to the present value operating lease liabilities at June 30, 2023:</w:t>
      </w:r>
    </w:p>
    <w:tbl>
      <w:tblPr>
        <w:tblW w:w="5401" w:type="dxa"/>
        <w:jc w:val="left"/>
        <w:tblInd w:w="0" w:type="dxa"/>
        <w:tblLayout w:type="fixed"/>
        <w:tblCellMar>
          <w:top w:w="28" w:type="dxa"/>
          <w:left w:w="28" w:type="dxa"/>
          <w:bottom w:w="28" w:type="dxa"/>
          <w:right w:w="28" w:type="dxa"/>
        </w:tblCellMar>
      </w:tblPr>
      <w:tblGrid>
        <w:gridCol w:w="1694"/>
        <w:gridCol w:w="1146"/>
        <w:gridCol w:w="1150"/>
        <w:gridCol w:w="249"/>
        <w:gridCol w:w="978"/>
        <w:gridCol w:w="184"/>
      </w:tblGrid>
      <w:tr>
        <w:trPr/>
        <w:tc>
          <w:tcPr>
            <w:tcW w:w="169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54,812 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97,896 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79,657 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55,141 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operating lease liabilities</w:t>
            </w:r>
          </w:p>
        </w:tc>
        <w:tc>
          <w:tcPr>
            <w:tcW w:w="12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347,822 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(48,917)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present value of operating lease liabilities</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298,905 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5 - Income Taxes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was 128.6% for the six months ended June 30, 2023, compared to 50.4% for the corresponding period in 2022. The effective tax rate for the six months ended June 30, 2023 was primarily impacted by the tax impact of accelerated stock compensation expense recognized for the six months ended June 30, 2023 related to restricted stock agreements issued to the former owners of Acima Holdings upon acquisition of Acima Holdings, as described further in Note 11 below. For tax purposes, restricted stock units subject to restricted stock agreements issued to the former owners of Acima Holdings were recorded as goodwill and will be amortized over a period of 15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6 - Senior Debt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17, 2021, we entered into a credit agreement with JPMorgan Chase Bank, N.A., as administrative agent, and lenders party thereto, providing for a seven-year $875 million senior secured term loan facility (the “Term Loan Facility”) and an Asset Based Loan Credit Facility (the “ABL Credit Facility”) providing for a five-year asset-based revolving credit facility with commitments of $550 million and a letter of credit sublimit of $150 million. Commitments under the ABL Credit Facility may be increased, at our option and under certain conditions, by up to an additional $125 million in the aggregate.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Proceeds from the Term Loan Facility were net of original issue discount of $4.4 million upon issuance from the lenders. In addition, in connection with the closing of the Term Loan Facility and the ABL Credit Facility, we incurred approximately $30.2 million in debt issuance costs, including bank financing fees and third party legal and other professional fees, of which $25.3 million was capitalized in accordance with ASC Topic 470, “Debt” and recorded as a reduction of our outstanding senior debt, net in our Condensed Consolidated Balance Sheets.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21, 2021 we entered into a First Amendment to the Term Loan Facility, effective as of September 21, 2021. The amendment effected a repricing of the applicable margin under the Term Loan Facility by reducing the LIBOR floor by 25 basis points from 0.75% to 0.50%, and the applicable margin, with respect to any initial term loans, by 75 basis points from 4.00% to 3.25%.</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execution of the First Amendment, and in accordance with ASC Topic 470, “Debt”, we recorded approximately $5.4 million in write-offs of unamortized debt issuance costs and original issue discount previously capitalized upon the issuance of the Term Loan Facility on February 17, 2021.</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10, 2022, we entered into a First Amendment to the ABL Credit Facility, effective as of August 10, 2022. The amendment effected the replacement of LIBOR with Term Secured Overnight Financing Rate (“Term SOFR”) as the benchmark rate of interest thereunder.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June 15, 2023, we entered into a Second Amendment to the Term Loan Facility, effective as of June 15, 2023. The amendment effected the replacement of LIBOR with Term SOFR as the benchmark rate of interest and also resulted in a repricing of the applicable margin by 26 basis points from 3.25% to 3.51% effective July 31, 2023.</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First Amendment to the ABL Credit Facility and the Second Amendment to the Term Loan Facility described above, we have elected optional expedients available under Topic 848 which classify contract amendments for the transition of LIBOR as events that do not require accounting reassessments as a contract modification.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the total remaining balance of unamortized debt issuance costs and original issue discount related to our senior debt reported in the Condensed Consolidated Balance Sheets were approximately $14.4 million and $2.2 million, respectively. Remaining unamortized debt issuance costs and original issue discount will be amortized to interest expense over the remaining term of the Term Loan Facility.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outstanding under the Term Loan Facility was $815.5 million at June 30, 2023. We had no outstanding borrowings under our ABL Credit Facility at June 30, 2023 and borrowing capacity of $487.1 million, net of issued letters of credit of approximately $62.9 million, primarily relating to insurance claims.</w:t>
      </w:r>
    </w:p>
    <w:p>
      <w:pPr>
        <w:pStyle w:val="TextBody"/>
        <w:bidi w:val="0"/>
        <w:spacing w:lineRule="auto" w:line="276" w:before="120" w:after="283"/>
        <w:jc w:val="both"/>
        <w:rPr>
          <w:rFonts w:ascii="Times New Roman;sans-serif" w:hAnsi="Times New Roman;sans-serif"/>
          <w:b/>
          <w:i/>
          <w:color w:val="000000"/>
          <w:sz w:val="20"/>
        </w:rPr>
      </w:pPr>
      <w:r>
        <w:rPr>
          <w:rFonts w:ascii="Times New Roman;sans-serif" w:hAnsi="Times New Roman;sans-serif"/>
          <w:b/>
          <w:i/>
          <w:color w:val="000000"/>
          <w:sz w:val="20"/>
        </w:rPr>
        <w:t>Term Loan Credit Agreement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 Facility, which matures on February 17, 2028, amortizes in equal quarterly installments at a rate of 1.00% per annum of the original principal amount thereof, with the remaining balance due at final maturity. Subject in each case to certain restrictions and conditions, we may add up to $500 million of incremental term loan facilities to the Term Loan Facility or utilize incremental capacity under the Term Loan Facility at any time by issuing or incurring incremental equivalent term debt.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on borrowings under the Term Loan Facility is payable at a fluctuating rate of interest determined by reference to the Term SOFR rate plus an applicable margin of 3.25%, subject to a 0.50% Term SOFR floor. The total interest rate on the Term Loan Facility was 8.563% at June 30, 2023. Borrowings under the Term Loan Facility amortize in equal quarterly installments in an amount equal to 1.000% per annum of the original aggregate principal amount thereof, with the remaining balance due at final maturity.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 Facility is secured by a first-priority security interest in substantially all of our present and future tangible and intangible personal property, including our subsidiary guarantors, other than the ABL Priority Collateral (as defined below), and by a second-priority security interest in the ABL Priority Collateral, subject to certain exceptions. The obligations under the Term Loan Facility are guaranteed by us and our material wholly-owned domestic restricted subsidiaries that also guarantee the ABL Credit Facility.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 Facility contains covenants that are usual and customary for similar facilities and transactions and that, among other things, restrict our ability and our restricted subsidiaries to create certain liens and enter into certain sale and lease-back transactions; create, assume, incur or guarantee certain indebtedness; consolidate or merge with, or convey, transfer or lease all or substantially all of our and our restricted subsidiaries’ assets, to another person; pay dividends or make other distributions on, or repurchase or redeem, our capital stock or certain other debt; and make other restricted payments. The Term Loan Facility also includes mandatory prepayment requirements related to asset sales (subject to reinvestment), debt incurrence (other than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permitted debt) and excess cash flow, subject to certain limitations described therein. These covenants are subject to a number of limitations and exceptions set forth in the governing documents of the Term Loan.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our Consolidated Secured Leverage Ratio (as such term is defined in the Term Loan Facility credit agreement) exceeds 1:1, we are required to prepay the loans under the Term Loan Facility by a percentage of annual excess cash flow, as more fully described in the Term Loan Facility credit agreement. We made mandatory excess cash flow prepayments of approximately $42.6 million, including $0.6 million in accrued interest, in March 2023, relating to results for the year ended December 31, 2022.</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Term Loan provides for customary events of default, including, but not limited to, failure to pay principal and interest, failure to comply with covenants, agreements or conditions, and certain events of bankruptcy or insolvency involving us and our significant subsidiaries.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ABL Credit Agreement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ABL Credit Facility will mature on February 17, 2026. We may borrow only up to the lesser of the level of the then-current borrowing base and the aggregate amount of commitments under the ABL Credit Facility. The borrowing base is tied to the amount of eligible installment sales accounts, inventory and eligible rental contracts, reduced by certain reserves.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ABL Credit Facility bears interest at a fluctuating rate determined by reference to Term SOFR plus an applicable margin of 1.50% to 2.00%. The total interest rate on the ABL Credit Facility at June 30, 2023 was 7.09%. A commitment fee equal to 0.250% to 0.375% of the unused portion of the ABL Credit Facility fluctuates dependent upon average utilization for the prior month as defined by a pricing grid included in the governing documents of the ABL Credit Facility. The commitment fee at June 30, 2023 was 0.375%. We paid $0.8 million of commitment fees during the second quarter of 2023.</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Loans under the ABL Credit Facility may be borrowed, repaid and re-borrowed until February 17, 2026, at which time all amounts borrowed must be repaid. The obligations under the ABL Credit Facility are guaranteed by us and certain of our wholly owned domestic restricted subsidiaries, subject to certain exceptions. The obligations under the ABL Credit Facility and such guarantees are secured on a first-priority basis by all of our and our subsidiary guarantors’ accounts, inventory, deposit accounts, securities accounts, cash and cash equivalents, rental agreements, general intangibles (other than equity interests in our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ours and the subsidiary guarantors, subject to certain exceptions.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ABL Credit Facility contains covenants that are usual and customary for similar facilities and transactions and that, among other things, restrict our ability and our restricted subsidiaries to create certain liens and enter into certain sale and lease-back transactions; create, assume, incur or guarantee certain indebtedness; consolidate or merge with, or convey, transfer or lease all or substantially all of our and our restricted subsidiaries’ assets, to another person; pay dividends or make other distributions on, or repurchase or redeem, our capital stock or certain other debt; and make other restricted payments.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ABL Credit Facility also requires the maintenance of a consolidated fixed charge coverage ratio of at least 1.10 to 1.00 at the end of each fiscal quarter only in the event either (i) certain specified events of default have occurred and are continuing or (ii) availability is less than or equal to the greater of $56.25 million and 15% of the line cap then in effect. These covenants are subject to a number of limitations and exceptions set forth in the governing documents of the ABL Credit Facility. The fixed charge coverage ratio as of June 30, 2023 was 1.12 to 1.00.</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governing documents of the ABL Credit Facility provides for customary events of default, including, but not limited to, failure to pay principal and interest, failure to comply with covenants, agreements or conditions, and certain events of bankruptcy or insolvency involving us and our significant subsidiaries. As of June 30, 2023, we were in compliance with all requirements and conditions set forth in our ABL Credit Facility governing documents.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shows the scheduled maturity dates of our outstanding debt at June 30, 2023 for each of the years ending December 31:</w:t>
      </w:r>
    </w:p>
    <w:tbl>
      <w:tblPr>
        <w:tblW w:w="3420" w:type="dxa"/>
        <w:jc w:val="left"/>
        <w:tblInd w:w="0" w:type="dxa"/>
        <w:tblLayout w:type="fixed"/>
        <w:tblCellMar>
          <w:top w:w="28" w:type="dxa"/>
          <w:left w:w="28" w:type="dxa"/>
          <w:bottom w:w="28" w:type="dxa"/>
          <w:right w:w="28" w:type="dxa"/>
        </w:tblCellMar>
      </w:tblPr>
      <w:tblGrid>
        <w:gridCol w:w="472"/>
        <w:gridCol w:w="415"/>
        <w:gridCol w:w="417"/>
        <w:gridCol w:w="308"/>
        <w:gridCol w:w="1156"/>
        <w:gridCol w:w="171"/>
        <w:gridCol w:w="109"/>
        <w:gridCol w:w="109"/>
        <w:gridCol w:w="109"/>
        <w:gridCol w:w="154"/>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Term Loan Facility</w:t>
            </w:r>
            <w:r>
              <w:rPr>
                <w:rFonts w:ascii="Times New Roman;sans-serif" w:hAnsi="Times New Roman;sans-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815,470 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senior debt</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815,470 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both"/>
        <w:rPr/>
      </w:pPr>
      <w:r>
        <w:rPr>
          <w:rFonts w:ascii="Times New Roman;sans-serif" w:hAnsi="Times New Roman;sans-serif"/>
          <w:b w:val="false"/>
          <w:color w:val="000000"/>
          <w:sz w:val="9"/>
        </w:rPr>
        <w:t xml:space="preserve">(1) </w:t>
      </w:r>
      <w:r>
        <w:rPr>
          <w:rFonts w:ascii="Times New Roman;sans-serif" w:hAnsi="Times New Roman;sans-serif"/>
          <w:b w:val="false"/>
          <w:color w:val="000000"/>
          <w:sz w:val="14"/>
        </w:rPr>
        <w:t>Annual installment requirements were reduced by the amount of the excess cash flow payment described above, in accordance with the terms of the credit agreement governing the Term Loan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7 - Senior Notes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17, 2021, we issued $450 million in senior unsecured notes due February 15, 2029, at par value, bearing interest at 6.375% (the “Notes”), the proceeds of which were used to fund a portion of the Aggregate Cash Consideration upon closing of the Acima Holdings acquisition. Interest on the Notes is payable in arrears on February 15 and August 15 of each year. In connection with the issuance of the Notes, we incurred approximately $15.7 million in debt issuance costs, including bank financing fees and third party legal and other professional fees, which were capitalized in accordance with ASC Topic 470, “Debt” and recorded as a reduction of our outstanding Notes in our Condensed Consolidated Balance Sheets. Debt issuance costs are amortized as interest expense over the term of the Notes. As of June 30, 2023, the total remaining balance of unamortized debt issuance costs related to our senior notes reported in the Condensed Consolidated Balance Sheets was approximately $11.1 million.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redeem some or all of the Notes at any time on or after February 15, 2024 for cash at the redemption prices set forth in the indenture governing the Notes, plus accrued and unpaid interest to, but not including, the redemption date. Prior to February 15, 2024, we may redeem up to 40% of the aggregate principal amount of the Notes with the proceeds of certain equity offerings at a redemption price of 106.375% plus accrued and unpaid interest to, but not including, the redemption date. In addition, we may redeem some or all of the Notes prior to February 15, 2024, at a redemption price of 100% of the principal amount of the Notes plus accrued and unpaid interest to, but not including, the redemption date, plus a “make-whole” premium. If we experience specific kinds of change of control, we will be required to offer to purchase the Notes at a price equal to 101% of the principal amount thereof plus accrued and unpaid interest.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Notes are our general unsecured senior obligations, and are effectively subordinated to all of our existing and future secured indebtedness to the extent of the value of the collateral securing such indebtedness, structurally subordinated to all existing and future indebtedness and other liabilities of our non-guarantor subsidiaries, equal in right of payment to all of our and our guarantor subsidiaries’ existing and future senior indebtedness and senior in right of payment to all of our future subordinated indebtedness, if any. The Notes are jointly and severally guaranteed on a senior unsecured basis by certain of our domestic subsidiaries that have outstanding indebtedness or guarantee other specified indebtedness, including the ABL Credit Facility and the Term Loan Facility.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governing the Notes contains covenants that limit, among other things, our ability and the ability of some of our restricted subsidiaries to create liens, transfer or sell assets, incur indebtedness or issue certain preferred stock, pay dividends, redeem stock or make other distributions, make other restricted payments or investments, create restrictions on payment of dividends or other amounts to us by our restricted subsidiaries, merge or consolidate with other entities, engage in certain transactions with affiliates and designate our subsidiaries as unrestricted subsidiaries. These covenants are subject to a number of exceptions and qualifications. The covenants limiting restricted payments, restrictions on payment of dividends or other amounts to us by our restricted subsidiaries, the ability to incur indebtedness, asset dispositions and transactions with affiliates will be suspended if and while the Notes have investment grade ratings from any two of Standard &amp; Poor’s Ratings Services, Moody’s Investors Service, Inc. and Fitch, Inc.</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governing the Notes also provides for events of default, which, if any of them occurs, would permit or require the principal, premium, if any, and interest on all the then outstanding Notes to be due and payable.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8 - Fair Value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follow a three-tier fair value hierarchy, which classifies the inputs used in measuring fair values, in determining the fair value of our non-financial assets and non-financial liabilities, which consist primarily of goodwill. These tiers include: Level 1, defined as observable inputs such as quoted prices for identical instruments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instruments include cash and cash equivalents, receivables, payables, borrowings against our ABL Credit Facility and Term Loan Facility, and outstanding Notes. The carrying amount of cash and cash equivalents, receivables and payables approximates fair value at June 30, 2023 and December 31, 2022, because of the short maturities of these instruments. In addition, the interest rates on our Term Loan Facility and ABL Credit Facility are variable and, therefore, we believe the carrying value of outstanding borrowings approximates their fair value.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our Notes is based on Level 1 inputs and was as follows at June 30, 2023:</w:t>
      </w:r>
    </w:p>
    <w:tbl>
      <w:tblPr>
        <w:tblW w:w="5134" w:type="dxa"/>
        <w:jc w:val="left"/>
        <w:tblInd w:w="0" w:type="dxa"/>
        <w:tblLayout w:type="fixed"/>
        <w:tblCellMar>
          <w:top w:w="28" w:type="dxa"/>
          <w:left w:w="28" w:type="dxa"/>
          <w:bottom w:w="28" w:type="dxa"/>
          <w:right w:w="28" w:type="dxa"/>
        </w:tblCellMar>
      </w:tblPr>
      <w:tblGrid>
        <w:gridCol w:w="407"/>
        <w:gridCol w:w="358"/>
        <w:gridCol w:w="359"/>
        <w:gridCol w:w="234"/>
        <w:gridCol w:w="880"/>
        <w:gridCol w:w="130"/>
        <w:gridCol w:w="109"/>
        <w:gridCol w:w="109"/>
        <w:gridCol w:w="109"/>
        <w:gridCol w:w="196"/>
        <w:gridCol w:w="736"/>
        <w:gridCol w:w="109"/>
        <w:gridCol w:w="109"/>
        <w:gridCol w:w="109"/>
        <w:gridCol w:w="109"/>
        <w:gridCol w:w="196"/>
        <w:gridCol w:w="721"/>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Difference</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notes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450,000 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Note 9 - Other Charges</w:t>
      </w:r>
    </w:p>
    <w:p>
      <w:pPr>
        <w:pStyle w:val="TextBody"/>
        <w:bidi w:val="0"/>
        <w:spacing w:lineRule="auto" w:line="288" w:before="120" w:after="283"/>
        <w:jc w:val="both"/>
        <w:rPr/>
      </w:pPr>
      <w:r>
        <w:rPr>
          <w:rFonts w:ascii="Times New Roman;sans-serif" w:hAnsi="Times New Roman;sans-serif"/>
          <w:b w:val="false"/>
          <w:i/>
          <w:color w:val="000000"/>
          <w:sz w:val="20"/>
        </w:rPr>
        <w:t>Acima Holdings Acquisition.</w:t>
      </w:r>
      <w:r>
        <w:rPr>
          <w:color w:val="000000"/>
        </w:rPr>
        <w:t xml:space="preserve"> </w:t>
      </w:r>
      <w:r>
        <w:rPr>
          <w:rFonts w:ascii="Times New Roman;sans-serif" w:hAnsi="Times New Roman;sans-serif"/>
          <w:b w:val="false"/>
          <w:color w:val="000000"/>
          <w:sz w:val="20"/>
        </w:rPr>
        <w:t>On February 17, 2021, we completed the acquisition of Acima Holdings, a leading provider of virtual lease-to-own solutions. Included in the aggregate consideration issued to the former owners of Acima Holdings were 8,096,595 common shares, valued at $414.1 million, subject to 36-month vesting conditions under restricted stock agreements, which will be recognized over the vesting term as stock compensation expense. During the six months ended June 30, 2023 and 2022, we recognized approximately $118.7 million and $69.4 million in stock compensation expense, respectively, related to these restricted stock agreements. See Note 11 for additional information.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assets acquired as part of the transaction included $520 million in intangible assets and $170 million in developed technology. During the six months ended June 30, 2023 and 2022, we recognized approximately $28.5 million and $36.4 million in amortization expense, respectively, related to acquired intangible assets. We also recognized approximately $7.9 million and $8.0 million in incremental depreciation expense related to acquired technology assets in both the six months ended June 30, 2023 and 2022.</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2022, we recognized approximately $0.2 million in transaction costs associated with the closing of the transaction.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Activity with respect to Other charges for the six months ended June 30, 2023 is summarized in the below table:</w:t>
      </w:r>
    </w:p>
    <w:tbl>
      <w:tblPr>
        <w:tblW w:w="10205" w:type="dxa"/>
        <w:jc w:val="left"/>
        <w:tblInd w:w="0" w:type="dxa"/>
        <w:tblLayout w:type="fixed"/>
        <w:tblCellMar>
          <w:top w:w="28" w:type="dxa"/>
          <w:left w:w="28" w:type="dxa"/>
          <w:bottom w:w="28" w:type="dxa"/>
          <w:right w:w="28" w:type="dxa"/>
        </w:tblCellMar>
      </w:tblPr>
      <w:tblGrid>
        <w:gridCol w:w="1046"/>
        <w:gridCol w:w="753"/>
        <w:gridCol w:w="756"/>
        <w:gridCol w:w="445"/>
        <w:gridCol w:w="1302"/>
        <w:gridCol w:w="230"/>
        <w:gridCol w:w="109"/>
        <w:gridCol w:w="109"/>
        <w:gridCol w:w="109"/>
        <w:gridCol w:w="271"/>
        <w:gridCol w:w="1064"/>
        <w:gridCol w:w="141"/>
        <w:gridCol w:w="109"/>
        <w:gridCol w:w="109"/>
        <w:gridCol w:w="109"/>
        <w:gridCol w:w="338"/>
        <w:gridCol w:w="1011"/>
        <w:gridCol w:w="175"/>
        <w:gridCol w:w="109"/>
        <w:gridCol w:w="109"/>
        <w:gridCol w:w="109"/>
        <w:gridCol w:w="427"/>
        <w:gridCol w:w="945"/>
        <w:gridCol w:w="320"/>
      </w:tblGrid>
      <w:tr>
        <w:trPr/>
        <w:tc>
          <w:tcPr>
            <w:tcW w:w="104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977"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16"/>
              </w:rPr>
              <w:t>Accrued Charges at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Charges &amp;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 &amp;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16"/>
              </w:rPr>
              <w:t>Accrued Charges at June 30, 2023</w:t>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charges:</w:t>
            </w:r>
          </w:p>
        </w:tc>
        <w:tc>
          <w:tcPr>
            <w:tcW w:w="1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r>
        <w:trPr/>
        <w:tc>
          <w:tcPr>
            <w:tcW w:w="2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Labor reduction costs</w:t>
            </w:r>
            <w:r>
              <w:rPr>
                <w:rFonts w:ascii="Times New Roman;sans-serif" w:hAnsi="Times New Roman;sans-serif"/>
                <w:b w:val="false"/>
                <w:color w:val="000000"/>
                <w:sz w:val="13"/>
              </w:rPr>
              <w:t>(1)</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r>
        <w:trPr/>
        <w:tc>
          <w:tcPr>
            <w:tcW w:w="2555"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r>
        <w:trPr/>
        <w:tc>
          <w:tcPr>
            <w:tcW w:w="2555"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charges</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charges:</w:t>
            </w:r>
          </w:p>
        </w:tc>
        <w:tc>
          <w:tcPr>
            <w:tcW w:w="19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Acima Holdings restricted stock agreements</w:t>
            </w:r>
            <w:r>
              <w:rPr>
                <w:rFonts w:ascii="Times New Roman;sans-serif" w:hAnsi="Times New Roman;sans-serif"/>
                <w:b w:val="false"/>
                <w:color w:val="000000"/>
                <w:sz w:val="13"/>
              </w:rPr>
              <w:t>(2)</w:t>
            </w:r>
          </w:p>
        </w:tc>
        <w:tc>
          <w:tcPr>
            <w:tcW w:w="1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118,749 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Depreciation and amortization of acquired assets</w:t>
            </w:r>
            <w:r>
              <w:rPr>
                <w:rFonts w:ascii="Times New Roman;sans-serif" w:hAnsi="Times New Roman;sans-serif"/>
                <w:b w:val="false"/>
                <w:color w:val="000000"/>
                <w:sz w:val="13"/>
              </w:rPr>
              <w:t>(3)</w:t>
            </w:r>
          </w:p>
        </w:tc>
        <w:tc>
          <w:tcPr>
            <w:tcW w:w="1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r>
        <w:trPr/>
        <w:tc>
          <w:tcPr>
            <w:tcW w:w="2555"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r>
        <w:trPr/>
        <w:tc>
          <w:tcPr>
            <w:tcW w:w="2555"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r>
        <w:trPr/>
        <w:tc>
          <w:tcPr>
            <w:tcW w:w="2555"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charges</w:t>
            </w:r>
          </w:p>
        </w:tc>
        <w:tc>
          <w:tcPr>
            <w:tcW w:w="1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155,356 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ans-serif" w:hAnsi="Times New Roman;sans-serif"/>
          <w:b w:val="false"/>
          <w:color w:val="000000"/>
          <w:sz w:val="9"/>
        </w:rPr>
        <w:t xml:space="preserve">(1) </w:t>
      </w:r>
      <w:r>
        <w:rPr>
          <w:rFonts w:ascii="Times New Roman;sans-serif" w:hAnsi="Times New Roman;sans-serif"/>
          <w:b w:val="false"/>
          <w:color w:val="000000"/>
          <w:sz w:val="14"/>
        </w:rPr>
        <w:t>Represents charges incurred and payments related to employee severance.</w:t>
      </w:r>
    </w:p>
    <w:p>
      <w:pPr>
        <w:pStyle w:val="TextBody"/>
        <w:bidi w:val="0"/>
        <w:spacing w:lineRule="auto" w:line="288" w:before="0" w:after="0"/>
        <w:ind w:left="0" w:right="0" w:hanging="180"/>
        <w:jc w:val="both"/>
        <w:rPr/>
      </w:pPr>
      <w:r>
        <w:rPr>
          <w:rFonts w:ascii="Times New Roman;sans-serif" w:hAnsi="Times New Roman;sans-serif"/>
          <w:b w:val="false"/>
          <w:color w:val="000000"/>
          <w:sz w:val="9"/>
        </w:rPr>
        <w:t>(2)</w:t>
      </w:r>
      <w:r>
        <w:rPr>
          <w:color w:val="000000"/>
        </w:rPr>
        <w:t xml:space="preserve"> </w:t>
      </w:r>
      <w:r>
        <w:rPr>
          <w:rFonts w:ascii="Times New Roman;sans-serif" w:hAnsi="Times New Roman;sans-serif"/>
          <w:b w:val="false"/>
          <w:color w:val="000000"/>
          <w:sz w:val="14"/>
        </w:rPr>
        <w:t>Represents stock compensation expense related to common stock issued to Acima Holdings employees under restricted stock agreements as part of the acquisition proceeds subject to vesting restrictions, as described in Note 11.</w:t>
      </w:r>
    </w:p>
    <w:p>
      <w:pPr>
        <w:pStyle w:val="TextBody"/>
        <w:bidi w:val="0"/>
        <w:spacing w:lineRule="auto" w:line="288" w:before="0" w:after="0"/>
        <w:ind w:left="0" w:right="0" w:hanging="180"/>
        <w:jc w:val="both"/>
        <w:rPr/>
      </w:pPr>
      <w:r>
        <w:rPr>
          <w:rFonts w:ascii="Times New Roman;sans-serif" w:hAnsi="Times New Roman;sans-serif"/>
          <w:b w:val="false"/>
          <w:color w:val="000000"/>
          <w:sz w:val="9"/>
        </w:rPr>
        <w:t>(3)</w:t>
      </w:r>
      <w:r>
        <w:rPr>
          <w:color w:val="000000"/>
        </w:rPr>
        <w:t xml:space="preserve"> </w:t>
      </w:r>
      <w:r>
        <w:rPr>
          <w:rFonts w:ascii="Times New Roman;sans-serif" w:hAnsi="Times New Roman;sans-serif"/>
          <w:b w:val="false"/>
          <w:color w:val="000000"/>
          <w:sz w:val="14"/>
        </w:rPr>
        <w:t>Represents amortization of the total fair value of acquired intangible assets and incremental depreciation related to the fair value increase over net book value of acquired software assets in connection with the acquisition of Acima Holdings in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10 - Segment Information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operating segments reported below are the segments for which separate financial information is available and for which segment results are evaluated by the chief operating decision makers. Our operating segments are organized based on factors including, but not limited to, type of business transactions, geographic location and store ownership. Within our operating segments, we offer merchandise for lease from certain basic product categories: furniture, including mattresses, tires, consumer electronics, appliances, tools, handbags, computers, smartphones, and accessories.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Segment information as of and for the three and six months ended June 30, 2023 and 2022 is as follows:</w:t>
      </w:r>
    </w:p>
    <w:tbl>
      <w:tblPr>
        <w:tblW w:w="7380" w:type="dxa"/>
        <w:jc w:val="left"/>
        <w:tblInd w:w="0" w:type="dxa"/>
        <w:tblLayout w:type="fixed"/>
        <w:tblCellMar>
          <w:top w:w="28" w:type="dxa"/>
          <w:left w:w="28" w:type="dxa"/>
          <w:bottom w:w="28" w:type="dxa"/>
          <w:right w:w="28" w:type="dxa"/>
        </w:tblCellMar>
      </w:tblPr>
      <w:tblGrid>
        <w:gridCol w:w="560"/>
        <w:gridCol w:w="378"/>
        <w:gridCol w:w="382"/>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Rent-A-Center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Acima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979,163 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1,071,255 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1,995,224 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2,230,976 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424" w:type="dxa"/>
        <w:jc w:val="left"/>
        <w:tblInd w:w="0" w:type="dxa"/>
        <w:tblLayout w:type="fixed"/>
        <w:tblCellMar>
          <w:top w:w="28" w:type="dxa"/>
          <w:left w:w="28" w:type="dxa"/>
          <w:bottom w:w="28" w:type="dxa"/>
          <w:right w:w="28" w:type="dxa"/>
        </w:tblCellMar>
      </w:tblPr>
      <w:tblGrid>
        <w:gridCol w:w="547"/>
        <w:gridCol w:w="481"/>
        <w:gridCol w:w="486"/>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54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Rent-A-Center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Acima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532,544 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1,012,490 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1,078,638 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275" w:type="dxa"/>
        <w:jc w:val="left"/>
        <w:tblInd w:w="0" w:type="dxa"/>
        <w:tblLayout w:type="fixed"/>
        <w:tblCellMar>
          <w:top w:w="28" w:type="dxa"/>
          <w:left w:w="28" w:type="dxa"/>
          <w:bottom w:w="28" w:type="dxa"/>
          <w:right w:w="28" w:type="dxa"/>
        </w:tblCellMar>
      </w:tblPr>
      <w:tblGrid>
        <w:gridCol w:w="679"/>
        <w:gridCol w:w="597"/>
        <w:gridCol w:w="59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Rent-A-Center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Acima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Corporate</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profit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ans-serif" w:hAnsi="Times New Roman;sans-serif"/>
          <w:b w:val="false"/>
          <w:color w:val="000000"/>
          <w:sz w:val="9"/>
        </w:rPr>
        <w:t xml:space="preserve">(1) </w:t>
      </w:r>
      <w:r>
        <w:rPr>
          <w:rFonts w:ascii="Times New Roman;sans-serif" w:hAnsi="Times New Roman;sans-serif"/>
          <w:b w:val="false"/>
          <w:color w:val="000000"/>
          <w:sz w:val="14"/>
        </w:rPr>
        <w:t>Includes stock compensation expense of $9.3 million and $118.7 million</w:t>
      </w:r>
      <w:r>
        <w:rPr>
          <w:color w:val="000000"/>
        </w:rPr>
        <w:t xml:space="preserve"> </w:t>
      </w:r>
      <w:r>
        <w:rPr>
          <w:rFonts w:ascii="Times New Roman;sans-serif" w:hAnsi="Times New Roman;sans-serif"/>
          <w:b w:val="false"/>
          <w:color w:val="000000"/>
          <w:sz w:val="14"/>
        </w:rPr>
        <w:t>recognized for the three and six months ended June 30, 2023 and $32.9 million and $69.4 million recognized for the three and six months ended June 30, 2022, related to common stock issued to Acima Holdings employees under restricted stock agreements as part of the acquisition consideration subject to vesting restrictions as described in Note 11.</w:t>
      </w:r>
    </w:p>
    <w:p>
      <w:pPr>
        <w:pStyle w:val="TextBody"/>
        <w:bidi w:val="0"/>
        <w:spacing w:before="0" w:after="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235" w:type="dxa"/>
        <w:jc w:val="left"/>
        <w:tblInd w:w="0" w:type="dxa"/>
        <w:tblLayout w:type="fixed"/>
        <w:tblCellMar>
          <w:top w:w="28" w:type="dxa"/>
          <w:left w:w="28" w:type="dxa"/>
          <w:bottom w:w="28" w:type="dxa"/>
          <w:right w:w="28" w:type="dxa"/>
        </w:tblCellMar>
      </w:tblPr>
      <w:tblGrid>
        <w:gridCol w:w="1103"/>
        <w:gridCol w:w="969"/>
        <w:gridCol w:w="97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10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Rent-A-Center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Acima</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Corporate</w:t>
            </w:r>
            <w:r>
              <w:rPr>
                <w:rFonts w:ascii="Times New Roman;sans-serif" w:hAnsi="Times New Roman;sans-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ans-serif" w:hAnsi="Times New Roman;sans-serif"/>
          <w:b w:val="false"/>
          <w:color w:val="000000"/>
          <w:sz w:val="9"/>
        </w:rPr>
        <w:t xml:space="preserve">(1) </w:t>
      </w:r>
      <w:r>
        <w:rPr>
          <w:rFonts w:ascii="Times New Roman;sans-serif" w:hAnsi="Times New Roman;sans-serif"/>
          <w:b w:val="false"/>
          <w:color w:val="000000"/>
          <w:sz w:val="14"/>
        </w:rPr>
        <w:t>Excludes amortization expense of approximately $14.3 million and $28.5 million for the three and six months ended June 30, 2023, compared to $14.3 million and $36.4 million for the three and six months ended June 30, 2022, recorded to Other charges in the Condensed Consolidated Statement of Operations, related to intangible assets acquired upon closing of the Acima Holdings acquisition. See Note 9 for additional information.</w:t>
      </w:r>
    </w:p>
    <w:p>
      <w:pPr>
        <w:pStyle w:val="TextBody"/>
        <w:bidi w:val="0"/>
        <w:spacing w:lineRule="auto" w:line="288" w:before="0" w:after="0"/>
        <w:ind w:left="0" w:right="0" w:hanging="180"/>
        <w:jc w:val="both"/>
        <w:rPr/>
      </w:pPr>
      <w:r>
        <w:rPr>
          <w:rFonts w:ascii="Times New Roman;sans-serif" w:hAnsi="Times New Roman;sans-serif"/>
          <w:b w:val="false"/>
          <w:color w:val="000000"/>
          <w:sz w:val="9"/>
        </w:rPr>
        <w:t xml:space="preserve">(2) </w:t>
      </w:r>
      <w:r>
        <w:rPr>
          <w:rFonts w:ascii="Times New Roman;sans-serif" w:hAnsi="Times New Roman;sans-serif"/>
          <w:b w:val="false"/>
          <w:color w:val="000000"/>
          <w:sz w:val="14"/>
        </w:rPr>
        <w:t>Excludes depreciation expense of approximately $3.9 million and $7.9 million for both the three and six months ended June 30, 2023, compared to $4.0 million and $8.0 million for the three and six months ended June 30, 2022, recorded to Other charges in the Condensed Consolidated Statement of Operations, related to software acquired upon closing of the Acima Holdings acquisition. See Note 9 for additional information.</w:t>
      </w:r>
    </w:p>
    <w:tbl>
      <w:tblPr>
        <w:tblW w:w="7439" w:type="dxa"/>
        <w:jc w:val="left"/>
        <w:tblInd w:w="0" w:type="dxa"/>
        <w:tblLayout w:type="fixed"/>
        <w:tblCellMar>
          <w:top w:w="28" w:type="dxa"/>
          <w:left w:w="28" w:type="dxa"/>
          <w:bottom w:w="28" w:type="dxa"/>
          <w:right w:w="28" w:type="dxa"/>
        </w:tblCellMar>
      </w:tblPr>
      <w:tblGrid>
        <w:gridCol w:w="812"/>
        <w:gridCol w:w="714"/>
        <w:gridCol w:w="72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8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Rent-A-Center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Acima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expenditures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107" w:type="dxa"/>
        <w:jc w:val="left"/>
        <w:tblInd w:w="0" w:type="dxa"/>
        <w:tblLayout w:type="fixed"/>
        <w:tblCellMar>
          <w:top w:w="28" w:type="dxa"/>
          <w:left w:w="28" w:type="dxa"/>
          <w:bottom w:w="28" w:type="dxa"/>
          <w:right w:w="28" w:type="dxa"/>
        </w:tblCellMar>
      </w:tblPr>
      <w:tblGrid>
        <w:gridCol w:w="1118"/>
        <w:gridCol w:w="982"/>
        <w:gridCol w:w="990"/>
        <w:gridCol w:w="211"/>
        <w:gridCol w:w="826"/>
        <w:gridCol w:w="109"/>
        <w:gridCol w:w="109"/>
        <w:gridCol w:w="109"/>
        <w:gridCol w:w="109"/>
        <w:gridCol w:w="273"/>
        <w:gridCol w:w="1072"/>
        <w:gridCol w:w="199"/>
      </w:tblGrid>
      <w:tr>
        <w:trPr/>
        <w:tc>
          <w:tcPr>
            <w:tcW w:w="111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rent rental merchandise, net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Rent-A-Center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465,095 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Acima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503,795 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on rent rental merchandise,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949,377 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989,869 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527" w:type="dxa"/>
        <w:jc w:val="left"/>
        <w:tblInd w:w="0" w:type="dxa"/>
        <w:tblLayout w:type="fixed"/>
        <w:tblCellMar>
          <w:top w:w="28" w:type="dxa"/>
          <w:left w:w="28" w:type="dxa"/>
          <w:bottom w:w="28" w:type="dxa"/>
          <w:right w:w="28" w:type="dxa"/>
        </w:tblCellMar>
      </w:tblPr>
      <w:tblGrid>
        <w:gridCol w:w="1270"/>
        <w:gridCol w:w="1116"/>
        <w:gridCol w:w="1124"/>
        <w:gridCol w:w="211"/>
        <w:gridCol w:w="826"/>
        <w:gridCol w:w="109"/>
        <w:gridCol w:w="109"/>
        <w:gridCol w:w="109"/>
        <w:gridCol w:w="109"/>
        <w:gridCol w:w="273"/>
        <w:gridCol w:w="1072"/>
        <w:gridCol w:w="199"/>
      </w:tblGrid>
      <w:tr>
        <w:trPr/>
        <w:tc>
          <w:tcPr>
            <w:tcW w:w="127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Held for rent rental merchandise, net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Rent-A-Center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124,117 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Acima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held for rent rental merchandise,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134,959 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4772" w:type="dxa"/>
        <w:jc w:val="left"/>
        <w:tblInd w:w="0" w:type="dxa"/>
        <w:tblLayout w:type="fixed"/>
        <w:tblCellMar>
          <w:top w:w="28" w:type="dxa"/>
          <w:left w:w="28" w:type="dxa"/>
          <w:bottom w:w="28" w:type="dxa"/>
          <w:right w:w="28" w:type="dxa"/>
        </w:tblCellMar>
      </w:tblPr>
      <w:tblGrid>
        <w:gridCol w:w="581"/>
        <w:gridCol w:w="511"/>
        <w:gridCol w:w="512"/>
        <w:gridCol w:w="211"/>
        <w:gridCol w:w="976"/>
        <w:gridCol w:w="109"/>
        <w:gridCol w:w="109"/>
        <w:gridCol w:w="109"/>
        <w:gridCol w:w="109"/>
        <w:gridCol w:w="243"/>
        <w:gridCol w:w="1125"/>
        <w:gridCol w:w="177"/>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by segment</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Rent-A-Center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1,067,875 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Acima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1,198,879 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51,225 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2,336,173 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427,446 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2,585,924 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2,763,619 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11 - Common Stock and Stock-Based Compensation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Stock Repurchase Program</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early December 2021, our Board of Directors authorized a stock repurchase program for up to $500 million (the “December 2021 Program”), which superseded our previous stock repurchase program. Under the December 2021 Program, we may purchase shares of our common stock from time to time in the open market or privately negotiated transactions. We are not obligated to acquire any shares under the program, and the program may be suspended or discontinued at any time. No shares of our common stock were repurchased during the six months ended June 30, 2023 or 2022, and approximately $285.0 million are remaining under the current authorization available for repurchases at June 30, 2023.</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Stock Based Compensation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$6.1 million and $3.6 million in compensation expense related to stock awards issued under the Upbound Group, Inc. Amended 2021 Long-Term Incentive Plan (the “2021 Plan”) and 2016 Long-Term Incentive Plan (the “2016 Plan”) during the three months ended June 30, 2023 and 2022, and $12.4 million and $8.4 million during the six months ended June 30, 2023 and 2022. During the six months ended June 30, 2023, we granted approximately 599,845 market-based performance units and 350,736 time-vesting units under the 2021 Plan. Performance-based restricted stock units are valued using a Monte Carlo simulation. Time-vesting restricted stock units are valued based on our closing stock price on the trading day immediately preceding the date of the grant, or as of the date of modification in the event an award is modified. The weighted-average grant date fair value of the market-based performance and time-vesting restricted stock units granted during the six months ended June 30, 2023 was $32.30 and $26.15, respectively.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of Acima Holdings, LLC in 2021, we issued to the former owners of Acima Holdings 10,779,923 of common shares valued at $51.14 per share, as of the date of closing. Of this total, 2,683,328 common shares were included in the aggregate purchase price of the transaction for financial reporting purposes, while 8,096,595 common shares, valued at $414.1 million, issued under restricted stock agreements and subject to vesting conditions, are recognized as stock compensation expense over the vesting term in accordance with ASC Topic 718, “Stock-based Compensation” and recorded to Other charges in our unaudited Condensed Consolidated Statements of Operations. We recognized $9.3 million and $32.9 million in stock compensation expense related to these restricted stock agreements during the three months ended June 30, 2023 and 2022, and $118.7 million and $69.4 million during the six months ended June 30, 2023 and 2022. Stock compensation expense recognized during the six months ended June 30, 2023 for these restricted stock agreements included $78.4 million attributable to the acceleration of vesting provisions, primarily related to Aaron Allred's transition from Executive Vice President of Acima to an advisory role.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12 - Contingencies </w:t>
      </w:r>
    </w:p>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along with our subsidiaries, are party to various legal proceedings and governmental inquiries arising in the ordinary course of business. We reserve for loss contingencies that are both probable and reasonably estimable. We regularly monitor developments related to these legal proceedings, and review the adequacy of our legal reserves on a quarterly basis. We do not currently expect these losses to have a material impact on our consolidated financial statements if and when such losses are incurred. Nevertheless, we cannot predict the impact of future developments affecting our claims and lawsuits, and any resolution of a claim or lawsuit or reserve within a particular fiscal period may materially and adversely impact our results of operations for that period. In addition, claims and lawsuits against us may seek injunctive or other relief that requires changes to our business practices or operations and it is possible that any required changes may materially and adversely impact our business, financial condition, results of operations or reputation.</w:t>
      </w:r>
    </w:p>
    <w:p>
      <w:pPr>
        <w:pStyle w:val="TextBody"/>
        <w:bidi w:val="0"/>
        <w:spacing w:lineRule="auto" w:line="268" w:before="120" w:after="283"/>
        <w:jc w:val="both"/>
        <w:rPr/>
      </w:pPr>
      <w:r>
        <w:rPr>
          <w:rFonts w:ascii="Times New Roman;sans-serif" w:hAnsi="Times New Roman;sans-serif"/>
          <w:b w:val="false"/>
          <w:i/>
          <w:color w:val="000000"/>
          <w:sz w:val="20"/>
        </w:rPr>
        <w:t>Unclaimed Property.</w:t>
      </w:r>
      <w:r>
        <w:rPr>
          <w:color w:val="000000"/>
        </w:rPr>
        <w:t xml:space="preserve"> </w:t>
      </w:r>
      <w:r>
        <w:rPr>
          <w:rFonts w:ascii="Times New Roman;sans-serif" w:hAnsi="Times New Roman;sans-serif"/>
          <w:b w:val="false"/>
          <w:color w:val="000000"/>
          <w:sz w:val="20"/>
        </w:rPr>
        <w:t xml:space="preserve">We are subject to unclaimed property audits by states in the ordinary course of business. The property subject to review in the audit process includes unclaimed wages, vendor payments and customer refunds. State escheat 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generally require entities to report and remit abandoned and unclaimed property to the state. Failure to timely report and remit the property can result in assessments that could include interest and penalties, in addition to the payment of the escheat liability itself. We routinely remit escheat payments to states and believe we are in compliance with applicable escheat laws.</w:t>
      </w:r>
    </w:p>
    <w:p>
      <w:pPr>
        <w:pStyle w:val="TextBody"/>
        <w:bidi w:val="0"/>
        <w:spacing w:lineRule="auto" w:line="268" w:before="120" w:after="283"/>
        <w:jc w:val="both"/>
        <w:rPr/>
      </w:pPr>
      <w:r>
        <w:rPr>
          <w:rFonts w:ascii="Times New Roman;sans-serif" w:hAnsi="Times New Roman;sans-serif"/>
          <w:b w:val="false"/>
          <w:i/>
          <w:color w:val="000000"/>
          <w:sz w:val="20"/>
        </w:rPr>
        <w:t xml:space="preserve">Acima Consumer Financial Protection Bureau investigation. </w:t>
      </w:r>
      <w:r>
        <w:rPr>
          <w:rFonts w:ascii="Times New Roman;sans-serif" w:hAnsi="Times New Roman;sans-serif"/>
          <w:b w:val="false"/>
          <w:color w:val="000000"/>
          <w:sz w:val="20"/>
        </w:rPr>
        <w:t>Prior to the execution of the definitive agreement to acquire Acima, Acima received a Civil Investigative Demand dated October 1, 2020 (the “CID”) from the Consumer Financial Protection Bureau (the “CFPB”) requesting certain information, documents and data relating to Acima’s products, services and practices for the period from January 1, 2015 to the date on which responses to the CID are provided in full. The purpose of the CID was to determine whether Acima extends credit, offers leases, or otherwise offers or provides a consumer financial product or service and whether Acima complies with certain consumer financial protection laws. After the original CID, the CFPB issued subsequent CIDs requesting further information, documents and testimony. Acima has completed its responses to all CIDs and has been cooperating with the CFPB throughout their investigation.</w:t>
      </w:r>
    </w:p>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May 16, 2023, in accordance with the CFPB’s Notice and Opportunity to Respond and Advise (NORA) process, the CFPB staff notified Acima that the staff may allege that Acima violated the Consumer Financial Protection Act of 2010; the Truth in Lending Act and its implementing regulation, Regulation Z; the Electronic Fund Transfer Act and its implementing regulation, Regulation E; and the Fair Credit Reporting Act and its implementing regulation, Regulation V. The CFPB staff further stated that the CFPB’s Office of Enforcement may recommend that the CFPB take legal action against Acima based on these potential allegations, and in connection therewith, the staff may seek remedies including restitution, disgorgement, damages, injunctive relief, and civil money penalties. On June 20, 2023, Acima submitted its response to the NORA notice, in which Acima asserted that the staff’s potential allegations lacked merit.</w:t>
      </w:r>
    </w:p>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the date of this report on Form 10-Q, we have not yet received the CFPB’s response to the NORA process and Acima’s submission. We are currently unable to predict the CFPB’s response to the NORA process or the ultimate timing or outcome of the CFPB investigation or any legal proceedings arising therefrom.</w:t>
      </w:r>
    </w:p>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the terms and subject to the conditions set forth in the definitive agreement to acquire Acima, the former owners of Acima agreed to indemnify Upbound Group, Inc. for certain losses arising after the consummation of the transaction with respect to the CID. The indemnification obligations of the former owners of Acima with respect to the CID are limited to the remaining amount of an indemnity holdback which is now $45 million of a $50 million initial holdback for the CID and other matters, which was escrowed at the closing of the transaction, and will be Upbound Group, Inc.’s sole recourse against the former owners of Acima with respect to all of the indemnifiable claims under the definitive transaction agreement. In respect of the CID, other than with respect to any then-pending or unresolved claims for indemnification submitted by Upbound Group, Inc., remaining escrowed funds will be released on the earlier of February 17, 2024 and the date on which a final determination is entered providing for a resolution of the matters regarding the CID. In the event there is not a final determination resolving the CFPB matter by February 17, 2024, any amounts in excess of our estimated losses may be released from the escrow holdback to the former owners of Acima. On May 19, 2023, in light of the above-referenced NORA notice, Upbound Group, Inc. submitted an indemnification claim notice pursuant to the definitive merger agreement with Acima.</w:t>
      </w:r>
    </w:p>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such escrowed amount will be sufficient to address all covered losses or that the CFPB’s ongoing investigation or future exercise of its enforcement, regulatory, discretionary or other powers will not result in findings or alleged violations of consumer financial protection laws that could lead to enforcement actions, proceedings or litigation, whether by the CFPB, other state or federal agencies, or other parties, and the imposition of damages, fines, penalties, restitution, other monetary liabilities, sanctions, settlements or changes to Acima’s business practices or operations that could materially and adversely affect our business, financial condition, results of operations or reputation.</w:t>
      </w:r>
    </w:p>
    <w:p>
      <w:pPr>
        <w:pStyle w:val="TextBody"/>
        <w:bidi w:val="0"/>
        <w:spacing w:lineRule="auto" w:line="268" w:before="120" w:after="283"/>
        <w:jc w:val="both"/>
        <w:rPr/>
      </w:pPr>
      <w:r>
        <w:rPr>
          <w:rFonts w:ascii="Times New Roman;sans-serif" w:hAnsi="Times New Roman;sans-serif"/>
          <w:b w:val="false"/>
          <w:i/>
          <w:color w:val="000000"/>
          <w:sz w:val="20"/>
        </w:rPr>
        <w:t>Massachusetts Attorney General.</w:t>
      </w:r>
      <w:r>
        <w:rPr>
          <w:color w:val="000000"/>
        </w:rPr>
        <w:t xml:space="preserve"> </w:t>
      </w:r>
      <w:r>
        <w:rPr>
          <w:rFonts w:ascii="Times New Roman;sans-serif" w:hAnsi="Times New Roman;sans-serif"/>
          <w:b w:val="false"/>
          <w:color w:val="000000"/>
          <w:sz w:val="20"/>
        </w:rPr>
        <w:t>The Massachusetts Attorney General (the “MAG”) issued a civil investigative demand in 2018 seeking information with respect to certain of our business practices, including regarding account management and certain other business practices in connection with our lease-to-own transactions. Since receiving such demand, we have cooperated with the MAG in connection with its investigation. In June 2021, the MAG provided us with proposed settlement terms including a monetary payment, injunctive provisions regarding certain business practices and compliance requirements. We are continuing to cooperate and discuss resolution of the inquiry with the MAG. We are currently una</w:t>
      </w:r>
      <w:r>
        <w:rPr>
          <w:rFonts w:ascii="Times New Roman;sans-serif" w:hAnsi="Times New Roman;sans-serif"/>
          <w:b w:val="false"/>
          <w:color w:val="000000"/>
          <w:sz w:val="20"/>
          <w:shd w:fill="FFFFFF" w:val="clear"/>
        </w:rPr>
        <w:t>ble to predict the ultimate timing or outcome of the MAG investigation.</w:t>
      </w:r>
    </w:p>
    <w:p>
      <w:pPr>
        <w:pStyle w:val="TextBody"/>
        <w:bidi w:val="0"/>
        <w:spacing w:lineRule="auto" w:line="268" w:before="120" w:after="283"/>
        <w:jc w:val="both"/>
        <w:rPr/>
      </w:pPr>
      <w:r>
        <w:rPr>
          <w:rFonts w:ascii="Times New Roman;sans-serif" w:hAnsi="Times New Roman;sans-serif"/>
          <w:b w:val="false"/>
          <w:i/>
          <w:color w:val="000000"/>
          <w:sz w:val="20"/>
          <w:shd w:fill="FFFFFF" w:val="clear"/>
        </w:rPr>
        <w:t>State Attorneys General Investigation.</w:t>
      </w:r>
      <w:r>
        <w:rPr>
          <w:color w:val="000000"/>
          <w:shd w:fill="FFFFFF" w:val="clear"/>
        </w:rPr>
        <w:t xml:space="preserve"> </w:t>
      </w:r>
      <w:r>
        <w:rPr>
          <w:rFonts w:ascii="Times New Roman;sans-serif" w:hAnsi="Times New Roman;sans-serif"/>
          <w:b w:val="false"/>
          <w:color w:val="000000"/>
          <w:sz w:val="20"/>
          <w:shd w:fill="FFFFFF" w:val="clear"/>
        </w:rPr>
        <w:t>On November 1, 2021, Acima received a letter from the Nebraska Attorney General’s office stating that the Attorney General of Nebraska, along with a coalition of thirty-eight state Attorneys General, initiated a multi-state investigation into the business acts and practices of Acima and that a civil investigative demand(s) and/or subpoena(s) pursuant to respective state consumer protection laws will be forthcoming. Since receiving the letter, we have held multiple discussions with officials at the lead attorneys general offices and, based on those discussions, it is our understanding that the investigation is looking at business practices within the virtual lease-to-own industry and includes or will include multiple companies. In April 2022, we received a request for information and documents. Acima is cooperating with the investigation and is currently in the process of producing requested information.</w:t>
      </w:r>
      <w:r>
        <w:rPr>
          <w:color w:val="000000"/>
          <w:shd w:fill="FFFFFF" w:val="clear"/>
        </w:rPr>
        <w:t xml:space="preserve"> </w:t>
      </w:r>
      <w:r>
        <w:rPr>
          <w:rFonts w:ascii="Times New Roman;sans-serif" w:hAnsi="Times New Roman;sans-serif"/>
          <w:b w:val="false"/>
          <w:color w:val="000000"/>
          <w:sz w:val="20"/>
          <w:shd w:fill="FFFFFF" w:val="clear"/>
        </w:rPr>
        <w:t>No specific allegations have been made against Acima pursuant to the invest</w:t>
      </w:r>
      <w:r>
        <w:rPr>
          <w:rFonts w:ascii="Times New Roman;sans-serif" w:hAnsi="Times New Roman;sans-serif"/>
          <w:b w:val="false"/>
          <w:color w:val="000000"/>
          <w:sz w:val="20"/>
        </w:rPr>
        <w:t xml:space="preserve">igation. We are currently unable to predict the eventual scope, timing or outcome of this matter.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68" w:before="120" w:after="283"/>
        <w:jc w:val="both"/>
        <w:rPr/>
      </w:pPr>
      <w:r>
        <w:rPr>
          <w:rFonts w:ascii="Times New Roman;sans-serif" w:hAnsi="Times New Roman;sans-serif"/>
          <w:b w:val="false"/>
          <w:i/>
          <w:color w:val="000000"/>
          <w:sz w:val="20"/>
        </w:rPr>
        <w:t>New York Attorney General.</w:t>
      </w:r>
      <w:r>
        <w:rPr>
          <w:color w:val="000000"/>
        </w:rPr>
        <w:t xml:space="preserve"> </w:t>
      </w:r>
      <w:r>
        <w:rPr>
          <w:rFonts w:ascii="Times New Roman;sans-serif" w:hAnsi="Times New Roman;sans-serif"/>
          <w:b w:val="false"/>
          <w:color w:val="000000"/>
          <w:sz w:val="20"/>
        </w:rPr>
        <w:t>The New York Attorney General (the “NYAG”) issued a subpoena to our Acima subsidiary in January 2020 seeking information with respect to various business practices in connection with Acima’s lease-to-own transactions. Acima received additional subpoenas from the NYAG in August 2021 and July 2023. Since receiving the subpoenas, we have cooperated with the NYAG in connection with its investigation. In March 2023, the NYAG provided Acima with an initial proposed assurance of discontinuance alleging violations of certain consumer laws and seeking injunctive provisions regarding certain business practices, compliance requirements and unspecified payment amounts for restitution and civil penalties. We are continuing to cooperate and discuss resolution of this matter with the NYAG. We are currently unable to predict the ultimate timing or outcome of the NYAG investigation.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13 - Earnings (Loss) Per Common Share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Summarized basic and diluted earnings (loss) per common share were calculated as follows:</w:t>
      </w:r>
    </w:p>
    <w:tbl>
      <w:tblPr>
        <w:tblW w:w="10205" w:type="dxa"/>
        <w:jc w:val="left"/>
        <w:tblInd w:w="0" w:type="dxa"/>
        <w:tblLayout w:type="fixed"/>
        <w:tblCellMar>
          <w:top w:w="28" w:type="dxa"/>
          <w:left w:w="28" w:type="dxa"/>
          <w:bottom w:w="28" w:type="dxa"/>
          <w:right w:w="28" w:type="dxa"/>
        </w:tblCellMar>
      </w:tblPr>
      <w:tblGrid>
        <w:gridCol w:w="1954"/>
        <w:gridCol w:w="1560"/>
        <w:gridCol w:w="1548"/>
        <w:gridCol w:w="211"/>
        <w:gridCol w:w="777"/>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56"/>
      </w:tblGrid>
      <w:tr>
        <w:trPr/>
        <w:tc>
          <w:tcPr>
            <w:tcW w:w="1954"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data)</w:t>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0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Effect of dilutive stock awards</w:t>
            </w:r>
            <w:r>
              <w:rPr>
                <w:rFonts w:ascii="Times New Roman;sans-serif" w:hAnsi="Times New Roman;sans-serif"/>
                <w:b w:val="false"/>
                <w:color w:val="000000"/>
                <w:sz w:val="13"/>
              </w:rPr>
              <w:t>(1) (2)</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dilutive shares</w:t>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59,896 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(loss) earnings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Diluted (loss) earnings per common share</w:t>
            </w:r>
            <w:r>
              <w:rPr>
                <w:rFonts w:ascii="Times New Roman;sans-serif" w:hAnsi="Times New Roman;sans-serif"/>
                <w:b w:val="false"/>
                <w:color w:val="000000"/>
                <w:sz w:val="13"/>
              </w:rPr>
              <w:t>(1) (2)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securities excluded from diluted (loss) earnings per common share:</w:t>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restricted share units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performance share units</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stock options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ans-serif" w:hAnsi="Times New Roman;sans-serif"/>
          <w:b w:val="false"/>
          <w:color w:val="000000"/>
          <w:sz w:val="9"/>
        </w:rPr>
        <w:t>(1)</w:t>
      </w:r>
      <w:r>
        <w:rPr>
          <w:color w:val="000000"/>
        </w:rPr>
        <w:t xml:space="preserve"> </w:t>
      </w:r>
      <w:r>
        <w:rPr>
          <w:rFonts w:ascii="Times New Roman;sans-serif" w:hAnsi="Times New Roman;sans-serif"/>
          <w:b w:val="false"/>
          <w:color w:val="000000"/>
          <w:sz w:val="14"/>
        </w:rPr>
        <w:t>Weighted-average dilutive shares outstanding for the six months ended June 30, 2023 and 2022, includes approximately 0.7 million and 5.2 million common shares, respectively, issued in connection with the acquisition of Acima Holdings and subject to vesting conditions under restricted stock agreements.</w:t>
      </w:r>
    </w:p>
    <w:p>
      <w:pPr>
        <w:pStyle w:val="TextBody"/>
        <w:bidi w:val="0"/>
        <w:spacing w:lineRule="auto" w:line="288" w:before="0" w:after="0"/>
        <w:ind w:left="0" w:right="0" w:hanging="180"/>
        <w:jc w:val="both"/>
        <w:rPr/>
      </w:pPr>
      <w:r>
        <w:rPr>
          <w:rFonts w:ascii="Times New Roman;sans-serif" w:hAnsi="Times New Roman;sans-serif"/>
          <w:b w:val="false"/>
          <w:color w:val="000000"/>
          <w:sz w:val="9"/>
        </w:rPr>
        <w:t>(2)</w:t>
      </w:r>
      <w:r>
        <w:rPr>
          <w:color w:val="000000"/>
        </w:rPr>
        <w:t xml:space="preserve"> </w:t>
      </w:r>
      <w:r>
        <w:rPr>
          <w:rFonts w:ascii="Times New Roman;sans-serif" w:hAnsi="Times New Roman;sans-serif"/>
          <w:b w:val="false"/>
          <w:color w:val="000000"/>
          <w:sz w:val="14"/>
        </w:rPr>
        <w:t>There was no dilutive effect to the loss per common share for the three months ended June 30, 2023 due to the net loss incurred for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includes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can be identified by the fact that they do not relate strictly to historical or current facts. They often include words such as “believes,” “expects,” “anticipates,” “estimates,” “intends,” “plans,” “seeks” or words of similar meaning, or future or conditional verbs, such as “will,” “should,” “could,” “may,” “aims,” “intends,” or “projects.” These forward-looking statements, include, without limitation, those relating to the impact of ongoing challenging macro-economic conditions on our business, operations, financial performance and prospects, the future business prospects and financial performance of our Company following our acquisition of Acima Holdings, LLC (“Acima Holdings”), cost and revenue synergies and other benefits expected to result from the Acima Holdings acquisition, our growth strategies, our expectations, plans and strategy relating to our capital structure and capital allocation, including any share repurchases under our share repurchase program, and other statements that are not historical facts.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forward-looking statement is neither a prediction nor a guarantee of future events or circumstances, and those future events or circumstances may not occur. You should not place undue reliance on forward-looking statements, which speak only as of the date of this Quarterly Report on Form 10-Q. These forward-looking statements are based on currently available operating, financial and competitive information and are subject to various risks and uncertainties. Our actual future results and trends may differ materially and adversely depending on a variety of factors, including, but not limited to, the risks and uncertainties discussed under “Risk Factors” in our Annual Report on Form 10-K for the year ended December 31, 2022 and “Management’s Discussion and Analysis of Financial Condition and Results of Operations” below. Given these risks and uncertainties, you should not rely on forward-looking statements as a prediction of actual results. Any or all of the forward-looking statements contained in this Quarterly Report on Form 10-Q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Except as required by law, we expressly disclaim any obligation to update or revise any forward-looking statements, whether as a result of new information, future events, changes in assumptions or otherwise. Factors that could cause or contribute to these differences include, but are not limited to:</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the possibility that the anticipated benefits from the Acima Holdings acquisition may not be fully realized or may take longer to realize than expected;</w:t>
      </w:r>
    </w:p>
    <w:p>
      <w:pPr>
        <w:pStyle w:val="TextBody"/>
        <w:bidi w:val="0"/>
        <w:spacing w:lineRule="auto" w:line="288" w:before="60" w:after="283"/>
        <w:ind w:left="0" w:right="0" w:hanging="180"/>
        <w:jc w:val="both"/>
        <w:rPr>
          <w:color w:val="000000"/>
        </w:rPr>
      </w:pPr>
      <w:r>
        <w:rPr>
          <w:color w:val="000000"/>
        </w:rPr>
        <w:t xml:space="preserve">• </w:t>
      </w:r>
      <w:r>
        <w:rPr>
          <w:rFonts w:ascii="Times New Roman;sans-serif" w:hAnsi="Times New Roman;sans-serif"/>
          <w:b w:val="false"/>
          <w:color w:val="000000"/>
          <w:sz w:val="20"/>
        </w:rPr>
        <w:t>the possibility that costs, difficulties or disruptions related to the integration of Acima Holdings operations into our other operations will be greater than expected;</w:t>
      </w:r>
    </w:p>
    <w:p>
      <w:pPr>
        <w:pStyle w:val="TextBody"/>
        <w:bidi w:val="0"/>
        <w:spacing w:lineRule="auto" w:line="288" w:before="60" w:after="283"/>
        <w:ind w:left="0" w:right="0" w:hanging="180"/>
        <w:jc w:val="both"/>
        <w:rPr>
          <w:color w:val="000000"/>
        </w:rPr>
      </w:pPr>
      <w:r>
        <w:rPr>
          <w:color w:val="000000"/>
        </w:rPr>
        <w:t xml:space="preserve">• </w:t>
      </w:r>
      <w:r>
        <w:rPr>
          <w:rFonts w:ascii="Times New Roman;sans-serif" w:hAnsi="Times New Roman;sans-serif"/>
          <w:b w:val="false"/>
          <w:color w:val="000000"/>
          <w:sz w:val="20"/>
        </w:rPr>
        <w:t>our ability to (i) effectively adjust to changes in the composition of our offerings and product mix as a result of acquiring Acima Holdings and continue to maintain the quality of existing offerings and (ii) successfully introduce other new product or service offerings on a timely and cost-effective basis;</w:t>
      </w:r>
    </w:p>
    <w:p>
      <w:pPr>
        <w:pStyle w:val="TextBody"/>
        <w:bidi w:val="0"/>
        <w:spacing w:lineRule="auto" w:line="288" w:before="60" w:after="283"/>
        <w:ind w:left="0" w:right="0" w:hanging="180"/>
        <w:jc w:val="both"/>
        <w:rPr>
          <w:color w:val="000000"/>
        </w:rPr>
      </w:pPr>
      <w:r>
        <w:rPr>
          <w:color w:val="000000"/>
        </w:rPr>
        <w:t xml:space="preserve">• </w:t>
      </w:r>
      <w:r>
        <w:rPr>
          <w:rFonts w:ascii="Times New Roman;sans-serif" w:hAnsi="Times New Roman;sans-serif"/>
          <w:b w:val="false"/>
          <w:color w:val="000000"/>
          <w:sz w:val="20"/>
        </w:rPr>
        <w:t>changes in our future cash requirements as a result of the Acima Holdings acquisition, whether caused by unanticipated increases in capital expenditures or working capital needs, unanticipated liabilities or otherwise;</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the impact of the COVID-19 pandemic and subsequent post pandemic impacts and related government and regulatory restrictions issued to combat the pandemic, including adverse changes in such restrictions, the expiration of governmental stimulus programs, and impacts on (i) demand for our lease-to-own products offered in our operating segments, (ii) our Acima retail partners, (iii) our customers and their willingness and ability to satisfy their lease obligations, (iv) our suppliers' ability to satisfy our merchandise needs and related supply chain disruptions, (v) our employees, including our ability to adequately staff our operating locations, (vi) our financial and operational performance, and (vii) our liquidity;</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the general strength of the economy and other economic conditions affecting consumer preferences and spending, including the availability of credit to our target consumers and to other consumers, impacts from the continued inflation, central bank monetary policy initiatives to address inflation concerns, and possible recession or slowdown in economic growth;</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factors affecting the disposable income available to our current and potential customers;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changes in the unemployment rate;</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capital market conditions, including availability of funding sources for us;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changes in our credit ratings;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difficulties encountered in improving the financial and operational performance of our business segments;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risks associated with pricing changes and strategies being deployed in our businesses;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to continue to realize benefits from our initiatives regarding cost-savings and other EBITDA enhancements, efficiencies and working capital improvements;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 xml:space="preserve">our ability to continue to effectively execute our strategic initiatives, including mitigating risks associated with any potential mergers and acquisitions, or refranchising opportunities; </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to identify potential acquisition candidates, complete acquisitions and successfully integrate acquired companies;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failure to manage our store labor and other store expenses, including merchandise losses;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disruptions caused by the operation of our store information management systems or disruptions in the systems of our host retailers;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risks related to our virtual lease-to-own business, including our ability to continue to develop and successfully implement the necessary technologies;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to achieve the benefits expected from our integrated virtual and staffed retail partner offering and to successfully grow this business segment;</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exposure to potential operating margin degradation due to the higher cost of merchandise in our Acima segment and higher merchandise losses than compared to our Rent-A-Center segment;</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transition to more-readily scalable “cloud-based” solutions;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to develop and successfully implement digital or E-commerce capabilities, including mobile applications;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to protect our proprietary intellectual property;</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or that of our host retailers to protect the integrity and security of customer, employee and host retailer information, which may be adversely affected by hacking, computer viruses, or similar disruptions;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impairment of our goodwill or other intangible assets;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disruptions in our supply chain;</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limitations of, or disruptions in, our distribution network;</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rapid inflation or deflation in the prices of our products and other related costs;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allegations of product safety and quality control issues, including recalls;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to execute, as well as the effectiveness of, store consolidations, including our ability to retain the revenue from customer accounts merged into another store location as a result of a store consolidation;</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available cash flow and our ability to generate sufficient cash flow to continue paying dividends;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increased competition from traditional competitors, virtual lease-to-own competitors, online retailers, Buy-Now-Pay-Later and other fintech companies and other competitors, including subprime lenders;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to identify and successfully market products and services that appeal to our current and future targeted customer segments and to accurately estimate the size of the total addressable market;</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consumer preferences and perceptions of our brands;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to effectively provide consumers with additional products and services beyond lease-to-own, including through third party partnerships;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to retain the revenue associated with acquired customer accounts and enhance the performance of acquired stores;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to enter into new rental or lease purchase agreements and collect on our existing rental or lease purchase agreements;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changes in the enforcement of existing laws and regulations and the enactment of new laws and regulations adversely affecting our business, including in connection with the regulatory matters described in Note 12 of our condensed consolidated financial statements, included in this Quarterly Report on Form 10-Q, and any legislative or other regulatory enforcement efforts that seek to re-characterize store-based or virtual lease-to-own transactions as credit sales and to apply consumer credit laws and regulations to our business;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compliance with applicable statutes or regulations governing our businesses;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changes in interest rates;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changes in tariff policies;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adverse changes in the economic conditions of the industries, countries or markets that we serve;</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information technology and data security costs;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the impact of any breaches in data security or other disturbances to our information technology and other networks;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changes in estimates relating to self-insurance liabilities and income tax and litigation reserves;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changes in our effective tax rate;</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fluctuations in foreign currency exchange rates;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to maintain an effective system of internal controls;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litigation or administrative proceedings to which we are or may be a party to from time to time; and</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the other risks detailed from time to time in our reports furnished or filed with the United States Securities and Exchange Commission (the “SEC”).</w:t>
      </w:r>
    </w:p>
    <w:p>
      <w:pPr>
        <w:pStyle w:val="TextBody"/>
        <w:bidi w:val="0"/>
        <w:spacing w:lineRule="auto" w:line="288" w:before="120" w:after="283"/>
        <w:jc w:val="both"/>
        <w:rPr/>
      </w:pPr>
      <w:r>
        <w:rPr>
          <w:rFonts w:ascii="Times New Roman;sans-serif" w:hAnsi="Times New Roman;sans-serif"/>
          <w:b w:val="false"/>
          <w:color w:val="000000"/>
          <w:sz w:val="20"/>
        </w:rPr>
        <w:t>Additional important factors that could cause our actual results to differ materially from our expectations are discussed under the section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our Annual Report on Form 10-K for the year ended December 31, 2022 and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Our Business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leading lease-to-own provider with operations in the United States, Puerto Rico and Mexico. We provide a critical service for a large portion of underserved consumers by providing them with access to, and the opportunity to obtain ownership of, high-quality, durable products under a flexible lease-purchase agreement with no long-term debt obligation. Through our Rent-A-Center business, we provide a fully integrated customer experience through our e-commerce platform and brick and mortar presence. Our Acima business offers lease-to-own solutions through retailers in stores and online enabling such retailers to grow sales by expanding their customer base utilizing our differentiated offering. We were incorporated in the State of Delaware in 1986, and our common stock is traded on the Nasdaq Global Select Market under the ticker symbol “UPBD.”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bidi w:val="0"/>
        <w:spacing w:lineRule="auto" w:line="288" w:before="18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Our Strategy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strategy is focused on serving our mission to elevate financial opportunity for all and growing our business through emphasis on the following key initiatives: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Develop centers of excellence that will be leveraged across the organization to support the various business segments, utilizing best practices and drive efficiency and growth;</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Maximize Rent-A-Center brand awareness and customer loyalty by accelerating the shift to e-commerce, expanding product categories, and improving the fully integrated, omni-channel customer experience;</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Grow penetration with current Acima merchants and attract new merchants to our platform;</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Enhance, upgrade and integrate technology platforms to allow for a seamless consumer experience, merchant and third-party waterfall integration, and simplify the transaction process for the consumer;</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Leverage data analytics capabilities to attract new customers, approve more customers and mitigate risk across all business segments; and</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Execute on market opportunities and enhance our competitive position across both traditional and virtual lease-to-own solutions, and implement complementary products and services that supplement our current offering and provide our customers more financial alternatives.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we pursue our strategy, we may take advantage of joint venture, partnership, or merger and acquisition opportunities from time to time that advance our key initiatives and elevate the financial mobility of underserved consumers.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Recent Developments</w:t>
      </w:r>
    </w:p>
    <w:p>
      <w:pPr>
        <w:pStyle w:val="TextBody"/>
        <w:bidi w:val="0"/>
        <w:spacing w:lineRule="auto" w:line="288" w:before="120" w:after="283"/>
        <w:jc w:val="both"/>
        <w:rPr/>
      </w:pPr>
      <w:r>
        <w:rPr>
          <w:rFonts w:ascii="Times New Roman;sans-serif" w:hAnsi="Times New Roman;sans-serif"/>
          <w:b w:val="false"/>
          <w:i/>
          <w:color w:val="000000"/>
          <w:sz w:val="20"/>
        </w:rPr>
        <w:t>Dividend.</w:t>
      </w:r>
      <w:r>
        <w:rPr>
          <w:color w:val="000000"/>
        </w:rPr>
        <w:t xml:space="preserve"> </w:t>
      </w:r>
      <w:r>
        <w:rPr>
          <w:rFonts w:ascii="Times New Roman;sans-serif" w:hAnsi="Times New Roman;sans-serif"/>
          <w:b w:val="false"/>
          <w:color w:val="000000"/>
          <w:sz w:val="20"/>
        </w:rPr>
        <w:t>On June 7, 2023, we announced that our board of directors approved a quarterly cash dividend of $0.34 per share for the third quarter of 2023. The dividend was paid on July 11, 2023 to our common stockholders of record as of the close of business on June 20,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Business and Operational Trends</w:t>
      </w:r>
    </w:p>
    <w:p>
      <w:pPr>
        <w:pStyle w:val="TextBody"/>
        <w:bidi w:val="0"/>
        <w:spacing w:lineRule="auto" w:line="288" w:before="120" w:after="283"/>
        <w:jc w:val="both"/>
        <w:rPr/>
      </w:pPr>
      <w:r>
        <w:rPr>
          <w:rFonts w:ascii="Times New Roman;sans-serif" w:hAnsi="Times New Roman;sans-serif"/>
          <w:b w:val="false"/>
          <w:i/>
          <w:color w:val="000000"/>
          <w:sz w:val="20"/>
          <w:shd w:fill="FFFFFF" w:val="clear"/>
        </w:rPr>
        <w:t xml:space="preserve">Macroeconomic Conditions. </w:t>
      </w:r>
      <w:r>
        <w:rPr>
          <w:rFonts w:ascii="Times New Roman;sans-serif" w:hAnsi="Times New Roman;sans-serif"/>
          <w:b w:val="false"/>
          <w:color w:val="000000"/>
          <w:sz w:val="20"/>
          <w:shd w:fill="FFFFFF" w:val="clear"/>
        </w:rPr>
        <w:t xml:space="preserve">Beginning in the first quarter of 2020, the worldwide spread of COVID-19 caused significant disruptions to the U.S. and world economies. In response to COVID-19, the U.S. government enacted the Coronavirus Aid,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Relief, and Economic Security Act (the “CARES Act”), providing U.S. citizens and businesses with various stimulus and income tax relief benefits throughout 2020 and early 2021 to help offset immediate negative financial impacts sustained as a result of COVID-19. In addition, we proactively implemented certain response measures, including providing our Rent-A-Center and Acima customers with additional electronic payment methods to facilitate contactless transactions. These response measures resulted in improved customer payment behaviors contributing to higher revenues and lower merchandise losses in 2020 and the first half of 2021.</w:t>
      </w:r>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third quarter of 2021 we began to experience negative customer behavioral trends, including increases in delinquent payments and merchandise loss activity, resulting in declining revenues and increased operating expenses, respectively. These negative trends continued to accelerate in the fourth quarter of 2021, following the expiration of government stimulus and relief programs combined with a significant rise in the US consumer price index, resulting in significant pressure on the discretionary income levels of our consumers. This led us to tighten our underwriting policies in an effort to improve risk management related to the execution of new leases. The continuation of the above trends combined with the tightening of our underwriting policies has reduced the number of active leases with corresponding decreases in lease revenue and operating cash flows.</w:t>
      </w:r>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to the negative trends in customer behavior described above, we have also been impacted by other negative macroeconomic trends, including a condensed labor market, which has contributed to wage inflation, and global supply chain disruptions resulting in reduced product availability and rising product costs.</w:t>
      </w:r>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While the lease-to-own industry has historically remained a resilient business model throughout various economic cycles, the full extent to which our risk management strategy and macro-economic trends (including consumer spending behavior) may impact our business in future periods is uncertain. The continuation of these negative trends may have a material adverse impact on our financial statements, including our results of operations, operating cash flows, liquidity and capital resources.</w:t>
      </w:r>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“Risk Factors” in Part I, Item 1A in our Annual Report on Form 10-K for the year ended December 31, 2022, for additional discussion of operational impacts to our business and additional risks associated with COVID-19 and other macroeconomic conditions.</w:t>
      </w:r>
    </w:p>
    <w:p>
      <w:pPr>
        <w:pStyle w:val="TextBody"/>
        <w:bidi w:val="0"/>
        <w:spacing w:lineRule="auto" w:line="288" w:before="120" w:after="283"/>
        <w:jc w:val="both"/>
        <w:rPr/>
      </w:pPr>
      <w:r>
        <w:rPr>
          <w:rFonts w:ascii="Times New Roman;sans-serif" w:hAnsi="Times New Roman;sans-serif"/>
          <w:b w:val="false"/>
          <w:i/>
          <w:color w:val="000000"/>
          <w:sz w:val="20"/>
        </w:rPr>
        <w:t xml:space="preserve">Rent-A-Center E-commerce revenue. </w:t>
      </w:r>
      <w:r>
        <w:rPr>
          <w:rFonts w:ascii="Times New Roman;sans-serif" w:hAnsi="Times New Roman;sans-serif"/>
          <w:b w:val="false"/>
          <w:color w:val="000000"/>
          <w:sz w:val="20"/>
        </w:rPr>
        <w:t>In recent years, e-commerce revenues have continued to increase as a percentage of total revenue in our Rent-A-Center segment. For the six months ended June 30, 2023 e-commerce revenues represented approximately 26% of total lease-to-own store revenues compared to 23% for the six months ended June 30, 2022. Due to recent trends in consumer shopping behaviors and expectations, we believe e-commerce solutions are an important part of our lease-to-own offering. However, we are unable to quantify the extent to which e-commerce revenues are incremental compared to what our overall revenues would have been in the absence of those e-commerce transactions. In addition, the profitability of e-commerce transactions can be impacted by different merchandise loss factors compared to traditional store-based transactions in the Rent-A-Center segment. Therefore, we are unable to determine with certainty whether the continuation of this trend toward increased e-commerce transactions will have a significant impact to our financial statements in future periods or be favorable or unfavorable to our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focuses on our results of operations and our liquidity and capital resources. You should read this discussion in conjunction with the condensed consolidated financial statements and notes thereto for the six months ended June 30, 2023 included in Part I, Item I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Key Metrics</w:t>
      </w:r>
    </w:p>
    <w:p>
      <w:pPr>
        <w:pStyle w:val="TextBody"/>
        <w:bidi w:val="0"/>
        <w:spacing w:lineRule="auto" w:line="268" w:before="120" w:after="120"/>
        <w:jc w:val="both"/>
        <w:rPr/>
      </w:pPr>
      <w:r>
        <w:rPr>
          <w:rFonts w:ascii="Times New Roman;sans-serif" w:hAnsi="Times New Roman;sans-serif"/>
          <w:b w:val="false"/>
          <w:i/>
          <w:color w:val="000000"/>
          <w:sz w:val="20"/>
        </w:rPr>
        <w:t xml:space="preserve">Gross Merchandise Volume (GMV): </w:t>
      </w:r>
      <w:r>
        <w:rPr>
          <w:rFonts w:ascii="Times New Roman;sans-serif" w:hAnsi="Times New Roman;sans-serif"/>
          <w:b w:val="false"/>
          <w:color w:val="000000"/>
          <w:sz w:val="20"/>
        </w:rPr>
        <w:t xml:space="preserve">The Company defines Gross Merchandise Volume as the retail value in U.S. dollars of merchandise acquired by the Company that is leased to customers through a transaction that occurs within a defined period, net of cancellations. </w:t>
      </w:r>
    </w:p>
    <w:p>
      <w:pPr>
        <w:pStyle w:val="TextBody"/>
        <w:bidi w:val="0"/>
        <w:spacing w:lineRule="auto" w:line="268" w:before="0" w:after="0"/>
        <w:jc w:val="both"/>
        <w:rPr/>
      </w:pPr>
      <w:r>
        <w:rPr>
          <w:rFonts w:ascii="Times New Roman;sans-serif" w:hAnsi="Times New Roman;sans-serif"/>
          <w:b w:val="false"/>
          <w:i/>
          <w:color w:val="000000"/>
          <w:sz w:val="20"/>
        </w:rPr>
        <w:t>Rent-A-Center Lease Portfolio Balance:</w:t>
      </w:r>
      <w:r>
        <w:rPr>
          <w:color w:val="000000"/>
        </w:rPr>
        <w:t xml:space="preserve"> </w:t>
      </w:r>
      <w:r>
        <w:rPr>
          <w:rFonts w:ascii="Times New Roman;sans-serif" w:hAnsi="Times New Roman;sans-serif"/>
          <w:b w:val="false"/>
          <w:color w:val="000000"/>
          <w:sz w:val="20"/>
        </w:rPr>
        <w:t xml:space="preserve">Represents the aggregate dollar value of the expected monthly rental income associated with current active lease agreements from our Rent-A-Center stores and e-commerce platform at the end of any given period. </w:t>
      </w:r>
    </w:p>
    <w:p>
      <w:pPr>
        <w:pStyle w:val="TextBody"/>
        <w:bidi w:val="0"/>
        <w:spacing w:lineRule="auto" w:line="268" w:before="120" w:after="283"/>
        <w:jc w:val="both"/>
        <w:rPr/>
      </w:pPr>
      <w:r>
        <w:rPr>
          <w:rFonts w:ascii="Times New Roman;sans-serif" w:hAnsi="Times New Roman;sans-serif"/>
          <w:b w:val="false"/>
          <w:i/>
          <w:color w:val="000000"/>
          <w:sz w:val="20"/>
        </w:rPr>
        <w:t>Same Store Sales:</w:t>
      </w:r>
      <w:r>
        <w:rPr>
          <w:color w:val="000000"/>
        </w:rPr>
        <w:t xml:space="preserve"> </w:t>
      </w:r>
      <w:r>
        <w:rPr>
          <w:rFonts w:ascii="Times New Roman;sans-serif" w:hAnsi="Times New Roman;sans-serif"/>
          <w:b w:val="false"/>
          <w:color w:val="000000"/>
          <w:sz w:val="20"/>
        </w:rPr>
        <w:t>Same store sales generally represents revenue earned in stores that were operated by us for 13 months or more and are reported on a constant currency basis as a percentage of total revenue earned in stores of the operating segment during the period. The Company excludes any store that receives a certain level of customer accounts from closed stores or acquisitions from the same store revenue base. The receiving store will be eligible for inclusion in the same store revenue base in the 30th full month following account transfer.</w:t>
      </w:r>
    </w:p>
    <w:p>
      <w:pPr>
        <w:pStyle w:val="TextBody"/>
        <w:bidi w:val="0"/>
        <w:spacing w:lineRule="auto" w:line="268" w:before="120" w:after="283"/>
        <w:jc w:val="both"/>
        <w:rPr/>
      </w:pPr>
      <w:r>
        <w:rPr>
          <w:rFonts w:ascii="Times New Roman;sans-serif" w:hAnsi="Times New Roman;sans-serif"/>
          <w:b w:val="false"/>
          <w:i/>
          <w:color w:val="000000"/>
          <w:sz w:val="20"/>
        </w:rPr>
        <w:t>Skip / Stolen Losses:</w:t>
      </w:r>
      <w:r>
        <w:rPr>
          <w:color w:val="000000"/>
        </w:rPr>
        <w:t xml:space="preserve"> </w:t>
      </w:r>
      <w:r>
        <w:rPr>
          <w:rFonts w:ascii="Times New Roman;sans-serif" w:hAnsi="Times New Roman;sans-serif"/>
          <w:b w:val="false"/>
          <w:color w:val="000000"/>
          <w:sz w:val="20"/>
        </w:rPr>
        <w:t>Represents the charge-off of the net book value of unrecoverable on-rent merchandise with lease-to-own customers who are past due.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briefly summarizes certain of our financial information for the six months ended June 30, 2023 as compared to the six months ended June 30, 2022.</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six months of 2023, consolidated revenues decreased approximately $235.8 million, while operating profit decreased approximately $20.2 million, primarily due to a decrease in gross profit of $66.1 million driven by lower revenues described further below.</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Revenues in our Rent-A-Center segment decreased approximately $57.5 million for the six months ended June 30, 2023 due to a 5.8% decrease in same store sales driven by decreases in rentals and fees revenues and merchandise sales of $31.4 million and $22.2 million, respectively. Operating profit decreased approximately $51.4 million for the six months ended June 30, 2023, primarily due to lower revenues described above. See "Segment Performance" below for further discussion of Rent-A-Center segment operating results for the six months ended June 30, 2023.</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Acima segment revenues decreased approximately $181.3 million for the six months ended June 30, 2023, due to decreases in rentals and fees revenues and merchandise sales of $97.9 million and $83.8 million, respectively, primarily attributable to a decrease in GMV and fewer customers electing early payout options. Operating profit increased approximately $71.5 million for the six months ended June 30, 2023, primarily due to decreases in other store expenses and labor costs of approximately $61.6 million and $12.9 million, respectively. See "Segment Performance" below for further discussion of Acima segment operating results for the six months ended June 30, 2023.</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Mexico segment revenues increased by 10.7% for the six months ended June 30, 2023, contributing to an increase in gross profit of 11.0%, or $2.5 million. Operating profit, however, decreased $1.7 million for the six months ended June 30, 2023, primarily due to an increase in other store expenses of $3.0 million. See "Segment Performance" below for further discussion of Mexico segment operating results for the six months ended June 30, 2023.</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Revenues for the Franchising segment decreased $0.4 million for the six months ended June 30, 2023, primarily due to a decrease in royalty income and fees.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flow from operations was $142.0 million for the six months ended June 30, 2023. As of June 30, 2023, we held $86.8 million of cash and cash equivalents and had outstanding indebtedness of $1.3 billion.</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reference for the discussion that follows.</w:t>
      </w:r>
    </w:p>
    <w:tbl>
      <w:tblPr>
        <w:tblW w:w="11555" w:type="dxa"/>
        <w:jc w:val="left"/>
        <w:tblInd w:w="0" w:type="dxa"/>
        <w:tblLayout w:type="fixed"/>
        <w:tblCellMar>
          <w:top w:w="28" w:type="dxa"/>
          <w:left w:w="28" w:type="dxa"/>
          <w:bottom w:w="28" w:type="dxa"/>
          <w:right w:w="28" w:type="dxa"/>
        </w:tblCellMar>
      </w:tblPr>
      <w:tblGrid>
        <w:gridCol w:w="584"/>
        <w:gridCol w:w="263"/>
        <w:gridCol w:w="264"/>
        <w:gridCol w:w="196"/>
        <w:gridCol w:w="736"/>
        <w:gridCol w:w="109"/>
        <w:gridCol w:w="109"/>
        <w:gridCol w:w="109"/>
        <w:gridCol w:w="109"/>
        <w:gridCol w:w="196"/>
        <w:gridCol w:w="736"/>
        <w:gridCol w:w="109"/>
        <w:gridCol w:w="109"/>
        <w:gridCol w:w="109"/>
        <w:gridCol w:w="109"/>
        <w:gridCol w:w="196"/>
        <w:gridCol w:w="661"/>
        <w:gridCol w:w="109"/>
        <w:gridCol w:w="109"/>
        <w:gridCol w:w="109"/>
        <w:gridCol w:w="109"/>
        <w:gridCol w:w="283"/>
        <w:gridCol w:w="288"/>
        <w:gridCol w:w="256"/>
        <w:gridCol w:w="109"/>
        <w:gridCol w:w="109"/>
        <w:gridCol w:w="109"/>
        <w:gridCol w:w="196"/>
        <w:gridCol w:w="871"/>
        <w:gridCol w:w="109"/>
        <w:gridCol w:w="109"/>
        <w:gridCol w:w="109"/>
        <w:gridCol w:w="109"/>
        <w:gridCol w:w="196"/>
        <w:gridCol w:w="871"/>
        <w:gridCol w:w="109"/>
        <w:gridCol w:w="109"/>
        <w:gridCol w:w="109"/>
        <w:gridCol w:w="109"/>
        <w:gridCol w:w="196"/>
        <w:gridCol w:w="751"/>
        <w:gridCol w:w="109"/>
        <w:gridCol w:w="109"/>
        <w:gridCol w:w="109"/>
        <w:gridCol w:w="109"/>
        <w:gridCol w:w="283"/>
        <w:gridCol w:w="288"/>
        <w:gridCol w:w="301"/>
      </w:tblGrid>
      <w:tr>
        <w:trPr/>
        <w:tc>
          <w:tcPr>
            <w:tcW w:w="5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 amounts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Rentals and fees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1,614,273 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1,740,345 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Merchandise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Installment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store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1,936,705 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(235,284)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Merchandise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Royalty income and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1,995,224 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2,230,976 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(235,752)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rentals and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merchandise sold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installment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 of store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(169,948)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cost of merchandise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 of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(169,604)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506,226 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1,078,638 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Store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store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963,572 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1,009,515 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(loss)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earnings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(331.3)</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Three Months Ended June 30, 2023, compared to Three Months Ended June 30, 2022 </w:t>
      </w:r>
    </w:p>
    <w:p>
      <w:pPr>
        <w:pStyle w:val="TextBody"/>
        <w:bidi w:val="0"/>
        <w:spacing w:lineRule="auto" w:line="288" w:before="120" w:after="283"/>
        <w:jc w:val="both"/>
        <w:rPr/>
      </w:pPr>
      <w:r>
        <w:rPr>
          <w:rFonts w:ascii="Times New Roman;sans-serif" w:hAnsi="Times New Roman;sans-serif"/>
          <w:b w:val="false"/>
          <w:i/>
          <w:color w:val="000000"/>
          <w:sz w:val="20"/>
        </w:rPr>
        <w:t>Store Revenue.</w:t>
      </w:r>
      <w:r>
        <w:rPr>
          <w:color w:val="000000"/>
        </w:rPr>
        <w:t> </w:t>
      </w:r>
      <w:r>
        <w:rPr>
          <w:rFonts w:ascii="Times New Roman;sans-serif" w:hAnsi="Times New Roman;sans-serif"/>
          <w:b w:val="false"/>
          <w:color w:val="000000"/>
          <w:sz w:val="20"/>
        </w:rPr>
        <w:t>Total store revenue decreased by $88.0 million, or 8.5%, to $949.7 million for the three months ended June 30, 2023, from $1,037.7 million for the three months ended June 30, 2022. This decrease was primarily due to decreases of approximately $65.8 million and $24.0 million in revenues in the Acima and Rent-A-Center segments, respectively, as discussed further in the “Segment Performance” section below.</w:t>
      </w:r>
    </w:p>
    <w:p>
      <w:pPr>
        <w:pStyle w:val="TextBody"/>
        <w:bidi w:val="0"/>
        <w:spacing w:lineRule="auto" w:line="288" w:before="120" w:after="283"/>
        <w:jc w:val="both"/>
        <w:rPr/>
      </w:pPr>
      <w:r>
        <w:rPr>
          <w:rFonts w:ascii="Times New Roman;sans-serif" w:hAnsi="Times New Roman;sans-serif"/>
          <w:b w:val="false"/>
          <w:i/>
          <w:color w:val="000000"/>
          <w:sz w:val="20"/>
        </w:rPr>
        <w:t>Cost of Rentals and Fees.</w:t>
      </w:r>
      <w:r>
        <w:rPr>
          <w:color w:val="000000"/>
        </w:rPr>
        <w:t> </w:t>
      </w:r>
      <w:r>
        <w:rPr>
          <w:rFonts w:ascii="Times New Roman;sans-serif" w:hAnsi="Times New Roman;sans-serif"/>
          <w:b w:val="false"/>
          <w:color w:val="000000"/>
          <w:sz w:val="20"/>
        </w:rPr>
        <w:t xml:space="preserve">Cost of rentals and fees consists primarily of depreciation of rental merchandise. Cost of rentals and fees for the three months ended June 30, 2023 decreased by $28.2 million, or 8.8%, to $291.7 million as compared to $319.9 million in 2022. The decrease was primarily attributable to a decrease of approximately $27.9 million in the Acima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segment. Cost of rentals and fees expressed as a percentage of rentals and fees revenue was 36.1% for the three months ended June 30, 2023, as compared to 37.3% in 2022.</w:t>
      </w:r>
    </w:p>
    <w:p>
      <w:pPr>
        <w:pStyle w:val="TextBody"/>
        <w:bidi w:val="0"/>
        <w:spacing w:lineRule="auto" w:line="288" w:before="120" w:after="283"/>
        <w:jc w:val="both"/>
        <w:rPr/>
      </w:pPr>
      <w:r>
        <w:rPr>
          <w:rFonts w:ascii="Times New Roman;sans-serif" w:hAnsi="Times New Roman;sans-serif"/>
          <w:b w:val="false"/>
          <w:i/>
          <w:color w:val="000000"/>
          <w:sz w:val="20"/>
        </w:rPr>
        <w:t>Cost of Merchandise Sold. </w:t>
      </w:r>
      <w:r>
        <w:rPr>
          <w:rFonts w:ascii="Times New Roman;sans-serif" w:hAnsi="Times New Roman;sans-serif"/>
          <w:b w:val="false"/>
          <w:color w:val="000000"/>
          <w:sz w:val="20"/>
        </w:rPr>
        <w:t>Cost of merchandise sold decreased by $33.0 million, or 17.8%, to $152.7 million for the three months ended June 30, 2023, from $185.7 million in 2022, primarily attributable to a decrease of $32.6 million in the Acima segment, driven by fewer customers electing early payout options. The gross margin percent of merchandise sales decreased to (22.4)% for the three months ended June 30, 2023, from (15.5)% in 2022, primarily due to fewer customers electing early payout options.</w:t>
      </w:r>
    </w:p>
    <w:p>
      <w:pPr>
        <w:pStyle w:val="TextBody"/>
        <w:bidi w:val="0"/>
        <w:spacing w:lineRule="auto" w:line="288" w:before="120" w:after="283"/>
        <w:jc w:val="both"/>
        <w:rPr/>
      </w:pPr>
      <w:r>
        <w:rPr>
          <w:rFonts w:ascii="Times New Roman;sans-serif" w:hAnsi="Times New Roman;sans-serif"/>
          <w:b w:val="false"/>
          <w:i/>
          <w:color w:val="000000"/>
          <w:sz w:val="20"/>
        </w:rPr>
        <w:t>Gross Profit.</w:t>
      </w:r>
      <w:r>
        <w:rPr>
          <w:color w:val="000000"/>
        </w:rPr>
        <w:t> </w:t>
      </w:r>
      <w:r>
        <w:rPr>
          <w:rFonts w:ascii="Times New Roman;sans-serif" w:hAnsi="Times New Roman;sans-serif"/>
          <w:b w:val="false"/>
          <w:color w:val="000000"/>
          <w:sz w:val="20"/>
        </w:rPr>
        <w:t>Gross profit decreased by $26.3 million, or 4.9%, to $506.2 million for the three months ended June 30, 2023, from $532.5 million in 2022, primarily due to decreases of $21.8 million and $5.4 million in the Rent-A-Center and Acima segments, respectively, as discussed further in the “Segment Performance” section below. Gross profit as a percentage of total revenue increased to 51.7% for the three months ended June 30, 2023, as compared to 49.7% in 2022.</w:t>
      </w:r>
    </w:p>
    <w:p>
      <w:pPr>
        <w:pStyle w:val="TextBody"/>
        <w:bidi w:val="0"/>
        <w:spacing w:lineRule="auto" w:line="288" w:before="120" w:after="283"/>
        <w:jc w:val="both"/>
        <w:rPr/>
      </w:pPr>
      <w:r>
        <w:rPr>
          <w:rFonts w:ascii="Times New Roman;sans-serif" w:hAnsi="Times New Roman;sans-serif"/>
          <w:b w:val="false"/>
          <w:i/>
          <w:color w:val="000000"/>
          <w:sz w:val="20"/>
        </w:rPr>
        <w:t xml:space="preserve">Store Labor. </w:t>
      </w:r>
      <w:r>
        <w:rPr>
          <w:rFonts w:ascii="Times New Roman;sans-serif" w:hAnsi="Times New Roman;sans-serif"/>
          <w:b w:val="false"/>
          <w:color w:val="000000"/>
          <w:sz w:val="20"/>
        </w:rPr>
        <w:t>Store labor decreased by $12.1 million, or 7.4%, to $151.9 million for the three months ended June 30, 2023, as compared to $164.0 million in 2022, primarily due to decreases of $7.0 million and $5.6 million in the Rent-A-Center and Acima segments, respectively, driven by lower operating headcount. Store labor expressed as a percentage of total store revenue was 16.0% for the three months ended June 30, 2023, as compared to 15.8% in 2022.</w:t>
      </w:r>
    </w:p>
    <w:p>
      <w:pPr>
        <w:pStyle w:val="TextBody"/>
        <w:bidi w:val="0"/>
        <w:spacing w:lineRule="auto" w:line="288" w:before="120" w:after="283"/>
        <w:jc w:val="both"/>
        <w:rPr/>
      </w:pPr>
      <w:r>
        <w:rPr>
          <w:rFonts w:ascii="Times New Roman;sans-serif" w:hAnsi="Times New Roman;sans-serif"/>
          <w:b w:val="false"/>
          <w:i/>
          <w:color w:val="000000"/>
          <w:sz w:val="20"/>
        </w:rPr>
        <w:t>Other Store Expenses.</w:t>
      </w:r>
      <w:r>
        <w:rPr>
          <w:color w:val="000000"/>
        </w:rPr>
        <w:t> </w:t>
      </w:r>
      <w:r>
        <w:rPr>
          <w:rFonts w:ascii="Times New Roman;sans-serif" w:hAnsi="Times New Roman;sans-serif"/>
          <w:b w:val="false"/>
          <w:color w:val="000000"/>
          <w:sz w:val="20"/>
        </w:rPr>
        <w:t>Other store expenses decreased by $18.0 million, or 9.0%, to $181.1 million for the three months ended June 30, 2023, as compared to $199.1 million in 2022, primarily due to a decrease of $24.5 million in the Acima segment driven by a $21.0 million decrease in customer stolen merchandise losses, partially offset by an increase of $5.2 million in the Rent-A-Center segment. Please reference the “Segment Performance” section below for additional discussion of segment merchandise losses. Other store expenses expressed as a percentage of total store revenue were 19.1% for the three months ended June 30, 2023, compared to 19.2% in 2022.</w:t>
      </w:r>
    </w:p>
    <w:p>
      <w:pPr>
        <w:pStyle w:val="TextBody"/>
        <w:bidi w:val="0"/>
        <w:spacing w:lineRule="auto" w:line="288" w:before="120" w:after="283"/>
        <w:jc w:val="both"/>
        <w:rPr/>
      </w:pPr>
      <w:r>
        <w:rPr>
          <w:rFonts w:ascii="Times New Roman;sans-serif" w:hAnsi="Times New Roman;sans-serif"/>
          <w:b w:val="false"/>
          <w:i/>
          <w:color w:val="000000"/>
          <w:sz w:val="20"/>
        </w:rPr>
        <w:t>General and Administrative Expenses. </w:t>
      </w:r>
      <w:r>
        <w:rPr>
          <w:rFonts w:ascii="Times New Roman;sans-serif" w:hAnsi="Times New Roman;sans-serif"/>
          <w:b w:val="false"/>
          <w:color w:val="000000"/>
          <w:sz w:val="20"/>
        </w:rPr>
        <w:t>General and administrative expenses increased by $3.9 million, or 8.8%, to $48.8 million for the three months ended June 30, 2023, as compared to $44.9 million in 2022, primarily due to higher incentive compensation. General and administrative expenses expressed as a percentage of total revenue were 5.0% and 4.2% for the three months ended June 30, 2023 and 2022, respectively.</w:t>
      </w:r>
    </w:p>
    <w:p>
      <w:pPr>
        <w:pStyle w:val="TextBody"/>
        <w:bidi w:val="0"/>
        <w:spacing w:lineRule="auto" w:line="288" w:before="120" w:after="283"/>
        <w:jc w:val="both"/>
        <w:rPr/>
      </w:pPr>
      <w:r>
        <w:rPr>
          <w:rFonts w:ascii="Times New Roman;sans-serif" w:hAnsi="Times New Roman;sans-serif"/>
          <w:b w:val="false"/>
          <w:i/>
          <w:color w:val="000000"/>
          <w:sz w:val="20"/>
        </w:rPr>
        <w:t xml:space="preserve">Other Charges. </w:t>
      </w:r>
      <w:r>
        <w:rPr>
          <w:rFonts w:ascii="Times New Roman;sans-serif" w:hAnsi="Times New Roman;sans-serif"/>
          <w:b w:val="false"/>
          <w:color w:val="000000"/>
          <w:sz w:val="20"/>
        </w:rPr>
        <w:t>Other charges decreased by $25.9 million, or 48.2%, to $27.8 million for the three months ended June 30, 2023, as compared to $53.7 million in 2022. Other charges for the three months ended June 30, 2023 primarily included $9.3 million in stock compensation expense related to the vesting of a portion of the equity consideration issued in the acquisition of Acima Holdings and $18.2 million in depreciation and amortization of acquired software and intangible assets. Other charges for the three months ended June 30, 2022 primarily included $32.9 million related to the vesting of a portion of the equity consideration issued in the acquisition of Acima Holdings, $18.2 million in depreciation and amortization of acquired software and intangible assets, $1.2 million in state sales tax assessment reserves, and $1.2 million in Acima retail partner conversion losses.</w:t>
      </w:r>
    </w:p>
    <w:p>
      <w:pPr>
        <w:pStyle w:val="TextBody"/>
        <w:bidi w:val="0"/>
        <w:spacing w:lineRule="auto" w:line="288" w:before="120" w:after="283"/>
        <w:jc w:val="both"/>
        <w:rPr/>
      </w:pPr>
      <w:r>
        <w:rPr>
          <w:rFonts w:ascii="Times New Roman;sans-serif" w:hAnsi="Times New Roman;sans-serif"/>
          <w:b w:val="false"/>
          <w:i/>
          <w:color w:val="000000"/>
          <w:sz w:val="20"/>
        </w:rPr>
        <w:t>Operating Profit.</w:t>
      </w:r>
      <w:r>
        <w:rPr>
          <w:color w:val="000000"/>
        </w:rPr>
        <w:t> </w:t>
      </w:r>
      <w:r>
        <w:rPr>
          <w:rFonts w:ascii="Times New Roman;sans-serif" w:hAnsi="Times New Roman;sans-serif"/>
          <w:b w:val="false"/>
          <w:color w:val="000000"/>
          <w:sz w:val="20"/>
        </w:rPr>
        <w:t>Operating profit increased by $25.9 million to $84.0 million for the three months ended June 30, 2023, as compared to $58.1 million in 2022, primarily due to the decrease of $52.3 million in operating expenses, driven by decreases of $18.0 million and $12.1 million in other store expenses and labor costs described above, partially offset by the decrease in gross profit of $26.3 million described above. Operating profit expressed as a percentage of total revenue was 8.6% for the three months ended June 30, 2023, compared to 5.4% in 2022.</w:t>
      </w:r>
    </w:p>
    <w:p>
      <w:pPr>
        <w:pStyle w:val="TextBody"/>
        <w:bidi w:val="0"/>
        <w:spacing w:lineRule="auto" w:line="288" w:before="120" w:after="283"/>
        <w:jc w:val="both"/>
        <w:rPr/>
      </w:pPr>
      <w:r>
        <w:rPr>
          <w:rFonts w:ascii="Times New Roman;sans-serif" w:hAnsi="Times New Roman;sans-serif"/>
          <w:b w:val="false"/>
          <w:i/>
          <w:color w:val="000000"/>
          <w:sz w:val="20"/>
        </w:rPr>
        <w:t>Income Tax Expense. </w:t>
      </w:r>
      <w:r>
        <w:rPr>
          <w:rFonts w:ascii="Times New Roman;sans-serif" w:hAnsi="Times New Roman;sans-serif"/>
          <w:b w:val="false"/>
          <w:color w:val="000000"/>
          <w:sz w:val="20"/>
        </w:rPr>
        <w:t xml:space="preserve">Income tax expense increased by $83.0 million to $102.4 million for the three months ended June 30, 2023, as compared to $19.4 million in 2022, primarily due to the tax impact of accelerated stock compensation expense recognized in first quarter of 2023, related to restricted stock agreements issued to the former owners of Acima Holdings upon acquisition of Acima Holdings, combined with the increase in earnings before income taxes for the three months ended June 30, 2023 compared to the same period in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both"/>
        <w:rPr/>
      </w:pPr>
      <w:r>
        <w:rPr>
          <w:rFonts w:ascii="Times New Roman;sans-serif" w:hAnsi="Times New Roman;sans-serif"/>
          <w:b/>
          <w:i/>
          <w:color w:val="000000"/>
          <w:sz w:val="20"/>
        </w:rPr>
        <w:t>Six Months Ended June 30, 2023, compared to Six Months Ended June 30, 2022</w:t>
      </w:r>
      <w:r>
        <w:rPr>
          <w:color w:val="000000"/>
        </w:rPr>
        <w:t xml:space="preserve"> </w:t>
      </w:r>
    </w:p>
    <w:p>
      <w:pPr>
        <w:pStyle w:val="TextBody"/>
        <w:bidi w:val="0"/>
        <w:spacing w:lineRule="auto" w:line="288" w:before="120" w:after="283"/>
        <w:jc w:val="both"/>
        <w:rPr/>
      </w:pPr>
      <w:r>
        <w:rPr>
          <w:rFonts w:ascii="Times New Roman;sans-serif" w:hAnsi="Times New Roman;sans-serif"/>
          <w:b w:val="false"/>
          <w:i/>
          <w:color w:val="000000"/>
          <w:sz w:val="20"/>
        </w:rPr>
        <w:t>Store Revenue.</w:t>
      </w:r>
      <w:r>
        <w:rPr>
          <w:color w:val="000000"/>
        </w:rPr>
        <w:t> </w:t>
      </w:r>
      <w:r>
        <w:rPr>
          <w:rFonts w:ascii="Times New Roman;sans-serif" w:hAnsi="Times New Roman;sans-serif"/>
          <w:b w:val="false"/>
          <w:color w:val="000000"/>
          <w:sz w:val="20"/>
        </w:rPr>
        <w:t>Total store revenue decreased by $235.3 million, or 10.8%, to $1,936.7 million for the six months ended June 30, 2023, from $2,172.0 million for the six months ended June 30, 2022. The decrease was primarily due to decrease of approximately $181.3 million and $57.5 million in the Acima and Rent-A-Center segments, respectively, as discussed further in the section “Segment Performance” below.</w:t>
      </w:r>
    </w:p>
    <w:p>
      <w:pPr>
        <w:pStyle w:val="TextBody"/>
        <w:bidi w:val="0"/>
        <w:spacing w:lineRule="auto" w:line="288" w:before="120" w:after="283"/>
        <w:jc w:val="both"/>
        <w:rPr/>
      </w:pPr>
      <w:r>
        <w:rPr>
          <w:rFonts w:ascii="Times New Roman;sans-serif" w:hAnsi="Times New Roman;sans-serif"/>
          <w:b w:val="false"/>
          <w:i/>
          <w:color w:val="000000"/>
          <w:sz w:val="20"/>
        </w:rPr>
        <w:t>Cost of Rentals and Fees.</w:t>
      </w:r>
      <w:r>
        <w:rPr>
          <w:color w:val="000000"/>
        </w:rPr>
        <w:t> </w:t>
      </w:r>
      <w:r>
        <w:rPr>
          <w:rFonts w:ascii="Times New Roman;sans-serif" w:hAnsi="Times New Roman;sans-serif"/>
          <w:b w:val="false"/>
          <w:color w:val="000000"/>
          <w:sz w:val="20"/>
        </w:rPr>
        <w:t xml:space="preserve">Cost of rentals and fees consists primarily of depreciation of rental merchandise. Cost of rentals and fees for the six months ended June 30, 2023, decreased by $69.8 million, or 10.6%, to $588.8 million as compared to $658.6 million in 2022. This decrease in cost of rentals and fees was primarily attributable to an decrease of $73.3 million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Acima segment. Cost of rentals and fees expressed as a percentage of rentals and fees revenue decreased to 36.5% for the six months ended June 30, 2023 as compared to 37.8% in 2022.</w:t>
      </w:r>
    </w:p>
    <w:p>
      <w:pPr>
        <w:pStyle w:val="TextBody"/>
        <w:bidi w:val="0"/>
        <w:spacing w:lineRule="auto" w:line="288" w:before="120" w:after="283"/>
        <w:jc w:val="both"/>
        <w:rPr/>
      </w:pPr>
      <w:r>
        <w:rPr>
          <w:rFonts w:ascii="Times New Roman;sans-serif" w:hAnsi="Times New Roman;sans-serif"/>
          <w:b w:val="false"/>
          <w:i/>
          <w:color w:val="000000"/>
          <w:sz w:val="20"/>
        </w:rPr>
        <w:t>Cost of Merchandise Sold. </w:t>
      </w:r>
      <w:r>
        <w:rPr>
          <w:rFonts w:ascii="Times New Roman;sans-serif" w:hAnsi="Times New Roman;sans-serif"/>
          <w:b w:val="false"/>
          <w:color w:val="000000"/>
          <w:sz w:val="20"/>
        </w:rPr>
        <w:t xml:space="preserve">Cost of merchandise sold decreased by $99.2 million, or 22.7%, to $336.9 million for the six months ended June 30, 2023, from $436.1 million in 2022, primarily attributable to decreases of $93.5 million and $5.6 million in the Acima and Rent-A-Center segments, respectively. The gross margin percent of merchandise sales decreased to (17.1)% for the six months ended June 30, 2023, from (10.8)% in 2022. </w:t>
      </w:r>
    </w:p>
    <w:p>
      <w:pPr>
        <w:pStyle w:val="TextBody"/>
        <w:bidi w:val="0"/>
        <w:spacing w:lineRule="auto" w:line="288" w:before="120" w:after="283"/>
        <w:jc w:val="both"/>
        <w:rPr/>
      </w:pPr>
      <w:r>
        <w:rPr>
          <w:rFonts w:ascii="Times New Roman;sans-serif" w:hAnsi="Times New Roman;sans-serif"/>
          <w:b w:val="false"/>
          <w:i/>
          <w:color w:val="000000"/>
          <w:sz w:val="20"/>
        </w:rPr>
        <w:t>Gross Profit.</w:t>
      </w:r>
      <w:r>
        <w:rPr>
          <w:color w:val="000000"/>
        </w:rPr>
        <w:t> </w:t>
      </w:r>
      <w:r>
        <w:rPr>
          <w:rFonts w:ascii="Times New Roman;sans-serif" w:hAnsi="Times New Roman;sans-serif"/>
          <w:b w:val="false"/>
          <w:color w:val="000000"/>
          <w:sz w:val="20"/>
        </w:rPr>
        <w:t>Gross profit decreased by $66.1 million, or 6.1%, to $1,012.5 million for the six months ended June 30, 2023, from $1,078.6 million in 2022, due primarily to decreases of $53.5 million and $14.5 million in the Rent-A-Center and Acima segments, respectively, as discussed further in the section “Segment Performance” below. Gross profit as a percentage of total revenue increased to 50.7% for the six months ended June 30, 2023, as compared to 48.3% in 2022.</w:t>
      </w:r>
    </w:p>
    <w:p>
      <w:pPr>
        <w:pStyle w:val="TextBody"/>
        <w:bidi w:val="0"/>
        <w:spacing w:lineRule="auto" w:line="288" w:before="120" w:after="283"/>
        <w:jc w:val="both"/>
        <w:rPr/>
      </w:pPr>
      <w:r>
        <w:rPr>
          <w:rFonts w:ascii="Times New Roman;sans-serif" w:hAnsi="Times New Roman;sans-serif"/>
          <w:b w:val="false"/>
          <w:i/>
          <w:color w:val="000000"/>
          <w:sz w:val="20"/>
        </w:rPr>
        <w:t xml:space="preserve">Store Labor. </w:t>
      </w:r>
      <w:r>
        <w:rPr>
          <w:rFonts w:ascii="Times New Roman;sans-serif" w:hAnsi="Times New Roman;sans-serif"/>
          <w:b w:val="false"/>
          <w:color w:val="000000"/>
          <w:sz w:val="20"/>
        </w:rPr>
        <w:t>Store labor decreased by $22.2 million, or 6.7%, to $308.4 million for the six months ended June 30, 2023, as compared to $330.6 million in 2022, primarily attributable to decreases of $12.9 million and $10.4 million in the Acima and Rent-A-Center segments, respectively. Store labor expressed as a percentage of total store revenue was 15.9% for the six months ended June 30, 2023, as compared to 15.2% in 2022.</w:t>
      </w:r>
    </w:p>
    <w:p>
      <w:pPr>
        <w:pStyle w:val="TextBody"/>
        <w:bidi w:val="0"/>
        <w:spacing w:lineRule="auto" w:line="288" w:before="120" w:after="283"/>
        <w:jc w:val="both"/>
        <w:rPr/>
      </w:pPr>
      <w:r>
        <w:rPr>
          <w:rFonts w:ascii="Times New Roman;sans-serif" w:hAnsi="Times New Roman;sans-serif"/>
          <w:b w:val="false"/>
          <w:i/>
          <w:color w:val="000000"/>
          <w:sz w:val="20"/>
        </w:rPr>
        <w:t>Other Store Expenses.</w:t>
      </w:r>
      <w:r>
        <w:rPr>
          <w:color w:val="000000"/>
        </w:rPr>
        <w:t> </w:t>
      </w:r>
      <w:r>
        <w:rPr>
          <w:rFonts w:ascii="Times New Roman;sans-serif" w:hAnsi="Times New Roman;sans-serif"/>
          <w:b w:val="false"/>
          <w:color w:val="000000"/>
          <w:sz w:val="20"/>
        </w:rPr>
        <w:t>Other store expenses decreased by $48.7 million, or 11.4%, to $377.8 million for the six months ended June 30, 2023, as compared to $426.5 million in 2022, due to a decrease of $61.6 million in the Acima segment, primarily attributable to a decrease of $53.1 million in merchandise losses, partially offset by an increase of $9.9 million in the Rent-A-Center segment. Other store expenses expressed as a percentage of total store revenue were 19.5% for the six months ended June 30, 2023, compared to 19.6% in 2022.</w:t>
      </w:r>
    </w:p>
    <w:p>
      <w:pPr>
        <w:pStyle w:val="TextBody"/>
        <w:bidi w:val="0"/>
        <w:spacing w:lineRule="auto" w:line="288" w:before="120" w:after="283"/>
        <w:jc w:val="both"/>
        <w:rPr/>
      </w:pPr>
      <w:r>
        <w:rPr>
          <w:rFonts w:ascii="Times New Roman;sans-serif" w:hAnsi="Times New Roman;sans-serif"/>
          <w:b w:val="false"/>
          <w:i/>
          <w:color w:val="000000"/>
          <w:sz w:val="20"/>
        </w:rPr>
        <w:t>General and Administrative Expenses. </w:t>
      </w:r>
      <w:r>
        <w:rPr>
          <w:rFonts w:ascii="Times New Roman;sans-serif" w:hAnsi="Times New Roman;sans-serif"/>
          <w:b w:val="false"/>
          <w:color w:val="000000"/>
          <w:sz w:val="20"/>
        </w:rPr>
        <w:t>General and administrative expenses decreased by $4.8 million, or 4.7%, to $96.5 million for the six months ended June 30, 2023, as compared to $101.3 million in 2022. General and administrative expenses expressed as a percentage of total revenue were 4.8% for the six months ended June 30, 2023, compared to 4.5% in 2022.</w:t>
      </w:r>
    </w:p>
    <w:p>
      <w:pPr>
        <w:pStyle w:val="TextBody"/>
        <w:bidi w:val="0"/>
        <w:spacing w:lineRule="auto" w:line="288" w:before="120" w:after="283"/>
        <w:jc w:val="both"/>
        <w:rPr/>
      </w:pPr>
      <w:r>
        <w:rPr>
          <w:rFonts w:ascii="Times New Roman;sans-serif" w:hAnsi="Times New Roman;sans-serif"/>
          <w:b w:val="false"/>
          <w:i/>
          <w:color w:val="000000"/>
          <w:sz w:val="20"/>
        </w:rPr>
        <w:t xml:space="preserve">Other Charges. </w:t>
      </w:r>
      <w:r>
        <w:rPr>
          <w:rFonts w:ascii="Times New Roman;sans-serif" w:hAnsi="Times New Roman;sans-serif"/>
          <w:b w:val="false"/>
          <w:color w:val="000000"/>
          <w:sz w:val="20"/>
        </w:rPr>
        <w:t>Other charges increased by $31.6 million to $155.4 million for the six months ended June 30, 2023, as compared to $123.8 million for the six months ended June 30, 2022. Other charges for the six months ended June 30, 2023 primarily included $118.7 million in stock compensation expense related to the vesting of a portion of the equity consideration issued in the acquisition of Acima Holdings, and $36.5 million in depreciation and amortization of acquired software and intangible assets. Other charges for the six months ended June 30, 2022 primarily included $69.4 million in in stock compensation expense related to equity consideration subject to vesting conditions, $44.3 million in depreciation and amortization of acquired software and intangible assets related to the acquisition of Acima Holdings, $4.5 million in software impairment, $4.2 million in employee severance, $1.2 million in state sales tax assessment reserves, and $1.2 million in Acima retail partner conversion losses.</w:t>
      </w:r>
    </w:p>
    <w:p>
      <w:pPr>
        <w:pStyle w:val="TextBody"/>
        <w:bidi w:val="0"/>
        <w:spacing w:lineRule="auto" w:line="288" w:before="120" w:after="283"/>
        <w:jc w:val="both"/>
        <w:rPr/>
      </w:pPr>
      <w:r>
        <w:rPr>
          <w:rFonts w:ascii="Times New Roman;sans-serif" w:hAnsi="Times New Roman;sans-serif"/>
          <w:b w:val="false"/>
          <w:i/>
          <w:color w:val="000000"/>
          <w:sz w:val="20"/>
        </w:rPr>
        <w:t>Operating Profit.</w:t>
      </w:r>
      <w:r>
        <w:rPr>
          <w:color w:val="000000"/>
        </w:rPr>
        <w:t> </w:t>
      </w:r>
      <w:r>
        <w:rPr>
          <w:rFonts w:ascii="Times New Roman;sans-serif" w:hAnsi="Times New Roman;sans-serif"/>
          <w:b w:val="false"/>
          <w:color w:val="000000"/>
          <w:sz w:val="20"/>
        </w:rPr>
        <w:t xml:space="preserve">Operating profit decreased by $20.2 million to $48.9 million for the six months ended June 30, 2023, as compared to $69.1 million in 2022, primarily due to the decrease of $66.1 million in gross profit, partially offset by a decrease of $45.9 million in operating expenses, as described above. Operating profit expressed as a percentage of total revenue was 2.5% for the six months ended June 30, 2023, compared to 3.1% in 2022. </w:t>
      </w:r>
    </w:p>
    <w:p>
      <w:pPr>
        <w:pStyle w:val="TextBody"/>
        <w:bidi w:val="0"/>
        <w:spacing w:lineRule="auto" w:line="288" w:before="120" w:after="283"/>
        <w:jc w:val="both"/>
        <w:rPr/>
      </w:pPr>
      <w:r>
        <w:rPr>
          <w:rFonts w:ascii="Times New Roman;sans-serif" w:hAnsi="Times New Roman;sans-serif"/>
          <w:b w:val="false"/>
          <w:i/>
          <w:color w:val="000000"/>
          <w:sz w:val="20"/>
        </w:rPr>
        <w:t>Income Tax (Benefit) Expense. </w:t>
      </w:r>
      <w:r>
        <w:rPr>
          <w:rFonts w:ascii="Times New Roman;sans-serif" w:hAnsi="Times New Roman;sans-serif"/>
          <w:b w:val="false"/>
          <w:color w:val="000000"/>
          <w:sz w:val="20"/>
        </w:rPr>
        <w:t xml:space="preserve">Income tax (benefit) expense for the six months ended June 30, 2023 was $(7.7) million, as compared to $15.7 million in 2022, primarily due to the tax impact of accelerated stock compensation expense recognized for the six months ended June 30, 2023 related to restricted stock agreements issued to the former owners of Acima Holdings upon acquisition of Acima Holdings, as described in the other charges section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Segment Performance</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Rent-A-Center segment</w:t>
      </w:r>
    </w:p>
    <w:tbl>
      <w:tblPr>
        <w:tblW w:w="11169" w:type="dxa"/>
        <w:jc w:val="left"/>
        <w:tblInd w:w="0" w:type="dxa"/>
        <w:tblLayout w:type="fixed"/>
        <w:tblCellMar>
          <w:top w:w="28" w:type="dxa"/>
          <w:left w:w="28" w:type="dxa"/>
          <w:bottom w:w="28" w:type="dxa"/>
          <w:right w:w="28" w:type="dxa"/>
        </w:tblCellMar>
      </w:tblPr>
      <w:tblGrid>
        <w:gridCol w:w="344"/>
        <w:gridCol w:w="263"/>
        <w:gridCol w:w="264"/>
        <w:gridCol w:w="196"/>
        <w:gridCol w:w="736"/>
        <w:gridCol w:w="109"/>
        <w:gridCol w:w="109"/>
        <w:gridCol w:w="109"/>
        <w:gridCol w:w="109"/>
        <w:gridCol w:w="196"/>
        <w:gridCol w:w="736"/>
        <w:gridCol w:w="109"/>
        <w:gridCol w:w="109"/>
        <w:gridCol w:w="109"/>
        <w:gridCol w:w="109"/>
        <w:gridCol w:w="196"/>
        <w:gridCol w:w="661"/>
        <w:gridCol w:w="109"/>
        <w:gridCol w:w="109"/>
        <w:gridCol w:w="109"/>
        <w:gridCol w:w="109"/>
        <w:gridCol w:w="276"/>
        <w:gridCol w:w="280"/>
        <w:gridCol w:w="256"/>
        <w:gridCol w:w="109"/>
        <w:gridCol w:w="109"/>
        <w:gridCol w:w="109"/>
        <w:gridCol w:w="196"/>
        <w:gridCol w:w="736"/>
        <w:gridCol w:w="109"/>
        <w:gridCol w:w="109"/>
        <w:gridCol w:w="109"/>
        <w:gridCol w:w="109"/>
        <w:gridCol w:w="196"/>
        <w:gridCol w:w="871"/>
        <w:gridCol w:w="109"/>
        <w:gridCol w:w="109"/>
        <w:gridCol w:w="109"/>
        <w:gridCol w:w="109"/>
        <w:gridCol w:w="196"/>
        <w:gridCol w:w="661"/>
        <w:gridCol w:w="109"/>
        <w:gridCol w:w="109"/>
        <w:gridCol w:w="109"/>
        <w:gridCol w:w="109"/>
        <w:gridCol w:w="276"/>
        <w:gridCol w:w="280"/>
        <w:gridCol w:w="256"/>
        <w:gridCol w:w="154"/>
      </w:tblGrid>
      <w:tr>
        <w:trPr/>
        <w:tc>
          <w:tcPr>
            <w:tcW w:w="34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 amounts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profit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Lease portfolio balance</w:t>
            </w:r>
            <w:r>
              <w:rPr>
                <w:rFonts w:ascii="Times New Roman;sans-serif" w:hAnsi="Times New Roman;sans-serif"/>
                <w:b w:val="false"/>
                <w:color w:val="000000"/>
                <w:sz w:val="12"/>
              </w:rPr>
              <w:t>(1)</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Change in same store revenue</w:t>
            </w:r>
            <w:r>
              <w:rPr>
                <w:rFonts w:ascii="Times New Roman;sans-serif" w:hAnsi="Times New Roman;sans-serif"/>
                <w:b w:val="false"/>
                <w:color w:val="000000"/>
                <w:sz w:val="12"/>
              </w:rPr>
              <w:t>(1)</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Stores in same store revenue calculation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9"/>
        </w:rPr>
        <w:t>(1)</w:t>
      </w:r>
      <w:r>
        <w:rPr>
          <w:color w:val="000000"/>
        </w:rPr>
        <w:t xml:space="preserve"> </w:t>
      </w:r>
      <w:r>
        <w:rPr>
          <w:rFonts w:ascii="Times New Roman;sans-serif" w:hAnsi="Times New Roman;sans-serif"/>
          <w:b w:val="false"/>
          <w:color w:val="000000"/>
          <w:sz w:val="14"/>
        </w:rPr>
        <w:t>See Key Metrics described above for additional information</w:t>
      </w:r>
    </w:p>
    <w:p>
      <w:pPr>
        <w:pStyle w:val="TextBody"/>
        <w:bidi w:val="0"/>
        <w:spacing w:lineRule="auto" w:line="288" w:before="120" w:after="283"/>
        <w:jc w:val="both"/>
        <w:rPr/>
      </w:pPr>
      <w:r>
        <w:rPr>
          <w:rFonts w:ascii="Times New Roman;sans-serif" w:hAnsi="Times New Roman;sans-serif"/>
          <w:b w:val="false"/>
          <w:i/>
          <w:color w:val="000000"/>
          <w:sz w:val="20"/>
        </w:rPr>
        <w:t xml:space="preserve">Revenues. </w:t>
      </w:r>
      <w:r>
        <w:rPr>
          <w:rFonts w:ascii="Times New Roman;sans-serif" w:hAnsi="Times New Roman;sans-serif"/>
          <w:b w:val="false"/>
          <w:color w:val="000000"/>
          <w:sz w:val="20"/>
        </w:rPr>
        <w:t>The decrease in revenue for the three and six months ended June 30, 2023, as compared to 2022, were primarily due to decreases in same store sales of 4.9% and 5.8%, respectively, driven by decreases in rentals and fees revenues of $14.8 million and $31.4 million, and decreases in merchandise sales of $6.7 million and $22.2 million, respectively, primarily attributable to a decrease in our lease portfolio balance, and fewer customers electing early payout options. The segment lease portfolio balance as of June 30, 2023 decreased 4.7% compared to the balance as of June 30, 2022.</w:t>
      </w:r>
    </w:p>
    <w:p>
      <w:pPr>
        <w:pStyle w:val="TextBody"/>
        <w:bidi w:val="0"/>
        <w:spacing w:lineRule="auto" w:line="288" w:before="120" w:after="283"/>
        <w:jc w:val="both"/>
        <w:rPr/>
      </w:pPr>
      <w:r>
        <w:rPr>
          <w:rFonts w:ascii="Times New Roman;sans-serif" w:hAnsi="Times New Roman;sans-serif"/>
          <w:b w:val="false"/>
          <w:i/>
          <w:color w:val="000000"/>
          <w:sz w:val="20"/>
        </w:rPr>
        <w:t>Gross Profit.</w:t>
      </w:r>
      <w:r>
        <w:rPr>
          <w:color w:val="000000"/>
        </w:rPr>
        <w:t> </w:t>
      </w:r>
      <w:r>
        <w:rPr>
          <w:rFonts w:ascii="Times New Roman;sans-serif" w:hAnsi="Times New Roman;sans-serif"/>
          <w:b w:val="false"/>
          <w:color w:val="000000"/>
          <w:sz w:val="20"/>
        </w:rPr>
        <w:t>Gross profit decreased for the three and six months ended June 30, 2023, as compared to 2022, driven primarily by the decrease in revenues described above. Gross profit as a percentage of segment revenues was 70.0% and 69.2% for the three and six months ended June 30, 2023, as compared to 71.0% and 70.5% for the corresponding periods in 2022, primarily due to mix-shift changes between lease merchandise product categories.</w:t>
      </w:r>
    </w:p>
    <w:p>
      <w:pPr>
        <w:pStyle w:val="TextBody"/>
        <w:bidi w:val="0"/>
        <w:spacing w:lineRule="auto" w:line="288" w:before="120" w:after="283"/>
        <w:jc w:val="both"/>
        <w:rPr/>
      </w:pPr>
      <w:r>
        <w:rPr>
          <w:rFonts w:ascii="Times New Roman;sans-serif" w:hAnsi="Times New Roman;sans-serif"/>
          <w:b w:val="false"/>
          <w:i/>
          <w:color w:val="000000"/>
          <w:sz w:val="20"/>
        </w:rPr>
        <w:t>Operating Profit.</w:t>
      </w:r>
      <w:r>
        <w:rPr>
          <w:color w:val="000000"/>
        </w:rPr>
        <w:t> </w:t>
      </w:r>
      <w:r>
        <w:rPr>
          <w:rFonts w:ascii="Times New Roman;sans-serif" w:hAnsi="Times New Roman;sans-serif"/>
          <w:b w:val="false"/>
          <w:color w:val="000000"/>
          <w:sz w:val="20"/>
        </w:rPr>
        <w:t>Operating profit as a percentage of segment revenues was 16.9% and 15.5% for the three and six months ended June 30, 2023, compared to 20.2% and 19.8% for the corresponding periods in 2022. The decrease in operating margin for the three and six months ended June 30, 2023, as compared to 2022, was primarily driven by decreases in revenues and gross profit described above. Charge-offs in our Rent-A-Center lease-to-own stores due to customer stolen merchandise, expressed as a percentage of Rent-A-Center lease-to-own revenues, were approximately 4.5% and 4.7% for the three and six months ended June 30, 2023, compared to 4.2% and 4.1% for the corresponding periods in 2022. Charge-offs in our Rent-A-Center lease-to-own stores due to other merchandise losses, expressed as a percentage of Rent-A-Center lease-to-own revenues, were approximately 1.4% for both the three and six months ended June 30, 2023, compared to approximately 1.6% and 1.7% for the corresponding periods in 2022. Other merchandise losses include unrepairable and missing merchandise, and loss/damage waiver claims.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Acima segment</w:t>
      </w:r>
    </w:p>
    <w:tbl>
      <w:tblPr>
        <w:tblW w:w="11319" w:type="dxa"/>
        <w:jc w:val="left"/>
        <w:tblInd w:w="0" w:type="dxa"/>
        <w:tblLayout w:type="fixed"/>
        <w:tblCellMar>
          <w:top w:w="28" w:type="dxa"/>
          <w:left w:w="28" w:type="dxa"/>
          <w:bottom w:w="28" w:type="dxa"/>
          <w:right w:w="28" w:type="dxa"/>
        </w:tblCellMar>
      </w:tblPr>
      <w:tblGrid>
        <w:gridCol w:w="479"/>
        <w:gridCol w:w="263"/>
        <w:gridCol w:w="264"/>
        <w:gridCol w:w="196"/>
        <w:gridCol w:w="736"/>
        <w:gridCol w:w="109"/>
        <w:gridCol w:w="109"/>
        <w:gridCol w:w="109"/>
        <w:gridCol w:w="109"/>
        <w:gridCol w:w="196"/>
        <w:gridCol w:w="736"/>
        <w:gridCol w:w="109"/>
        <w:gridCol w:w="109"/>
        <w:gridCol w:w="109"/>
        <w:gridCol w:w="109"/>
        <w:gridCol w:w="196"/>
        <w:gridCol w:w="661"/>
        <w:gridCol w:w="109"/>
        <w:gridCol w:w="109"/>
        <w:gridCol w:w="109"/>
        <w:gridCol w:w="109"/>
        <w:gridCol w:w="240"/>
        <w:gridCol w:w="241"/>
        <w:gridCol w:w="256"/>
        <w:gridCol w:w="109"/>
        <w:gridCol w:w="109"/>
        <w:gridCol w:w="109"/>
        <w:gridCol w:w="196"/>
        <w:gridCol w:w="736"/>
        <w:gridCol w:w="109"/>
        <w:gridCol w:w="109"/>
        <w:gridCol w:w="109"/>
        <w:gridCol w:w="109"/>
        <w:gridCol w:w="196"/>
        <w:gridCol w:w="871"/>
        <w:gridCol w:w="109"/>
        <w:gridCol w:w="109"/>
        <w:gridCol w:w="109"/>
        <w:gridCol w:w="109"/>
        <w:gridCol w:w="196"/>
        <w:gridCol w:w="751"/>
        <w:gridCol w:w="109"/>
        <w:gridCol w:w="109"/>
        <w:gridCol w:w="109"/>
        <w:gridCol w:w="109"/>
        <w:gridCol w:w="277"/>
        <w:gridCol w:w="279"/>
        <w:gridCol w:w="256"/>
        <w:gridCol w:w="154"/>
      </w:tblGrid>
      <w:tr>
        <w:trPr/>
        <w:tc>
          <w:tcPr>
            <w:tcW w:w="47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 amounts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(181,340)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profit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Gross merchandise volume</w:t>
            </w:r>
            <w:r>
              <w:rPr>
                <w:rFonts w:ascii="Times New Roman;sans-serif" w:hAnsi="Times New Roman;sans-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9"/>
        </w:rPr>
        <w:t>(1)</w:t>
      </w:r>
      <w:r>
        <w:rPr>
          <w:color w:val="000000"/>
        </w:rPr>
        <w:t xml:space="preserve"> </w:t>
      </w:r>
      <w:r>
        <w:rPr>
          <w:rFonts w:ascii="Times New Roman;sans-serif" w:hAnsi="Times New Roman;sans-serif"/>
          <w:b w:val="false"/>
          <w:color w:val="000000"/>
          <w:sz w:val="14"/>
        </w:rPr>
        <w:t>See Key Metrics described above for additional information</w:t>
      </w:r>
    </w:p>
    <w:p>
      <w:pPr>
        <w:pStyle w:val="TextBody"/>
        <w:bidi w:val="0"/>
        <w:spacing w:lineRule="auto" w:line="288" w:before="120" w:after="283"/>
        <w:jc w:val="both"/>
        <w:rPr/>
      </w:pPr>
      <w:r>
        <w:rPr>
          <w:rFonts w:ascii="Times New Roman;sans-serif" w:hAnsi="Times New Roman;sans-serif"/>
          <w:b w:val="false"/>
          <w:i/>
          <w:color w:val="000000"/>
          <w:sz w:val="20"/>
        </w:rPr>
        <w:t>Revenues</w:t>
      </w:r>
      <w:r>
        <w:rPr>
          <w:rFonts w:ascii="Times New Roman;sans-serif" w:hAnsi="Times New Roman;sans-serif"/>
          <w:b w:val="false"/>
          <w:color w:val="000000"/>
          <w:sz w:val="20"/>
        </w:rPr>
        <w:t>. The decrease in revenues for the three and six months ended June 30, 2023, as compared to 2022, was primarily due to decreases in rentals and fees revenues of $36.6 million and $97.9 million, and decreases in merchandise sales revenue of $29.4 million and $83.8 million, respectively. The decreases in rentals and fees revenue were primarily due to fewer open lease agreements and the decreases in merchandise sales revenues were primarily attributable to decreases in GMV and fewer customers electing early payout options in the current year period.</w:t>
      </w:r>
    </w:p>
    <w:p>
      <w:pPr>
        <w:pStyle w:val="TextBody"/>
        <w:bidi w:val="0"/>
        <w:spacing w:lineRule="auto" w:line="288" w:before="120" w:after="283"/>
        <w:jc w:val="both"/>
        <w:rPr/>
      </w:pPr>
      <w:r>
        <w:rPr>
          <w:rFonts w:ascii="Times New Roman;sans-serif" w:hAnsi="Times New Roman;sans-serif"/>
          <w:b w:val="false"/>
          <w:i/>
          <w:color w:val="000000"/>
          <w:sz w:val="20"/>
        </w:rPr>
        <w:t xml:space="preserve">Gross Profit. </w:t>
      </w:r>
      <w:r>
        <w:rPr>
          <w:rFonts w:ascii="Times New Roman;sans-serif" w:hAnsi="Times New Roman;sans-serif"/>
          <w:b w:val="false"/>
          <w:color w:val="000000"/>
          <w:sz w:val="20"/>
        </w:rPr>
        <w:t>Gross profit as a percentage of segment revenues increased to 34.4% and 33.2% for the three and six months ended June 30, 2023, compared to 31.1% and 29.2% for the corresponding periods in 2022, primarily due to fewer customers executing early purchase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pPr>
      <w:r>
        <w:rPr>
          <w:rFonts w:ascii="Times New Roman;sans-serif" w:hAnsi="Times New Roman;sans-serif"/>
          <w:b w:val="false"/>
          <w:i/>
          <w:color w:val="000000"/>
          <w:sz w:val="20"/>
        </w:rPr>
        <w:t xml:space="preserve">Operating Profit. </w:t>
      </w:r>
      <w:r>
        <w:rPr>
          <w:rFonts w:ascii="Times New Roman;sans-serif" w:hAnsi="Times New Roman;sans-serif"/>
          <w:b w:val="false"/>
          <w:color w:val="000000"/>
          <w:sz w:val="20"/>
        </w:rPr>
        <w:t xml:space="preserve">Operating profit as a percentage of segment revenues increased to 13.6% and 12.3% for the three and six months ended June 30, 2023 compared to 6.8% and 4.0% for the corresponding periods in 2022. Operating profit margin increased for three and six months ended June 30, 2023 as compared to the same period in 2022, primarily due to lower customer stolen merchandise losses of approximately $21.0 million and $53.1 million, and lower labor costs of approximately $5.6 million and $12.9 million, partially offset by lower revenues described above. Charge-offs in our Acima locations due to customer stolen merchandise, expressed as a percentage of revenues, were approximately 8.9% for both the three and six months ended June 30, 2023, compared to 11.6% and 12.1% for the three six months ended June 30, 2022. Charge-offs in our Acima locations due to other merchandise losses, expressed as a percentage of revenues, were negligible for the three months ended June 30, 2023 and approximately 0.1% for the six months ended June 30, 2023, compared to 0.1% for the corresponding periods in 2022. </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Mexico segment</w:t>
      </w:r>
    </w:p>
    <w:tbl>
      <w:tblPr>
        <w:tblW w:w="10205" w:type="dxa"/>
        <w:jc w:val="left"/>
        <w:tblInd w:w="0" w:type="dxa"/>
        <w:tblLayout w:type="fixed"/>
        <w:tblCellMar>
          <w:top w:w="28" w:type="dxa"/>
          <w:left w:w="28" w:type="dxa"/>
          <w:bottom w:w="28" w:type="dxa"/>
          <w:right w:w="28" w:type="dxa"/>
        </w:tblCellMar>
      </w:tblPr>
      <w:tblGrid>
        <w:gridCol w:w="344"/>
        <w:gridCol w:w="263"/>
        <w:gridCol w:w="264"/>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40"/>
        <w:gridCol w:w="241"/>
        <w:gridCol w:w="256"/>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40"/>
        <w:gridCol w:w="241"/>
        <w:gridCol w:w="301"/>
      </w:tblGrid>
      <w:tr>
        <w:trPr/>
        <w:tc>
          <w:tcPr>
            <w:tcW w:w="34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 amounts 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profit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Change in same store revenue</w:t>
            </w:r>
            <w:r>
              <w:rPr>
                <w:rFonts w:ascii="Times New Roman;sans-serif" w:hAnsi="Times New Roman;sans-serif"/>
                <w:b w:val="false"/>
                <w:color w:val="000000"/>
                <w:sz w:val="12"/>
              </w:rPr>
              <w:t>(1)</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Stores in same store revenue calculation</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9"/>
        </w:rPr>
        <w:t>(1)</w:t>
      </w:r>
      <w:r>
        <w:rPr>
          <w:color w:val="000000"/>
        </w:rPr>
        <w:t xml:space="preserve"> </w:t>
      </w:r>
      <w:r>
        <w:rPr>
          <w:rFonts w:ascii="Times New Roman;sans-serif" w:hAnsi="Times New Roman;sans-serif"/>
          <w:b w:val="false"/>
          <w:color w:val="000000"/>
          <w:sz w:val="14"/>
        </w:rPr>
        <w:t>See Key Metrics described above for additional information</w:t>
      </w:r>
    </w:p>
    <w:p>
      <w:pPr>
        <w:pStyle w:val="TextBody"/>
        <w:bidi w:val="0"/>
        <w:spacing w:lineRule="auto" w:line="288" w:before="120" w:after="283"/>
        <w:jc w:val="both"/>
        <w:rPr/>
      </w:pPr>
      <w:r>
        <w:rPr>
          <w:rFonts w:ascii="Times New Roman;sans-serif" w:hAnsi="Times New Roman;sans-serif"/>
          <w:b w:val="false"/>
          <w:i/>
          <w:color w:val="000000"/>
          <w:sz w:val="20"/>
        </w:rPr>
        <w:t>Revenues.</w:t>
      </w:r>
      <w:r>
        <w:rPr>
          <w:color w:val="000000"/>
        </w:rPr>
        <w:t> </w:t>
      </w:r>
      <w:r>
        <w:rPr>
          <w:rFonts w:ascii="Times New Roman;sans-serif" w:hAnsi="Times New Roman;sans-serif"/>
          <w:b w:val="false"/>
          <w:color w:val="000000"/>
          <w:sz w:val="20"/>
        </w:rPr>
        <w:t>Revenues were positively impacted by exchange rate fluctuations of approximately $2.1 million and $3.7 million for the three and six months ended June 30, 2023, as compared to the same period in 2022. On a constant currency basis, revenues for the three and six months ended June 30, 2023 decreased approximately $0.4 million and $0.2 million, compared to the corresponding periods in 2022.</w:t>
      </w:r>
    </w:p>
    <w:p>
      <w:pPr>
        <w:pStyle w:val="TextBody"/>
        <w:bidi w:val="0"/>
        <w:spacing w:lineRule="auto" w:line="288" w:before="120" w:after="283"/>
        <w:jc w:val="both"/>
        <w:rPr/>
      </w:pPr>
      <w:r>
        <w:rPr>
          <w:rFonts w:ascii="Times New Roman;sans-serif" w:hAnsi="Times New Roman;sans-serif"/>
          <w:b w:val="false"/>
          <w:i/>
          <w:color w:val="000000"/>
          <w:sz w:val="20"/>
        </w:rPr>
        <w:t>Gross Profit.</w:t>
      </w:r>
      <w:r>
        <w:rPr>
          <w:color w:val="000000"/>
        </w:rPr>
        <w:t> </w:t>
      </w:r>
      <w:r>
        <w:rPr>
          <w:rFonts w:ascii="Times New Roman;sans-serif" w:hAnsi="Times New Roman;sans-serif"/>
          <w:b w:val="false"/>
          <w:color w:val="000000"/>
          <w:sz w:val="20"/>
        </w:rPr>
        <w:t>Gross profit was positively impacted by exchange rate fluctuations of approximately $1.5 million and $2.6 million for the three and six months ended June 30, 2023, as compared to the same periods in 2022. On a constant currency basis, gross profit for the three and six months ended June 30, 2023 decreased by approximately $0.3 million and $0.1 million as compared to the same periods in 2022. Gross profit as a percentage of segment revenues was 70.7% and 70.9% for the three and six months ended June 30, 2023, compared to 70.7% for the corresponding periods in 2022.</w:t>
      </w:r>
    </w:p>
    <w:p>
      <w:pPr>
        <w:pStyle w:val="TextBody"/>
        <w:bidi w:val="0"/>
        <w:spacing w:lineRule="auto" w:line="288" w:before="120" w:after="283"/>
        <w:jc w:val="both"/>
        <w:rPr/>
      </w:pPr>
      <w:r>
        <w:rPr>
          <w:rFonts w:ascii="Times New Roman;sans-serif" w:hAnsi="Times New Roman;sans-serif"/>
          <w:b w:val="false"/>
          <w:i/>
          <w:color w:val="000000"/>
          <w:sz w:val="20"/>
        </w:rPr>
        <w:t>Operating Profit.</w:t>
      </w:r>
      <w:r>
        <w:rPr>
          <w:color w:val="000000"/>
        </w:rPr>
        <w:t> </w:t>
      </w:r>
      <w:r>
        <w:rPr>
          <w:rFonts w:ascii="Times New Roman;sans-serif" w:hAnsi="Times New Roman;sans-serif"/>
          <w:b w:val="false"/>
          <w:color w:val="000000"/>
          <w:sz w:val="20"/>
        </w:rPr>
        <w:t>Operating profit was positively impacted by exchange rate fluctuations of approximately $0.2 million for both the three and six months ended June 30, 2023, as compared to the same periods in 2022. On a constant currency basis, operating profit for the three and six months ended June 30, 2023 decreased by approximately $0.8 million and $2.0 million as compared to the same periods in 2022. Operating profit as a percentage of segment revenues decreased to 7.0% and 6.4% for the three and six months ended June 30, 2023, compared to 11.7% and 12.4% for the corresponding periods in 2022, primarily due to higher customer stolen merchandise losses.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Franchising segment</w:t>
      </w:r>
    </w:p>
    <w:tbl>
      <w:tblPr>
        <w:tblW w:w="10205" w:type="dxa"/>
        <w:jc w:val="left"/>
        <w:tblInd w:w="0" w:type="dxa"/>
        <w:tblLayout w:type="fixed"/>
        <w:tblCellMar>
          <w:top w:w="28" w:type="dxa"/>
          <w:left w:w="28" w:type="dxa"/>
          <w:bottom w:w="28" w:type="dxa"/>
          <w:right w:w="28" w:type="dxa"/>
        </w:tblCellMar>
      </w:tblPr>
      <w:tblGrid>
        <w:gridCol w:w="373"/>
        <w:gridCol w:w="328"/>
        <w:gridCol w:w="329"/>
        <w:gridCol w:w="196"/>
        <w:gridCol w:w="646"/>
        <w:gridCol w:w="109"/>
        <w:gridCol w:w="109"/>
        <w:gridCol w:w="109"/>
        <w:gridCol w:w="109"/>
        <w:gridCol w:w="196"/>
        <w:gridCol w:w="646"/>
        <w:gridCol w:w="109"/>
        <w:gridCol w:w="109"/>
        <w:gridCol w:w="109"/>
        <w:gridCol w:w="109"/>
        <w:gridCol w:w="196"/>
        <w:gridCol w:w="579"/>
        <w:gridCol w:w="109"/>
        <w:gridCol w:w="109"/>
        <w:gridCol w:w="109"/>
        <w:gridCol w:w="109"/>
        <w:gridCol w:w="244"/>
        <w:gridCol w:w="245"/>
        <w:gridCol w:w="256"/>
        <w:gridCol w:w="109"/>
        <w:gridCol w:w="109"/>
        <w:gridCol w:w="109"/>
        <w:gridCol w:w="196"/>
        <w:gridCol w:w="646"/>
        <w:gridCol w:w="109"/>
        <w:gridCol w:w="109"/>
        <w:gridCol w:w="109"/>
        <w:gridCol w:w="109"/>
        <w:gridCol w:w="196"/>
        <w:gridCol w:w="646"/>
        <w:gridCol w:w="109"/>
        <w:gridCol w:w="109"/>
        <w:gridCol w:w="109"/>
        <w:gridCol w:w="109"/>
        <w:gridCol w:w="196"/>
        <w:gridCol w:w="444"/>
        <w:gridCol w:w="109"/>
        <w:gridCol w:w="109"/>
        <w:gridCol w:w="109"/>
        <w:gridCol w:w="109"/>
        <w:gridCol w:w="199"/>
        <w:gridCol w:w="200"/>
        <w:gridCol w:w="305"/>
      </w:tblGrid>
      <w:tr>
        <w:trPr/>
        <w:tc>
          <w:tcPr>
            <w:tcW w:w="37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 amounts 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profit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jc w:val="both"/>
        <w:rPr/>
      </w:pPr>
      <w:r>
        <w:rPr>
          <w:rFonts w:ascii="Times New Roman;sans-serif" w:hAnsi="Times New Roman;sans-serif"/>
          <w:b w:val="false"/>
          <w:i/>
          <w:color w:val="000000"/>
          <w:sz w:val="20"/>
        </w:rPr>
        <w:t xml:space="preserve">Revenues. </w:t>
      </w:r>
      <w:r>
        <w:rPr>
          <w:rFonts w:ascii="Times New Roman;sans-serif" w:hAnsi="Times New Roman;sans-serif"/>
          <w:b w:val="false"/>
          <w:color w:val="000000"/>
          <w:sz w:val="20"/>
        </w:rPr>
        <w:t>Revenues decreased for the three months ended June 30, 2023 compared to the corresponding period in 2022, primarily due to decreases of $3.6 million in merchandise purchases by franchisees. Revenues decreased for the six months ended June 30, 2023 compared to the corresponding period in 2022, primarily due to a decrease of $1.1 million in royalty income and fees revenue.</w:t>
      </w:r>
    </w:p>
    <w:p>
      <w:pPr>
        <w:pStyle w:val="TextBody"/>
        <w:bidi w:val="0"/>
        <w:spacing w:lineRule="auto" w:line="288" w:before="120" w:after="283"/>
        <w:jc w:val="both"/>
        <w:rPr/>
      </w:pPr>
      <w:r>
        <w:rPr>
          <w:rFonts w:ascii="Times New Roman;sans-serif" w:hAnsi="Times New Roman;sans-serif"/>
          <w:b w:val="false"/>
          <w:i/>
          <w:color w:val="000000"/>
          <w:sz w:val="20"/>
        </w:rPr>
        <w:t>Gross Profit.</w:t>
      </w:r>
      <w:r>
        <w:rPr>
          <w:color w:val="000000"/>
        </w:rPr>
        <w:t> </w:t>
      </w:r>
      <w:r>
        <w:rPr>
          <w:rFonts w:ascii="Times New Roman;sans-serif" w:hAnsi="Times New Roman;sans-serif"/>
          <w:b w:val="false"/>
          <w:color w:val="000000"/>
          <w:sz w:val="20"/>
        </w:rPr>
        <w:t>Gross profit as a percentage of segment revenues was 24.0% and 23.8% for the three and six months ended June 30, 2023, compared to 22.2% and 24.8% for the corresponding periods in 2022, primarily due to the changes in allocation of merchandise sales compared to royalty and fee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pPr>
      <w:r>
        <w:rPr>
          <w:rFonts w:ascii="Times New Roman;sans-serif" w:hAnsi="Times New Roman;sans-serif"/>
          <w:b w:val="false"/>
          <w:i/>
          <w:color w:val="000000"/>
          <w:sz w:val="20"/>
        </w:rPr>
        <w:t>Operating Profit.</w:t>
      </w:r>
      <w:r>
        <w:rPr>
          <w:color w:val="000000"/>
        </w:rPr>
        <w:t> </w:t>
      </w:r>
      <w:r>
        <w:rPr>
          <w:rFonts w:ascii="Times New Roman;sans-serif" w:hAnsi="Times New Roman;sans-serif"/>
          <w:b w:val="false"/>
          <w:color w:val="000000"/>
          <w:sz w:val="20"/>
        </w:rPr>
        <w:t>Operating profit as a percentage of segment revenues was 16.5% and 16.2% for the three and six months ended June 30, 2023 compared to 15.5% and 16.7% for the corresponding periods in 2022, primarily due to the change in gross profit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jc w:val="both"/>
        <w:rPr/>
      </w:pPr>
      <w:r>
        <w:rPr>
          <w:rFonts w:ascii="Times New Roman;sans-serif" w:hAnsi="Times New Roman;sans-serif"/>
          <w:b w:val="false"/>
          <w:i/>
          <w:color w:val="000000"/>
          <w:sz w:val="20"/>
        </w:rPr>
        <w:t>Overview.</w:t>
      </w:r>
      <w:r>
        <w:rPr>
          <w:color w:val="000000"/>
        </w:rPr>
        <w:t xml:space="preserve"> </w:t>
      </w:r>
      <w:r>
        <w:rPr>
          <w:rFonts w:ascii="Times New Roman;sans-serif" w:hAnsi="Times New Roman;sans-serif"/>
          <w:b w:val="false"/>
          <w:color w:val="000000"/>
          <w:sz w:val="20"/>
        </w:rPr>
        <w:t>For the six months ended June 30, 2023, we generated $142.0 million in operating cash flow, and used cash in the amount of $134.2 million for debt repayments, $44.3 million for dividends and $21.4 million for capital expenditures. We ended the second quarter of 2023 with $86.8 million of cash and cash equivalents and outstanding indebtedness of $1.3 billion.</w:t>
      </w:r>
    </w:p>
    <w:p>
      <w:pPr>
        <w:pStyle w:val="TextBody"/>
        <w:bidi w:val="0"/>
        <w:spacing w:lineRule="auto" w:line="288" w:before="120" w:after="283"/>
        <w:jc w:val="both"/>
        <w:rPr/>
      </w:pPr>
      <w:r>
        <w:rPr>
          <w:rFonts w:ascii="Times New Roman;sans-serif" w:hAnsi="Times New Roman;sans-serif"/>
          <w:b w:val="false"/>
          <w:i/>
          <w:color w:val="000000"/>
          <w:sz w:val="20"/>
        </w:rPr>
        <w:t>Analysis of Cash Flow.</w:t>
      </w:r>
      <w:r>
        <w:rPr>
          <w:color w:val="000000"/>
        </w:rPr>
        <w:t xml:space="preserve"> </w:t>
      </w:r>
      <w:r>
        <w:rPr>
          <w:rFonts w:ascii="Times New Roman;sans-serif" w:hAnsi="Times New Roman;sans-serif"/>
          <w:b w:val="false"/>
          <w:color w:val="000000"/>
          <w:sz w:val="20"/>
        </w:rPr>
        <w:t>Cash provided by operating activities decreased by $145.1 million to $142.0 million for the six months ended June 30, 2023, from $287.1 million in 2022, primarily due to an increase in inventory purchases and decrease in net earnings of approximately $13.8 million.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decreased to $21.4 million for the six months ended June 30, 2023, compared to $31.3 million in 2022, primarily due to lower investment in store-related assets in our Rent-A-Center segment, partially offset by additional investment in Corporate software assets for the six months ended June 30, 2023.</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 decreased to $180.0 million for the six months ended June 30, 2023, compared to $252.0 million in 2022, primarily due to higher debt repayments of $160.2 million partially offset by debt proceeds received of $90.0 million in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val="false"/>
          <w:i/>
          <w:color w:val="000000"/>
          <w:sz w:val="20"/>
        </w:rPr>
        <w:t>Liquidity Requirements</w:t>
      </w:r>
      <w:r>
        <w:rPr>
          <w:rFonts w:ascii="Times New Roman;sans-serif" w:hAnsi="Times New Roman;sans-serif"/>
          <w:b w:val="false"/>
          <w:color w:val="000000"/>
          <w:sz w:val="20"/>
        </w:rPr>
        <w:t>. Our primary liquidity requirements are for rental merchandise purchases. Other capital requirements include expenditures for property assets, and debt service. Our primary sources of liquidity have been cash provided by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utilize our ABL Credit Facility for the issuance of letters of credit, as well as to manage normal fluctuations in operational cash flow caused by the timing of cash receipts. In that regard, we may from time to time draw funds under the ABL Credit Facility for general corporate purposes. Amounts are drawn as needed due to the timing of cash flows and are generally paid down as cash is generated by our operating activities. We believe cash flow generated from operations and availability under our ABL Credit Facility will be sufficient to fund our operations during the next twelve months. At July 27, 2023, we had approximately $88.7 million in cash on hand, and $487.1 million available under our ABL Credit Facility.</w:t>
      </w:r>
    </w:p>
    <w:p>
      <w:pPr>
        <w:pStyle w:val="TextBody"/>
        <w:bidi w:val="0"/>
        <w:spacing w:lineRule="auto" w:line="288" w:before="120" w:after="283"/>
        <w:jc w:val="both"/>
        <w:rPr/>
      </w:pPr>
      <w:r>
        <w:rPr>
          <w:rFonts w:ascii="Times New Roman;sans-serif" w:hAnsi="Times New Roman;sans-serif"/>
          <w:b w:val="false"/>
          <w:i/>
          <w:color w:val="000000"/>
          <w:sz w:val="20"/>
        </w:rPr>
        <w:t>Deferred Taxes.</w:t>
      </w:r>
      <w:r>
        <w:rPr>
          <w:color w:val="000000"/>
        </w:rPr>
        <w:t xml:space="preserve"> </w:t>
      </w:r>
      <w:r>
        <w:rPr>
          <w:rFonts w:ascii="Times New Roman;sans-serif" w:hAnsi="Times New Roman;sans-serif"/>
          <w:b w:val="false"/>
          <w:color w:val="000000"/>
          <w:sz w:val="20"/>
        </w:rPr>
        <w:t>Certain federal tax legislation enacted during the period 2009 to 2017 permitted bonus first-year depreciation deductions ranging from 50% to 100% of the adjusted basis of qualified property placed in service during such years. The depreciation benefits associated with these tax acts are now reversing. The Protecting Americans from Tax Hikes Act of 2015 (“PATH”) extended the 50% bonus depreciation to 2015 and through September 26, 2017, when it was updated by the Tax Cuts and Jobs Act of 2017 (“Tax Act”). The Tax Act allows 100% bonus depreciation for certain property placed in service between September 27, 2017 and December 31, 2022, at which point it will begin to phase out. The bonus depreciation provided by the Tax Act resulted in an estimated benefit of $298 million for us in 2022. We estimate the remaining tax deferral associated with bonus depreciation from these Acts is approximately $380 million at December 31, 2022, of which approximately 80%, or $303 million, will reverse in 2023, and the majority of the remainder will reverse between 2024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val="false"/>
          <w:i/>
          <w:color w:val="000000"/>
          <w:sz w:val="20"/>
        </w:rPr>
        <w:t>Merchandise Losses</w:t>
      </w:r>
      <w:r>
        <w:rPr>
          <w:rFonts w:ascii="Times New Roman;sans-serif" w:hAnsi="Times New Roman;sans-serif"/>
          <w:b w:val="false"/>
          <w:color w:val="000000"/>
          <w:sz w:val="20"/>
        </w:rPr>
        <w:t>. Merchandise losses consist of the following:</w:t>
      </w:r>
    </w:p>
    <w:tbl>
      <w:tblPr>
        <w:tblW w:w="7905" w:type="dxa"/>
        <w:jc w:val="left"/>
        <w:tblInd w:w="0" w:type="dxa"/>
        <w:tblLayout w:type="fixed"/>
        <w:tblCellMar>
          <w:top w:w="28" w:type="dxa"/>
          <w:left w:w="28" w:type="dxa"/>
          <w:bottom w:w="28" w:type="dxa"/>
          <w:right w:w="28" w:type="dxa"/>
        </w:tblCellMar>
      </w:tblPr>
      <w:tblGrid>
        <w:gridCol w:w="907"/>
        <w:gridCol w:w="797"/>
        <w:gridCol w:w="801"/>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stolen merchandise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merchandise losses</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merchandise losses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Arial;sans-serif" w:hAnsi="Arial;sans-serif"/>
          <w:b w:val="false"/>
          <w:color w:val="000000"/>
          <w:sz w:val="9"/>
        </w:rPr>
        <w:t>(1)</w:t>
      </w:r>
      <w:r>
        <w:rPr>
          <w:rFonts w:ascii="Times New Roman;sans-serif" w:hAnsi="Times New Roman;sans-serif"/>
          <w:b w:val="false"/>
          <w:color w:val="000000"/>
          <w:sz w:val="14"/>
        </w:rPr>
        <w:t>Other merchandise losses include unrepairable and missing merchandise, and loss/damage waiver claims.</w:t>
      </w:r>
    </w:p>
    <w:p>
      <w:pPr>
        <w:pStyle w:val="TextBody"/>
        <w:bidi w:val="0"/>
        <w:spacing w:lineRule="auto" w:line="288" w:before="120" w:after="283"/>
        <w:jc w:val="both"/>
        <w:rPr/>
      </w:pPr>
      <w:r>
        <w:rPr>
          <w:rFonts w:ascii="Times New Roman;sans-serif" w:hAnsi="Times New Roman;sans-serif"/>
          <w:b w:val="false"/>
          <w:i/>
          <w:color w:val="000000"/>
          <w:sz w:val="20"/>
        </w:rPr>
        <w:t>Capital Expenditures</w:t>
      </w:r>
      <w:r>
        <w:rPr>
          <w:rFonts w:ascii="Times New Roman;sans-serif" w:hAnsi="Times New Roman;sans-serif"/>
          <w:b w:val="false"/>
          <w:color w:val="000000"/>
          <w:sz w:val="20"/>
        </w:rPr>
        <w:t>. We make capital expenditures in order to maintain our existing operations, acquire new capital assets in new and acquired stores and invest in information technology. We spent $21.4 million and $30.9 million on capital expenditures during the six months ended June 30, 2023 and 2022, respectively. The decrease of $9.5 million is primarily due to lower investment in store-related assets in our Rent-A-Center segment, partially offset by additional investment in Corporate software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val="false"/>
          <w:i/>
          <w:color w:val="000000"/>
          <w:sz w:val="20"/>
        </w:rPr>
        <w:t>Acquisitions and New Location Openings.</w:t>
      </w:r>
      <w:r>
        <w:rPr>
          <w:color w:val="000000"/>
        </w:rPr>
        <w:t xml:space="preserve"> </w:t>
      </w:r>
      <w:r>
        <w:rPr>
          <w:rFonts w:ascii="Times New Roman;sans-serif" w:hAnsi="Times New Roman;sans-serif"/>
          <w:b w:val="false"/>
          <w:color w:val="000000"/>
          <w:sz w:val="20"/>
        </w:rPr>
        <w:t>During the first six months of 2023, we acquired one lease-to-own store location and customer accounts for an aggregate purchase price of approximately $39.0 thousand. The store location was closed upon acquisition and consolidated into existing store operations in our Rent-A-Center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store location activity for the six-month period ended June 30, 2023 for our Rent-A-Center, Mexico and Franchising operating segments.</w:t>
      </w:r>
    </w:p>
    <w:tbl>
      <w:tblPr>
        <w:tblW w:w="10205" w:type="dxa"/>
        <w:jc w:val="left"/>
        <w:tblInd w:w="0" w:type="dxa"/>
        <w:tblLayout w:type="fixed"/>
        <w:tblCellMar>
          <w:top w:w="28" w:type="dxa"/>
          <w:left w:w="28" w:type="dxa"/>
          <w:bottom w:w="28" w:type="dxa"/>
          <w:right w:w="28" w:type="dxa"/>
        </w:tblCellMar>
      </w:tblPr>
      <w:tblGrid>
        <w:gridCol w:w="2020"/>
        <w:gridCol w:w="1777"/>
        <w:gridCol w:w="1783"/>
        <w:gridCol w:w="367"/>
        <w:gridCol w:w="628"/>
        <w:gridCol w:w="191"/>
        <w:gridCol w:w="109"/>
        <w:gridCol w:w="109"/>
        <w:gridCol w:w="109"/>
        <w:gridCol w:w="211"/>
        <w:gridCol w:w="406"/>
        <w:gridCol w:w="109"/>
        <w:gridCol w:w="109"/>
        <w:gridCol w:w="109"/>
        <w:gridCol w:w="109"/>
        <w:gridCol w:w="279"/>
        <w:gridCol w:w="537"/>
        <w:gridCol w:w="145"/>
        <w:gridCol w:w="109"/>
        <w:gridCol w:w="109"/>
        <w:gridCol w:w="109"/>
        <w:gridCol w:w="227"/>
        <w:gridCol w:w="389"/>
        <w:gridCol w:w="155"/>
      </w:tblGrid>
      <w:tr>
        <w:trPr/>
        <w:tc>
          <w:tcPr>
            <w:tcW w:w="2020"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Rent-A-Center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Mexico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Franchising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Locations at beginning of period</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location openings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Closed locations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Merged with existing locations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Sold or closed with no surviving location</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Locations at end of period</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Acquired locations closed and accounts merged with existing locations</w:t>
            </w:r>
          </w:p>
        </w:tc>
        <w:tc>
          <w:tcPr>
            <w:tcW w:w="99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9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Total approximate purchase price of acquired store</w:t>
            </w:r>
            <w:r>
              <w:rPr>
                <w:color w:val="000000"/>
              </w:rPr>
              <w:t xml:space="preserve"> </w:t>
            </w:r>
            <w:r>
              <w:rPr>
                <w:rFonts w:ascii="Times New Roman;sans-serif" w:hAnsi="Times New Roman;sans-serif"/>
                <w:b w:val="false"/>
                <w:i/>
                <w:color w:val="000000"/>
                <w:sz w:val="20"/>
              </w:rPr>
              <w:t>(in thousands)</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val="false"/>
          <w:i/>
          <w:color w:val="000000"/>
          <w:sz w:val="20"/>
        </w:rPr>
        <w:t>Senior Debt.</w:t>
      </w:r>
      <w:r>
        <w:rPr>
          <w:color w:val="000000"/>
        </w:rPr>
        <w:t xml:space="preserve"> </w:t>
      </w:r>
      <w:r>
        <w:rPr>
          <w:rFonts w:ascii="Times New Roman;sans-serif" w:hAnsi="Times New Roman;sans-serif"/>
          <w:b w:val="false"/>
          <w:color w:val="000000"/>
          <w:sz w:val="20"/>
        </w:rPr>
        <w:t>On February 17, 2021, we entered into a credit agreement with JPMorgan Chase Bank, N.A., as administrative agent, and lenders party thereto, that provides for a five-year asset-based revolving credit facility with commitments of $550 million and a letter of credit sublimit of $150 million, which commitments may be increased, at our option and under certain conditions, by up to an additional $125 million in the aggregate. Under the ABL Credit Facility, we may borrow only up to the lesser of the level of the then-current borrowing base and the aggregate amount of commitments under the ABL Credit Facility. The borrowing base is tied to the amount of eligible installment sales accounts, inventory and eligible rental contracts, reduced by certain reserves. The ABL Credit Facility bears interest at a fluctuating rate determined by reference to Term SOFR plus an applicable margin of 1.50% to 2.00%, which, as of July 27, 2023, was 7.31%. A commitment fee equal to 0.250% to 0.375% of the unused portion of the ABL Credit Facility fluctuates dependent upon average utilization for the prior month as defined by a pricing grid included in the documentation governing the ABL Credit Facility. Loans under the ABL Credit Facility may be borrowed, repaid and re-borrowed until February 17, 2026, at which time all amounts borrowed must be repaid.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obligations under the ABL Credit Facility are guaranteed by us and certain of our wholly owned domestic restricted subsidiaries, subject to certain exceptions. The obligations under the ABL Credit Facility and such guarantees are secured on a first-priority basis by all of our and our subsidiary guarantors’ accounts, inventory, deposit accounts, securities accounts, cash and cash equivalents, rental agreements, general intangibles (other than equity interests in our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ours and the subsidiary guarantors, subject to certain exceptions.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17, 2021, we also entered into a term loan credit agreement with JPMorgan Chase Bank, N.A., as administrative agent, and lenders party thereto, that provides for a seven-year $875 million senior secured term loan facility (as amended on September 21, 2021 and June 15, 2023, the “Term Loan Facility”). Subject in each case to certain restrictions and conditions, we may add up to $500 million of incremental term loan facilities to the Term Loan Facility or utilize incremental capacity under the Term Loan Facility at any time by issuing or incurring incremental equivalent term debt. Interest on borrowings under the Term Loan Facility is payable at a fluctuating rate of interest determined by reference to the Term SOFR rate plus an applicable margin of 3.25%, subject to a 0.50% Term SOFR floor, which, as of July 27, 2023 was 8.56%. In conjunction with the execution of the 2nd amendment to the Term Loan Facility, the applicable margin was repriced by 26 basis points from 3.25% to 3.51% beginning July 31, 2023.</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Term Loan Facility amortize in equal quarterly installments in an amount equal to 1.000% per annum of the original aggregate principal amount thereof, with the remaining balance due at final maturity. The Term Loan Facility is secured by a first-priority security interest in substantially all of present and future tangible and intangible personal property of us and our subsidiary guarantors, other than the ABL Priority Collateral, and by a second-priority security interest in the ABL Priority Collateral, subject to certain exceptions. The obligations under the Term Loan Facility are guaranteed by us and our material wholly-owned domestic restricted subsidiaries that also guarantee the ABL Credit Facility.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Term Loan Facility was fully drawn at the closing of the Acima Holdings acquisition to fund a portion of the Aggregate Cash Consideration, repay our outstanding indebtedness under the previous term loan facility, repay all outstanding indebtedness of Acima and its subsidiaries and pay certain fees and expenses incurred in connection with the Acima Holdings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July 27, 2023, we had outstanding borrowings of $815.5 million under the Term Loan Facility and available commitments of $487.1 million under our ABL Credit Facility, net of letters of credit.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Note 6 of our condensed consolidated financial statements included in this Quarterly Report on Form 10-Q for additional information regarding our senior debt.</w:t>
      </w:r>
    </w:p>
    <w:p>
      <w:pPr>
        <w:pStyle w:val="TextBody"/>
        <w:bidi w:val="0"/>
        <w:spacing w:lineRule="auto" w:line="288" w:before="120" w:after="283"/>
        <w:jc w:val="both"/>
        <w:rPr/>
      </w:pPr>
      <w:r>
        <w:rPr>
          <w:rFonts w:ascii="Times New Roman;sans-serif" w:hAnsi="Times New Roman;sans-serif"/>
          <w:b w:val="false"/>
          <w:i/>
          <w:color w:val="000000"/>
          <w:sz w:val="20"/>
        </w:rPr>
        <w:t>Senior Notes</w:t>
      </w:r>
      <w:r>
        <w:rPr>
          <w:rFonts w:ascii="Times New Roman;sans-serif" w:hAnsi="Times New Roman;sans-serif"/>
          <w:b w:val="false"/>
          <w:color w:val="000000"/>
          <w:sz w:val="20"/>
        </w:rPr>
        <w:t>. On February 17, 2021, we issued $450 million in senior unsecured notes due February 15, 2029, at par value, bearing interest at 6.375% (the “Notes”), the proceeds of which were used to fund a portion of the Aggregate Cash Consideration upon closing of the Acima Holdings acquisition. Interest on the Notes is payable in arrears on February 15 and August 15 of each year, beginning on August 15, 2021. We may redeem some or all of the Notes at any time on or after February 15, 2024 for cash at the redemption prices set forth in the indenture governing the Notes, plus accrued and unpaid interest to, but not including, the redemption date. Prior to February 15, 2024, we may redeem up to 40% of the aggregate principal amount of the Notes with the proceeds of certain equity offerings at a redemption price of 106.375% plus accrued and unpaid interest to, but not including, the redemption date. In addition, we may redeem some or all of the Notes prior to February 15, 2024, at a redemption price of 100% of the principal amount of the Notes plus accrued and unpaid interest to, but not including, the redemption date, plus a “make-whole” premium. If we experience specific kinds of change of control, it will be required to offer to purchase the Notes at a price equal to 101% of the principal amount thereof plus accrued and unpaid interest. See Note 7 of our condensed consolidated financial statements included in this Quarterly Report on Form 10-Q for additional information regarding our senior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val="false"/>
          <w:i/>
          <w:color w:val="000000"/>
          <w:sz w:val="20"/>
        </w:rPr>
        <w:t>Operating Leases</w:t>
      </w:r>
      <w:r>
        <w:rPr>
          <w:rFonts w:ascii="Times New Roman;sans-serif" w:hAnsi="Times New Roman;sans-serif"/>
          <w:b w:val="false"/>
          <w:color w:val="000000"/>
          <w:sz w:val="20"/>
        </w:rPr>
        <w:t>. We lease space for all of our Rent-A-Center and Mexico stores under operating leases expiring at various times through 2038. In addition we lease space for certain support facilities under operating leases expiring at various times through 2032. Most of our store leases are five year leases and contain renewal options for additional periods ranging from three to five years at rental rates adjusted according to agreed-upon formulas. As of June 30, 2023, our total remaining obligation for existing store lease contracts was approximately $345.0 million.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lease vehicles for all of our Rent-A-Center stores under operating leases with lease terms expiring twelve months after the start date of the lease. We classify these leases as short-term and have elected the short-term lease exemption for our vehicle leases, and have therefore excluded them from our operating lease right-of-use assets within our Condensed Consolidated Balance Sheets. As of June 30, 2023, our total remaining minimum obligation for existing Rent-A-Center vehicle lease contracts was approximately $1.3 million.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lease vehicles for all of our Mexico stores which have terms expiring at various times through 2026 with rental rates adjusted periodically for inflation. As of June 30, 2023, our total remaining obligation for existing Mexico vehicle lease contracts was approximately $2.8 million.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4 of our condensed consolidated financial statements included in this Quarterly Report on Form 10-Q for additional discussion of our store operating leases.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val="false"/>
          <w:i/>
          <w:color w:val="000000"/>
          <w:sz w:val="20"/>
        </w:rPr>
        <w:t>Uncertain Tax Position.</w:t>
      </w:r>
      <w:r>
        <w:rPr>
          <w:color w:val="000000"/>
        </w:rPr>
        <w:t xml:space="preserve"> </w:t>
      </w:r>
      <w:r>
        <w:rPr>
          <w:rFonts w:ascii="Times New Roman;sans-serif" w:hAnsi="Times New Roman;sans-serif"/>
          <w:b w:val="false"/>
          <w:color w:val="000000"/>
          <w:sz w:val="20"/>
        </w:rPr>
        <w:t>As of June 30, 2023, we have recorded $1.3 million in uncertain tax positions. Although these positions represent a potential future cash liability to us, the amounts and timing of such payments are uncertain.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val="false"/>
          <w:i/>
          <w:color w:val="000000"/>
          <w:sz w:val="20"/>
        </w:rPr>
        <w:t>Seasonality.</w:t>
      </w:r>
      <w:r>
        <w:rPr>
          <w:color w:val="000000"/>
        </w:rPr>
        <w:t xml:space="preserve"> </w:t>
      </w:r>
      <w:r>
        <w:rPr>
          <w:rFonts w:ascii="Times New Roman;sans-serif" w:hAnsi="Times New Roman;sans-serif"/>
          <w:b w:val="false"/>
          <w:color w:val="000000"/>
          <w:sz w:val="20"/>
        </w:rPr>
        <w:t>Our revenue mix is moderately seasonal, with the first quarter of each fiscal year generally providing higher merchandise sales than any other quarter during a fiscal year. Generally, our customers will more frequently exercise the early purchase option on their existing lease purchase agreements or purchase pre-leased merchandise off the showroom floor during the first quarter of each fiscal year, primarily due to the receipt of federal income tax refunds.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New Accounting Pronouncements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new accounting pronouncements are issued by the FASB or other standards setting bodies that we adopt as of the specified effective date. As of June 30, 2023, we believe the impact of any recently issued standards that are not yet effective are either not applicable to us at this time, or will not have a material impact on our consolidated financial statements upon adoption.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Market Risk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Market risk is the potential change in an instrument’s value caused by fluctuations in interest rates. Our primary market risk exposure is fluctuations in interest rates. Monitoring and managing this risk is a continual process carried out by our senior management. We manage our market risk based on an ongoing assessment of trends in interest rates and economic developments, giving consideration to possible effects on both total return and reported earnings. As a result of such assessment, we may enter into swap contracts or other interest rate protection agreements from time to time to mitigate this risk.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we had $450 million in Notes outstanding at a fixed interest rate of 6.375%. We also had $815.5 million outstanding under the Term Loan Facility at interest rates indexed to the Term SOFR rate or the prime rate. Carrying value approximates fair value for such indebtedness. Based on our overall interest rate exposure at June 30, 2023, a hypothetical 1.0% increase or decrease in market interest rates would have the effect of causing an additional $8.3 million additional annualized pre-tax charge or credit to our condensed consolidated statement of operations. We have not entered into any interest rate swap agreements as of June 30, 2023.</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Foreign Currency Translation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from foreign exchange rate fluctuations of the Mexican peso to the U.S. dollar as the financial position and operating results of our stores in Mexico are translated into U.S. dollars for consolidation. Resulting translation adjustments are recorded as a separate component of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pPr>
      <w:r>
        <w:rPr>
          <w:rFonts w:ascii="Times New Roman;sans-serif" w:hAnsi="Times New Roman;sans-serif"/>
          <w:b/>
          <w:color w:val="000000"/>
          <w:sz w:val="20"/>
        </w:rPr>
        <w:t>Item 4.</w:t>
      </w:r>
      <w:r>
        <w:rPr>
          <w:color w:val="000000"/>
        </w:rPr>
        <w:t> </w:t>
      </w:r>
      <w:r>
        <w:rPr>
          <w:rFonts w:ascii="Times New Roman;sans-serif" w:hAnsi="Times New Roman;sans-serif"/>
          <w:b/>
          <w:color w:val="000000"/>
          <w:sz w:val="20"/>
        </w:rPr>
        <w:t>Controls and Procedures.</w:t>
      </w:r>
    </w:p>
    <w:p>
      <w:pPr>
        <w:pStyle w:val="TextBody"/>
        <w:bidi w:val="0"/>
        <w:spacing w:lineRule="auto" w:line="288" w:before="120" w:after="283"/>
        <w:jc w:val="both"/>
        <w:rPr/>
      </w:pPr>
      <w:r>
        <w:rPr>
          <w:rFonts w:ascii="Times New Roman;sans-serif" w:hAnsi="Times New Roman;sans-serif"/>
          <w:b w:val="false"/>
          <w:i/>
          <w:color w:val="000000"/>
          <w:sz w:val="20"/>
        </w:rPr>
        <w:t>Disclosure Controls and Procedures</w:t>
      </w:r>
      <w:r>
        <w:rPr>
          <w:rFonts w:ascii="Times New Roman;sans-serif" w:hAnsi="Times New Roman;sans-serif"/>
          <w:b w:val="false"/>
          <w:color w:val="000000"/>
          <w:sz w:val="20"/>
        </w:rPr>
        <w:t>. In accordance with Rule 13a-15(b) under the Securities Exchange Act of 1934, an evaluation was performed under the supervision and with the participation of our management, including our Chief Executive Officer and Chief Financial Officer, of the effectiveness of the design and operation of our disclosure controls and procedures (as defined in Rules 13a–15(e) and 15d–15(e) under the Securities Exchange Act of 1934) as of the end of the period covered by this Quarterly Report on Form 10-Q. Based on this evaluation, our management, including our Chief Executive Officer and our Chief Financial Officer, concluded that, as of June 30, 2023, our disclosure controls and procedures (as defined in Rules 13a–15(e) and 15d–15(e) under the Securities Exchange Act of 1934) were effective.</w:t>
      </w:r>
    </w:p>
    <w:p>
      <w:pPr>
        <w:pStyle w:val="TextBody"/>
        <w:bidi w:val="0"/>
        <w:spacing w:lineRule="auto" w:line="288" w:before="120" w:after="283"/>
        <w:jc w:val="both"/>
        <w:rPr/>
      </w:pPr>
      <w:r>
        <w:rPr>
          <w:rFonts w:ascii="Times New Roman;sans-serif" w:hAnsi="Times New Roman;sans-serif"/>
          <w:b w:val="false"/>
          <w:i/>
          <w:color w:val="000000"/>
          <w:sz w:val="20"/>
        </w:rPr>
        <w:t>Changes in Internal Controls over Financial Reporting</w:t>
      </w:r>
      <w:r>
        <w:rPr>
          <w:rFonts w:ascii="Times New Roman;sans-serif" w:hAnsi="Times New Roman;sans-serif"/>
          <w:b w:val="false"/>
          <w:color w:val="000000"/>
          <w:sz w:val="20"/>
        </w:rPr>
        <w:t>. For the quarter ended June 30, 2023, there have been no changes in our internal control over financial reporting (as defined in Rule 13a-15(f) under the Securities Exchange Act of 1934) that, in the aggregate,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along with our subsidiaries, are party to various legal proceedings and governmental inquiries arising in the ordinary course of business. We reserve for loss contingencies that are both probable and reasonably estimable. We regularly monitor developments related to these legal proceedings, and review the adequacy of our legal reserves on a quarterly basis. We do not currently expect these losses to have a material impact on our consolidated financial statements if and when such losses are incurred. Nevertheless, we cannot predict the impact of future developments affecting our claims and lawsuits, and any resolution of a claim or lawsuit or reserve within a particular fiscal period may materially and adversely impact our results of operations for that period. In addition, claims and lawsuits against us may seek injunctive or other relief that requires changes to our business practices or operations and it is possible that any required changes may materially and adversely impact our business, financial condition, results of operations or reputation. Please see Note 12 of our condensed consolidated financial statements included in this Quarterly Report on Form 10-Q for additional discussion of certain of our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disclosed in Item 1A of Part 1, “Risk Factors” of our Annual Report on Form 10-K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officers have made, or may make, elections to participate in, or are participating in, the Company's stock investment option and dividend reinvestment available through the Company's 401(k) plan. In addition, certain of our officers and directors may from time to time make elections to have shares withheld to cover withholding taxes owed in connection with long-term incentive plan awards or to pay the exercise price of options or make standing elections to reinvest dividends received on our shares or long-term incentive plan awards held by them, which may be designed to satisfy the affirmative defense conditions of Rule 10b5-1 under the Exchange Act, or may constitute non-Rule 10b5–1 trading arrangements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color w:val="000000"/>
          <w:sz w:val="20"/>
        </w:rPr>
        <w:t>Item 6.</w:t>
      </w:r>
      <w:r>
        <w:rPr>
          <w:color w:val="000000"/>
        </w:rPr>
        <w:t> </w:t>
      </w:r>
      <w:r>
        <w:rPr>
          <w:rFonts w:ascii="Times New Roman;sans-serif" w:hAnsi="Times New Roman;sans-serif"/>
          <w:b/>
          <w:color w:val="000000"/>
          <w:sz w:val="20"/>
        </w:rPr>
        <w:t>Exhibits.</w:t>
      </w:r>
    </w:p>
    <w:tbl>
      <w:tblPr>
        <w:tblW w:w="10205" w:type="dxa"/>
        <w:jc w:val="left"/>
        <w:tblInd w:w="0" w:type="dxa"/>
        <w:tblLayout w:type="fixed"/>
        <w:tblCellMar>
          <w:top w:w="28" w:type="dxa"/>
          <w:left w:w="28" w:type="dxa"/>
          <w:bottom w:w="28" w:type="dxa"/>
          <w:right w:w="28" w:type="dxa"/>
        </w:tblCellMar>
      </w:tblPr>
      <w:tblGrid>
        <w:gridCol w:w="323"/>
        <w:gridCol w:w="284"/>
        <w:gridCol w:w="285"/>
        <w:gridCol w:w="3032"/>
        <w:gridCol w:w="2938"/>
        <w:gridCol w:w="2968"/>
        <w:gridCol w:w="109"/>
        <w:gridCol w:w="109"/>
        <w:gridCol w:w="157"/>
      </w:tblGrid>
      <w:tr>
        <w:trPr/>
        <w:tc>
          <w:tcPr>
            <w:tcW w:w="32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032" w:type="dxa"/>
            <w:tcBorders/>
            <w:vAlign w:val="center"/>
          </w:tcPr>
          <w:p>
            <w:pPr>
              <w:pStyle w:val="TableContents"/>
              <w:bidi w:val="0"/>
              <w:spacing w:before="0" w:after="283"/>
              <w:jc w:val="left"/>
              <w:rPr>
                <w:sz w:val="4"/>
                <w:szCs w:val="4"/>
              </w:rPr>
            </w:pPr>
            <w:r>
              <w:rPr>
                <w:sz w:val="4"/>
                <w:szCs w:val="4"/>
              </w:rPr>
            </w:r>
          </w:p>
        </w:tc>
        <w:tc>
          <w:tcPr>
            <w:tcW w:w="2938" w:type="dxa"/>
            <w:tcBorders/>
            <w:vAlign w:val="center"/>
          </w:tcPr>
          <w:p>
            <w:pPr>
              <w:pStyle w:val="TableContents"/>
              <w:bidi w:val="0"/>
              <w:spacing w:before="0" w:after="283"/>
              <w:jc w:val="left"/>
              <w:rPr>
                <w:sz w:val="4"/>
                <w:szCs w:val="4"/>
              </w:rPr>
            </w:pPr>
            <w:r>
              <w:rPr>
                <w:sz w:val="4"/>
                <w:szCs w:val="4"/>
              </w:rPr>
            </w:r>
          </w:p>
        </w:tc>
        <w:tc>
          <w:tcPr>
            <w:tcW w:w="2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8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89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Certificate of Incorporation of the registrant, as amended (incorporated herein by reference to Exhibit 3.1 to the registrant's Current Report on Form 8-K dated as of December 31,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89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80"/>
                  <w:sz w:val="20"/>
                  <w:u w:val="single"/>
                </w:rPr>
                <w:t xml:space="preserve">Certificate of Amendment to the Certificate of Incorporation of </w:t>
              </w:r>
            </w:hyperlink>
            <w:hyperlink r:id="rId4">
              <w:r>
                <w:rPr>
                  <w:rStyle w:val="InternetLink"/>
                  <w:rFonts w:ascii="Times New Roman;sans-serif" w:hAnsi="Times New Roman;sans-serif"/>
                  <w:b w:val="false"/>
                  <w:color w:val="000080"/>
                  <w:sz w:val="20"/>
                  <w:u w:val="single"/>
                </w:rPr>
                <w:t>the registrant</w:t>
              </w:r>
            </w:hyperlink>
            <w:hyperlink r:id="rId5">
              <w:r>
                <w:rPr>
                  <w:rStyle w:val="InternetLink"/>
                  <w:rFonts w:ascii="Times New Roman;sans-serif" w:hAnsi="Times New Roman;sans-serif"/>
                  <w:b w:val="false"/>
                  <w:color w:val="000080"/>
                  <w:sz w:val="20"/>
                  <w:u w:val="single"/>
                </w:rPr>
                <w:t>, dated May 19, 2004 (incorporated herein by reference to Exhibit 3.2 to the registrant's Quarterly Report on Form 10-Q for the quarter ended June 30, 2004)</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89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ans-serif" w:hAnsi="Times New Roman;sans-serif"/>
                  <w:b w:val="false"/>
                  <w:color w:val="000080"/>
                  <w:sz w:val="20"/>
                  <w:u w:val="single"/>
                </w:rPr>
                <w:t xml:space="preserve">Certificate of Amendment to the Certificate of Incorporation of </w:t>
              </w:r>
            </w:hyperlink>
            <w:hyperlink r:id="rId7">
              <w:r>
                <w:rPr>
                  <w:rStyle w:val="InternetLink"/>
                  <w:rFonts w:ascii="Times New Roman;sans-serif" w:hAnsi="Times New Roman;sans-serif"/>
                  <w:b w:val="false"/>
                  <w:color w:val="000080"/>
                  <w:sz w:val="20"/>
                  <w:u w:val="single"/>
                </w:rPr>
                <w:t>the registrant</w:t>
              </w:r>
            </w:hyperlink>
            <w:hyperlink r:id="rId8">
              <w:r>
                <w:rPr>
                  <w:rStyle w:val="InternetLink"/>
                  <w:rFonts w:ascii="Times New Roman;sans-serif" w:hAnsi="Times New Roman;sans-serif"/>
                  <w:b w:val="false"/>
                  <w:color w:val="000080"/>
                  <w:sz w:val="20"/>
                  <w:u w:val="single"/>
                </w:rPr>
                <w:t>, dated June 8, 2021 (incorporated herein by reference to Exhibit 3.1 to the registrant's Current Report on Form 8-K dated as of June 9, 2021)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89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ans-serif" w:hAnsi="Times New Roman;sans-serif"/>
                  <w:b w:val="false"/>
                  <w:color w:val="000080"/>
                  <w:sz w:val="20"/>
                  <w:u w:val="single"/>
                </w:rPr>
                <w:t xml:space="preserve">Certificate of Amendment to the Certificate of Incorporation of </w:t>
              </w:r>
            </w:hyperlink>
            <w:hyperlink r:id="rId10">
              <w:r>
                <w:rPr>
                  <w:rStyle w:val="InternetLink"/>
                  <w:rFonts w:ascii="Times New Roman;sans-serif" w:hAnsi="Times New Roman;sans-serif"/>
                  <w:b w:val="false"/>
                  <w:color w:val="000080"/>
                  <w:sz w:val="20"/>
                  <w:u w:val="single"/>
                </w:rPr>
                <w:t>the registrant</w:t>
              </w:r>
            </w:hyperlink>
            <w:hyperlink r:id="rId11">
              <w:r>
                <w:rPr>
                  <w:rStyle w:val="InternetLink"/>
                  <w:rFonts w:ascii="Times New Roman;sans-serif" w:hAnsi="Times New Roman;sans-serif"/>
                  <w:b w:val="false"/>
                  <w:color w:val="000080"/>
                  <w:sz w:val="20"/>
                  <w:u w:val="single"/>
                </w:rPr>
                <w:t>, dated February 21,2023 (</w:t>
              </w:r>
            </w:hyperlink>
            <w:hyperlink r:id="rId12">
              <w:r>
                <w:rPr>
                  <w:rStyle w:val="InternetLink"/>
                  <w:rFonts w:ascii="Times New Roman;sans-serif" w:hAnsi="Times New Roman;sans-serif"/>
                  <w:b w:val="false"/>
                  <w:color w:val="000080"/>
                  <w:sz w:val="20"/>
                  <w:u w:val="single"/>
                </w:rPr>
                <w:t>i</w:t>
              </w:r>
            </w:hyperlink>
            <w:hyperlink r:id="rId13">
              <w:r>
                <w:rPr>
                  <w:rStyle w:val="InternetLink"/>
                  <w:rFonts w:ascii="Times New Roman;sans-serif" w:hAnsi="Times New Roman;sans-serif"/>
                  <w:b w:val="false"/>
                  <w:color w:val="000080"/>
                  <w:sz w:val="20"/>
                  <w:u w:val="single"/>
                </w:rPr>
                <w:t>ncorporated herein by reference to Exhibit 3.1 to the registrant's Current Report on Form 8-K dated as of February 23, 2023.)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89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ans-serif" w:hAnsi="Times New Roman;sans-serif"/>
                  <w:b w:val="false"/>
                  <w:color w:val="000080"/>
                  <w:sz w:val="20"/>
                  <w:u w:val="single"/>
                </w:rPr>
                <w:t xml:space="preserve">Amended and Restated Bylaws of </w:t>
              </w:r>
            </w:hyperlink>
            <w:hyperlink r:id="rId15">
              <w:r>
                <w:rPr>
                  <w:rStyle w:val="InternetLink"/>
                  <w:rFonts w:ascii="Times New Roman;sans-serif" w:hAnsi="Times New Roman;sans-serif"/>
                  <w:b w:val="false"/>
                  <w:color w:val="000080"/>
                  <w:sz w:val="20"/>
                  <w:u w:val="single"/>
                </w:rPr>
                <w:t>the registrant</w:t>
              </w:r>
            </w:hyperlink>
            <w:hyperlink r:id="rId16">
              <w:r>
                <w:rPr>
                  <w:rStyle w:val="InternetLink"/>
                  <w:rFonts w:ascii="Times New Roman;sans-serif" w:hAnsi="Times New Roman;sans-serif"/>
                  <w:b w:val="false"/>
                  <w:color w:val="000080"/>
                  <w:sz w:val="20"/>
                  <w:u w:val="single"/>
                </w:rPr>
                <w:t xml:space="preserve"> (incorporated herein by reference to Exhibit 3.2 to the registrant's Current Report on Form 8-K dated as of February 23, 2023.)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89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ans-serif" w:hAnsi="Times New Roman;sans-serif"/>
                  <w:b w:val="false"/>
                  <w:color w:val="000080"/>
                  <w:sz w:val="20"/>
                  <w:u w:val="single"/>
                </w:rPr>
                <w:t xml:space="preserve">Certificate of Designations of Series D Preferred Stock of </w:t>
              </w:r>
            </w:hyperlink>
            <w:hyperlink r:id="rId18">
              <w:r>
                <w:rPr>
                  <w:rStyle w:val="InternetLink"/>
                  <w:rFonts w:ascii="Times New Roman;sans-serif" w:hAnsi="Times New Roman;sans-serif"/>
                  <w:b w:val="false"/>
                  <w:color w:val="000080"/>
                  <w:sz w:val="20"/>
                  <w:u w:val="single"/>
                </w:rPr>
                <w:t>the registrant</w:t>
              </w:r>
            </w:hyperlink>
            <w:hyperlink r:id="rId19">
              <w:r>
                <w:rPr>
                  <w:rStyle w:val="InternetLink"/>
                  <w:rFonts w:ascii="Times New Roman;sans-serif" w:hAnsi="Times New Roman;sans-serif"/>
                  <w:b w:val="false"/>
                  <w:color w:val="000080"/>
                  <w:sz w:val="20"/>
                  <w:u w:val="single"/>
                </w:rPr>
                <w:t xml:space="preserve"> (incorporated herein by reference to Exhibit 3.1 to the registrant's Current Report on Form 8-K dated as of March 29, 2017.)</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89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ans-serif" w:hAnsi="Times New Roman;sans-serif"/>
                  <w:b w:val="false"/>
                  <w:color w:val="000080"/>
                  <w:sz w:val="20"/>
                  <w:u w:val="single"/>
                </w:rPr>
                <w:t xml:space="preserve">Form of Certificate evidencing Common Stock (incorporated herein by </w:t>
              </w:r>
            </w:hyperlink>
            <w:hyperlink r:id="rId21">
              <w:r>
                <w:rPr>
                  <w:rStyle w:val="InternetLink"/>
                  <w:rFonts w:ascii="Times New Roman;sans-serif" w:hAnsi="Times New Roman;sans-serif"/>
                  <w:b w:val="false"/>
                  <w:color w:val="000080"/>
                  <w:sz w:val="20"/>
                  <w:u w:val="single"/>
                </w:rPr>
                <w:t>reference to</w:t>
              </w:r>
            </w:hyperlink>
            <w:hyperlink r:id="rId22">
              <w:r>
                <w:rPr>
                  <w:rStyle w:val="InternetLink"/>
                  <w:rFonts w:ascii="Times New Roman;sans-serif" w:hAnsi="Times New Roman;sans-serif"/>
                  <w:b w:val="false"/>
                  <w:color w:val="000080"/>
                  <w:sz w:val="20"/>
                  <w:u w:val="single"/>
                </w:rPr>
                <w:t xml:space="preserve"> </w:t>
              </w:r>
            </w:hyperlink>
            <w:hyperlink r:id="rId23">
              <w:r>
                <w:rPr>
                  <w:rStyle w:val="InternetLink"/>
                  <w:rFonts w:ascii="Times New Roman;sans-serif" w:hAnsi="Times New Roman;sans-serif"/>
                  <w:b w:val="false"/>
                  <w:color w:val="000080"/>
                  <w:sz w:val="20"/>
                  <w:u w:val="single"/>
                </w:rPr>
                <w:t>Ex</w:t>
              </w:r>
            </w:hyperlink>
            <w:hyperlink r:id="rId24">
              <w:r>
                <w:rPr>
                  <w:rStyle w:val="InternetLink"/>
                  <w:rFonts w:ascii="Times New Roman;sans-serif" w:hAnsi="Times New Roman;sans-serif"/>
                  <w:b w:val="false"/>
                  <w:color w:val="000080"/>
                  <w:sz w:val="20"/>
                  <w:u w:val="single"/>
                </w:rPr>
                <w:t>hibit 4.6</w:t>
              </w:r>
            </w:hyperlink>
            <w:hyperlink r:id="rId25">
              <w:r>
                <w:rPr>
                  <w:rStyle w:val="InternetLink"/>
                  <w:rFonts w:ascii="Times New Roman;sans-serif" w:hAnsi="Times New Roman;sans-serif"/>
                  <w:b w:val="false"/>
                  <w:color w:val="000080"/>
                  <w:sz w:val="20"/>
                  <w:u w:val="single"/>
                </w:rPr>
                <w:t xml:space="preserve"> to the registrant's </w:t>
              </w:r>
            </w:hyperlink>
            <w:hyperlink r:id="rId26">
              <w:r>
                <w:rPr>
                  <w:rStyle w:val="InternetLink"/>
                  <w:rFonts w:ascii="Times New Roman;sans-serif" w:hAnsi="Times New Roman;sans-serif"/>
                  <w:b w:val="false"/>
                  <w:color w:val="000080"/>
                  <w:sz w:val="20"/>
                  <w:u w:val="single"/>
                </w:rPr>
                <w:t xml:space="preserve">Registration Statement </w:t>
              </w:r>
            </w:hyperlink>
            <w:hyperlink r:id="rId27">
              <w:r>
                <w:rPr>
                  <w:rStyle w:val="InternetLink"/>
                  <w:rFonts w:ascii="Times New Roman;sans-serif" w:hAnsi="Times New Roman;sans-serif"/>
                  <w:b w:val="false"/>
                  <w:color w:val="000080"/>
                  <w:sz w:val="20"/>
                  <w:u w:val="single"/>
                </w:rPr>
                <w:t xml:space="preserve">on Form </w:t>
              </w:r>
            </w:hyperlink>
            <w:hyperlink r:id="rId28">
              <w:r>
                <w:rPr>
                  <w:rStyle w:val="InternetLink"/>
                  <w:rFonts w:ascii="Times New Roman;sans-serif" w:hAnsi="Times New Roman;sans-serif"/>
                  <w:b w:val="false"/>
                  <w:color w:val="000080"/>
                  <w:sz w:val="20"/>
                  <w:u w:val="single"/>
                </w:rPr>
                <w:t>S-</w:t>
              </w:r>
            </w:hyperlink>
            <w:hyperlink r:id="rId29">
              <w:r>
                <w:rPr>
                  <w:rStyle w:val="InternetLink"/>
                  <w:rFonts w:ascii="Times New Roman;sans-serif" w:hAnsi="Times New Roman;sans-serif"/>
                  <w:b w:val="false"/>
                  <w:color w:val="000080"/>
                  <w:sz w:val="20"/>
                  <w:u w:val="single"/>
                </w:rPr>
                <w:t>8</w:t>
              </w:r>
            </w:hyperlink>
            <w:hyperlink r:id="rId30">
              <w:r>
                <w:rPr>
                  <w:rStyle w:val="InternetLink"/>
                  <w:rFonts w:ascii="Times New Roman;sans-serif" w:hAnsi="Times New Roman;sans-serif"/>
                  <w:b w:val="false"/>
                  <w:color w:val="000080"/>
                  <w:sz w:val="20"/>
                  <w:u w:val="single"/>
                </w:rPr>
                <w:t xml:space="preserve"> dated as of </w:t>
              </w:r>
            </w:hyperlink>
            <w:hyperlink r:id="rId31">
              <w:r>
                <w:rPr>
                  <w:rStyle w:val="InternetLink"/>
                  <w:rFonts w:ascii="Times New Roman;sans-serif" w:hAnsi="Times New Roman;sans-serif"/>
                  <w:b w:val="false"/>
                  <w:color w:val="000080"/>
                  <w:sz w:val="20"/>
                  <w:u w:val="single"/>
                </w:rPr>
                <w:t>June</w:t>
              </w:r>
            </w:hyperlink>
            <w:hyperlink r:id="rId32">
              <w:r>
                <w:rPr>
                  <w:rStyle w:val="InternetLink"/>
                  <w:rFonts w:ascii="Times New Roman;sans-serif" w:hAnsi="Times New Roman;sans-serif"/>
                  <w:b w:val="false"/>
                  <w:color w:val="000080"/>
                  <w:sz w:val="20"/>
                  <w:u w:val="single"/>
                </w:rPr>
                <w:t xml:space="preserve"> </w:t>
              </w:r>
            </w:hyperlink>
            <w:hyperlink r:id="rId33">
              <w:r>
                <w:rPr>
                  <w:rStyle w:val="InternetLink"/>
                  <w:rFonts w:ascii="Times New Roman;sans-serif" w:hAnsi="Times New Roman;sans-serif"/>
                  <w:b w:val="false"/>
                  <w:color w:val="000080"/>
                  <w:sz w:val="20"/>
                  <w:u w:val="single"/>
                </w:rPr>
                <w:t>7</w:t>
              </w:r>
            </w:hyperlink>
            <w:hyperlink r:id="rId34">
              <w:r>
                <w:rPr>
                  <w:rStyle w:val="InternetLink"/>
                  <w:rFonts w:ascii="Times New Roman;sans-serif" w:hAnsi="Times New Roman;sans-serif"/>
                  <w:b w:val="false"/>
                  <w:color w:val="000080"/>
                  <w:sz w:val="20"/>
                  <w:u w:val="single"/>
                </w:rPr>
                <w:t>, 20</w:t>
              </w:r>
            </w:hyperlink>
            <w:hyperlink r:id="rId35">
              <w:r>
                <w:rPr>
                  <w:rStyle w:val="InternetLink"/>
                  <w:rFonts w:ascii="Times New Roman;sans-serif" w:hAnsi="Times New Roman;sans-serif"/>
                  <w:b w:val="false"/>
                  <w:color w:val="000080"/>
                  <w:sz w:val="20"/>
                  <w:u w:val="single"/>
                </w:rPr>
                <w:t>23</w:t>
              </w:r>
            </w:hyperlink>
            <w:hyperlink r:id="rId36">
              <w:r>
                <w:rPr>
                  <w:rStyle w:val="InternetLink"/>
                  <w:rFonts w:ascii="Times New Roman;sans-serif" w:hAnsi="Times New Roman;sans-serif"/>
                  <w:b w:val="false"/>
                  <w:color w:val="000080"/>
                  <w:sz w:val="20"/>
                  <w:u w:val="single"/>
                </w:rPr>
                <w:t>.)</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89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ans-serif" w:hAnsi="Times New Roman;sans-serif"/>
                  <w:b w:val="false"/>
                  <w:color w:val="0000FF"/>
                  <w:sz w:val="20"/>
                  <w:u w:val="single"/>
                </w:rPr>
                <w:t>Indenture, dated as of February 17, 2021, by and between Radiant Funding SPV, LLC and Truist Bank (incorporated herein by reference to Exhibit 4.1 to the registrant's Current Report on Form 8-K dated as of February 17, 2021.)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89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8">
              <w:r>
                <w:rPr>
                  <w:rStyle w:val="InternetLink"/>
                  <w:rFonts w:ascii="Times New Roman;sans-serif" w:hAnsi="Times New Roman;sans-serif"/>
                  <w:b w:val="false"/>
                  <w:color w:val="000080"/>
                  <w:sz w:val="20"/>
                  <w:u w:val="single"/>
                </w:rPr>
                <w:t xml:space="preserve">Description of </w:t>
              </w:r>
            </w:hyperlink>
            <w:hyperlink r:id="rId39">
              <w:r>
                <w:rPr>
                  <w:rStyle w:val="InternetLink"/>
                  <w:rFonts w:ascii="Times New Roman;sans-serif" w:hAnsi="Times New Roman;sans-serif"/>
                  <w:b w:val="false"/>
                  <w:color w:val="000080"/>
                  <w:sz w:val="20"/>
                  <w:u w:val="single"/>
                </w:rPr>
                <w:t>the registrant</w:t>
              </w:r>
            </w:hyperlink>
            <w:hyperlink r:id="rId40">
              <w:r>
                <w:rPr>
                  <w:rStyle w:val="InternetLink"/>
                  <w:rFonts w:ascii="Times New Roman;sans-serif" w:hAnsi="Times New Roman;sans-serif"/>
                  <w:b w:val="false"/>
                  <w:color w:val="000080"/>
                  <w:sz w:val="20"/>
                  <w:u w:val="single"/>
                </w:rPr>
                <w:t>’s Common Stock (incorporated herein by reference to Exhibit 4.3 to the registrant’s Annual Report on Form 10-K for the year ended December 31, 2020.)</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8938" w:type="dxa"/>
            <w:gridSpan w:val="3"/>
            <w:tcBorders/>
            <w:tcMar>
              <w:top w:w="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20"/>
                <w:u w:val="single"/>
                <w:b w:val="false"/>
                <w:rFonts w:ascii="Times New Roman;sans-serif" w:hAnsi="Times New Roman;sans-serif"/>
                <w:color w:val="0000FF"/>
              </w:rPr>
              <w:instrText xml:space="preserve"> HYPERLINK "https://www.sec.gov/ix?doc=/Archives/edgar/data/933036/000110465923049300/tm237684d2_def14a.htm" \l "tAA2L"</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Upbound Group, Inc. Amended 2021 Long Term Incentive Plan (incorporated herein by reference to Annex A of the registrant’s Proxy Statement on Schedule 14A dated as of April 25, 2023)</w:t>
            </w:r>
            <w:r>
              <w:rPr>
                <w:rStyle w:val="InternetLink"/>
                <w:sz w:val="20"/>
                <w:u w:val="single"/>
                <w:b w:val="false"/>
                <w:rFonts w:ascii="Times New Roman;sans-serif" w:hAnsi="Times New Roman;sans-serif"/>
                <w:color w:val="0000FF"/>
              </w:rPr>
              <w:fldChar w:fldCharType="end"/>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89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rcii-secondamendmentexec.htm">
              <w:r>
                <w:rPr>
                  <w:rStyle w:val="InternetLink"/>
                  <w:rFonts w:ascii="Times New Roman;sans-serif" w:hAnsi="Times New Roman;sans-serif"/>
                  <w:b w:val="false"/>
                  <w:color w:val="000080"/>
                  <w:sz w:val="20"/>
                  <w:u w:val="single"/>
                </w:rPr>
                <w:t>Second Amendment to Term Loan Credit Agreement, dated as of June 15, 2023, by and among Upbound Group, Inc.</w:t>
              </w:r>
            </w:hyperlink>
            <w:hyperlink w:anchor="rcii-secondamendmentexec.htm">
              <w:r>
                <w:rPr>
                  <w:rStyle w:val="InternetLink"/>
                  <w:rFonts w:ascii="Times New Roman;sans-serif" w:hAnsi="Times New Roman;sans-serif"/>
                  <w:b w:val="false"/>
                  <w:color w:val="000080"/>
                  <w:sz w:val="20"/>
                  <w:u w:val="single"/>
                </w:rPr>
                <w:t xml:space="preserve"> and JPMorgan Chase Bank, N.A., as administrative agent</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89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1_q2x2023.htm">
              <w:r>
                <w:rPr>
                  <w:rStyle w:val="InternetLink"/>
                  <w:rFonts w:ascii="Times New Roman;sans-serif" w:hAnsi="Times New Roman;sans-serif"/>
                  <w:b w:val="false"/>
                  <w:color w:val="0000FF"/>
                  <w:sz w:val="20"/>
                  <w:u w:val="single"/>
                </w:rPr>
                <w:t>Certification pursuant to Rule 13a-14(a) of the Securities Exchange Act of 1934 implementing Section 302 of the Sarbanes-Oxley Act of 2002 by Mitchell E. Fadel</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89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2q2x2023.htm">
              <w:r>
                <w:rPr>
                  <w:rStyle w:val="InternetLink"/>
                  <w:rFonts w:ascii="Times New Roman;sans-serif" w:hAnsi="Times New Roman;sans-serif"/>
                  <w:b w:val="false"/>
                  <w:color w:val="0000FF"/>
                  <w:sz w:val="20"/>
                  <w:u w:val="single"/>
                </w:rPr>
                <w:t>Certification pursuant to Rule 13a-14(a) of the Securities Exchange Act of 1934 implementing Section 302 of the Sarbanes-Oxley Act of 2002 by Fahmi W. Karam</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89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21_q2x2023.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 by Mitchell E. Fadel</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89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22_q2x2023.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 by Fahmi W. Karam</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893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files because its XBRL tags are embedded within the inline XBRL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893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893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893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893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893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893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 contained in Exhibit 101)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3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3896" w:type="dxa"/>
        <w:jc w:val="left"/>
        <w:tblInd w:w="0" w:type="dxa"/>
        <w:tblLayout w:type="fixed"/>
        <w:tblCellMar>
          <w:top w:w="28" w:type="dxa"/>
          <w:left w:w="28" w:type="dxa"/>
          <w:bottom w:w="28" w:type="dxa"/>
          <w:right w:w="28" w:type="dxa"/>
        </w:tblCellMar>
      </w:tblPr>
      <w:tblGrid>
        <w:gridCol w:w="124"/>
        <w:gridCol w:w="109"/>
        <w:gridCol w:w="109"/>
        <w:gridCol w:w="345"/>
        <w:gridCol w:w="345"/>
        <w:gridCol w:w="345"/>
        <w:gridCol w:w="736"/>
        <w:gridCol w:w="736"/>
        <w:gridCol w:w="10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UPBOUND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color w:val="000000"/>
                <w:sz w:val="16"/>
              </w:rPr>
              <w:t>S</w:t>
            </w:r>
            <w:r>
              <w:rPr>
                <w:rFonts w:ascii="Times New Roman;sans-serif" w:hAnsi="Times New Roman;sans-serif"/>
                <w:b w:val="false"/>
                <w:color w:val="000000"/>
                <w:sz w:val="20"/>
              </w:rPr>
              <w:t>/    FAHMI W. KARAM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Fahmi W. Karam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EVP, Chief Financial Officer</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3, 2023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rcii-secondamendmentexec.htm"/>
      <w:bookmarkStart w:id="1" w:name="ksrciisecondamendmentexec"/>
      <w:bookmarkEnd w:id="0"/>
      <w:bookmarkEnd w:id="1"/>
      <w:r>
        <w:rPr/>
        <w:drawing>
          <wp:inline distT="0" distB="0" distL="0" distR="0">
            <wp:extent cx="10048875" cy="13001625"/>
            <wp:effectExtent l="0" t="0" r="0" b="0"/>
            <wp:docPr id="4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321945"/>
                <wp:effectExtent l="0" t="0" r="0" b="0"/>
                <wp:wrapNone/>
                <wp:docPr id="41"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jc w:val="center"/>
        <w:rPr>
          <w:color w:val="FFFFFF"/>
          <w:sz w:val="2"/>
        </w:rPr>
      </w:pPr>
      <w:r>
        <w:rPr>
          <w:color w:val="FFFFFF"/>
          <w:sz w:val="2"/>
        </w:rPr>
        <w:t xml:space="preserve">EXECUTION VERSION CHAR1\1800843v7 #95014978v3 4858-3352-7145 v.2 SECOND AMENDMENT TO TERM LOAN CREDIT AGREEMENT SECOND AMENDMENT TO TERM LOAN CREDIT AGREEMENT, dated as of June 15, 2023 (this “Amendment”), among Upbound Group, Inc. (f/k/a Rent-A-Center, Inc.), a Delaware corporation (the “Borrower”), and JPMorgan Chase Bank, N.A, as administrative agent (the “Administrative Agent”) which shall amend that certain Term Loan Credit Agreement, dated as of February 17, 2021, as amended by the First Amendment, dated as of September 21, 2021, among the Borrower, the several lenders from time to time party thereto (the “Lenders”), and the Administrative Agent (as amended, supplemented or modified prior to the date hereof, the “Credit Agreement”; and the Credit Agreement as amended by this Amendment, the “Amended Credit Agreement”). RECITALS WHEREAS, certain loans, commitments and/or other extensions of credit (the “Loans”) under the Credit Agreement denominated in Dollars incur or are permitted to incur interest, fees or other amounts based on the London Interbank Offered Rate as administered by the ICE Benchmark Administration (“LIBOR”) in accordance with the terms of the Credit Agreement; WHEREAS, pursuant to Section 2.16(b) of the Credit Agreement, a Benchmark Replacement determined in accordance with clause (1) or (2) of the definition of “Benchmark Replacement” with respect to Loans denominated in Dollars will replace the applicable Benchmark for all purposes under the Credit Agreement and under any Loan Document (other than any Swap Agreement) in respect of such Benchmark setting and subsequent Benchmark settings without any further action or consent of any other party to the Credit Agreement or any other Loan Document; and WHEREAS, an Early Opt-In Election has occurred with respect to the LIBO Rate (as defined in the Credit Agreement) and the Borrower and the Administrative Agent have determined in accordance with the Credit Agreement that the LIBO Rate should be replaced with Adjusted Term SOFR as an alternative benchmark rate for purposes of the Credit Agreement for settings of benchmark rates that occur on or after the Amendment Effective Date (as defined below) pursuant to a benchmark replacement amendment in accordance with Section 2.16 of the Credit Agreement and pursuant thereto the Administrative Agent is exercising its right to make certain Benchmark Replacement Conforming Changes in connection with the implementation of the applicable benchmark replacement as set forth herein;. NOW, THEREFORE, in consideration of the premises and the mutual covenants contained herein, and for other good and valuable consideration, the receipt and sufficiency of which are hereby acknowledged, the parties hereto agree as follows: 1. Defined Terms. Capitalized terms used herein but not otherwise defined herein shall have the meanings provided to such terms in the Amended Credit Agreement. 2. Agreement. As of the Amendment Effective Date, the Credit Agreement is hereby amended to delete the stricken text (indicated textually in the same manner as the following example: stricken text) and to add the double-underlined text (indicated textually in the same manner as the following example: double-underlined text) as set forth in the pages attached as Exhibit A hereto; provided that, notwithstanding the foregoing the parties hereto acknowledge and agree that (a) (i) any Eurodollar (as defined in the Credit Agreement) Loans outstanding as of or immediately prior to the Amendment Effective Date shall remain outstanding, bearing interest at the Adjusted LIBO Rate (as defined in the Credit Agreement) plus the Applicable Margin (as defined in the Credit Agreement) applicable to the Eurodollar Loans under the Credit Agreement, until the expiration of the Interest Period Exhibit 10.2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4858-3352-7145 v.2 (as defined in the Credit Agreement) applicable thereto, and (ii) the related provisions of the Credit Agreement shall continue in effect solely with respect to such Eurodollar Loans until such time for the limited purpose set forth in this clause (a) and (b) no Loans may be continued as or converted to Eurodollar Loans, and no new Eurodollar Loans may be requested, after the Amendment Effective Date. 3. Payment of Expenses. The Borrower agrees to reimburse the Administrative Agent for all reasonable fees, charges and disbursements of the Administrative Agent in connection with the preparation, execution and delivery of this Agreement, including all reasonable fees, charges and disbursements of counsel to the Administrative Agent. 4. Conditions Precedent. The effectiveness of this Agreement is subject to the satisfaction of each of the following conditions (the date of the satisfaction of all such conditions, the “Amendment Effective Date”): (a) The Administrative Agent (or its counsel) shall have received from the Borrower either (x) a counterpart of this Agreement signed on behalf of such party or (y) written evidence reasonably satisfactory to the Administrative Agent (which may include delivery of a signed signature page of this Agreement by facsimile or other means of electronic transmission (e.g., “pdf”)) that such party has signed a counterpart of this Agreement. (b) The representations and warranties made by the Borrower in Section 5 of this Agreement shall be true and correct in all material respects (or in all respects if qualified by materiality), in each case on and as of the Amendment Effective Date, except to the extent expressly made as of an earlier date, in which case such representations and warranties shall have been so true and correct as of such earlier date. (c) At the time of and immediately after effectiveness of this Agreement, no Default or Event of Default shall have occurred and be continuing. (d) The Administrative Agent shall not have received, by 5:00 p.m. (New York City time) on June 23, 2023, written notice of objection to such Early Opt-in Election from Lenders comprising the Required Lenders. 5. Representations and Warranties. The Borrower represents and warrants to the Administrative Agent that, as of the Amendment Effective Date and after giving effect to this Amendment: (a) The Borrower has taken all necessary corporate or similar organizational action to authorize the execution, delivery and performance of this Amendment and this Amendment has been duly executed and delivered on behalf of the Borrower. This Amendment constitutes a legal, valid and binding obligation of the Borrower, enforceable against the Borrower in accordance with its terms, except as enforceability may be limited by applicable bankruptcy, insolvency, reorganization, moratorium or similar laws affecting the enforcement of creditors’ rights generally and by general equitable principles (whether enforcement is sought in proceedings in equity or at law). (b) At the time of and immediately after effectiveness of this Agreement, no Default or Event of Default shall have occurred and be continuing. 6. Reaffirmation; Reference to and Effect on the Loan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4858-3352-7145 v.2 (a) From and after the Amendment Effective Date, each reference in the Credit Agreement to “hereunder,” “hereof,” “this Agreement” or words of like import and each reference in the other Loan Documents to “Credit Agreement,” “thereunder,” “thereof” or words of like import shall, unless the context otherwise requires, mean and be a reference to the Credit Agreement as amended by this Agreement. This Agreement is a Loan Document. (b) The Loan Documents, and the obligations of the Borrower and the Subsidiary Guarantors under the Loan Documents, are hereby ratified and confirmed and shall remain in full force and effect according to their terms. (c) The Borrower, on behalf of itself and each Subsidiary Guarantor (i) acknowledges and consents to all of the terms and conditions of this Agreement, (ii) affirms all of its obligations under the Loan Documents, (iii) agrees that this Agreement and all documents executed in connection herewith do not operate to reduce or discharge its obligations under the Loan Documents, (iv) agrees that the Security Documents continue to be in full force and effect and are not impaired or adversely affected in any manner whatsoever, (v) confirms its grant of security interests pursuant to the Security Documents to which it is a party as Collateral for the Obligations, and (vi) acknowledges that all Liens granted (or purported to be granted) pursuant to the Security Documents remain and continue in full force and effect in respect of, and to secure, the Obligations. The Borrower, on behalf of each Subsidiary Guarantor, hereby reaffirms its obligations under the Holdco Guaranty or the Subsidiary Guaranty, as applicable, and agrees that its obligation to guarantee the Obligations is in full force and effect as of the date hereof. (d) The execution, delivery and effectiveness of this Agreement shall not, except as expressly provided herein, operate as a waiver of any right, power or remedy of any Lender or the Administrative Agent under any of the Loan Documents, nor constitute a waiver of any provision of any of the Loan Documents. (e) In the event of any conflict between the terms of this Agreement and the terms of the Credit Agreement or the other Loan Documents, the terms hereof shall control. 7. GOVERNING LAW; WAIVER OF JURY TRIAL. THIS AMENDMENT AND THE RIGHTS AND OBLIGATIONS OF THE PARTIES HERETO SHALL BE GOVERNED BY, AND CONSTRUED AND INTERPRETED IN ACCORDANCE WITH, THE LAWS OF THE STATE OF NEW YORK. EACH PARTY HERETO HEREBY IRREVOCABLY AND UNCONDITIONALLY WAIVES TRIAL BY JURY IN ANY SUIT, ACTION, PROCEEDING, CLAIM OR COUNTERCLAIM BROUGHT BY OR ON BEHALF OF ANY PARTY RELATED TO OR ARISING OUT OF THIS AMENDMENT OR ANY OTHER LOAN DOCUMENT AND FOR ANY COUNTERCLAIM THEREIN. 8. Amendment; Execution in Counterparts. This Amendment may not be amended nor may any provision hereof be waived except pursuant to a writing signed by the Borrower and the Administrative Agent. This Amendment may be executed by one or more of the parties to this Amendment on any number of separate counterparts, and all of said counterparts taken together shall be deemed to constitute one and the same instrument. Delivery of an executed signature page of this Amendment that is an Electronic Signature transmitted by telecopy, emailed pdf. or any other electronic means that reproduces an image of an actual executed signature page shall be effective as delivery of a manually executed counterpart hereof. The words “execution,” “signed,” “signature,” “delivery,” and words of like import in or relating to this Amendment, any other Loan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4858-3352-7145 v.2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A set of the copies of this Amendment signed by all the parties shall be lodged with the Borrower and the Administrative Agent. 10. Notices. All notices hereunder shall be given in accordance with the provisions of Section 10.2 of the Credit Agreement.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5"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2] 4858-3352-7145 v.2 Each of the parties hereto has caused a counterpart of this Agreement to be duly executed and delivered as of the date first above written. BORROWER: UPBOUND GROUP, INC.,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6"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4858-3352-7145 v.2 ADMINISTRATIVE AGENT: JPMORGAN CHASE BANK, N.A., as Administrative Agent By: Name: Title: Andrew Rossman Executive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7"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4858-3352-7145 v.2 Exhibit A (Attached 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8"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 to FirstA to Second Amendment to Credit Agreement ____________________________________________________________________________________ _ TERM LOAN CREDIT AGREEMENT among RENT-A-CENTER, INC. as Borrower, The Several Lenders from Time to Time Parties Hereto, JPMORGAN CHASE BANK, N.A. as Administrative Agent Dated as of February 17, 2021 as amended by the First Amendment and Second Amendment CREDIT SUISSE LOAN FUNDING LLC AND HSBC SECURITIES (USA) INC. as Co-Syndication Agents CITIZENS BANK, N.A. AND TRUIST BANK as Co-Documentation Agents JPMORGAN CHASE BANK, N.A., CREDIT SUISSE LOAN FUNDING LLC AND HSBC SECURITIES (USA) INC. as Lead Arrangers and Bookrunners ____________________________________________________________________________________ _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9"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Page SECTION 1. DEFINITIONS 1 1.1 Defined Terms 1 1.2 Classification of Loans and Borrowings 4746 1.3 Other Definitional Provisions 4746 1.4 Interest Rate; LIBORBenchmark Notification. 4847 1.5 Divisions 4947 1.6 Limited Condition Transaction 4947 1.7 Calculations 5048 1.8 Discontinued Operations 5149 1.9 Bridge Loans and Escrow Indebtedness 5150 SECTION 2. AMOUNT AND TERMS OF COMMITMENTS 5150 2.1 Term Loans 5150 2.2 Procedure for Term Loan Borrowing 5150 2.3 Repayment of Term Loans 5250 2.4 [Reserved] 5251 2.5 [Reserved] 5251 2.6 [Reserved] 5251 2.7 [Reserved] 5251 2.8 Fees, etc 5251 2.9 [Reserved] 5251 2.10 Optional Prepayments 5251 2.11 Mandatory Prepayments and Commitment Reductions 5351 2.12 Conversion and Continuation Options 5554 2.13 Limitations on EurodollarTerm Benchmark Tranches 5554 2.14 Interest Rates and Payment Dates 5554 2.15 Computation of Interest and Fees 5655 2.16 Alternate Rate of Interest 5655 2.17 Pro Rata Treatment and Payments 58 2.18 Requirements of Law 6059 2.19 Taxes. 6160 2.20 Indemnity 64 2.21 Change of Lending Office 6564 2.22 Replacement of Lenders 6564 2.23 [Reserved] 65 2.24 Incremental Facilities 6665 2.25 Loan Purchases 67 2.26 Loan Modification Offers 6968 2.27 Refinancing Facilities 7069 SECTION 3. [RESERVED] 71 SECTION 4. REPRESENTATIONS AND WARRANTIES 71 4.1 Financial Condition 7271 i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0"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No Change 72 4.3 Existence; Compliance with Law 72 4.4 Power; Authorization; Enforceable Obligations 72 4.5 No Legal Bar 7372 4.6 Litigation 7372 4.7 No Default 73 4.8 Ownership of Property; Liens 73 4.9 Intellectual Property 73 4.10 Taxes 73 4.11 Federal Regulations 7473 4.12 Labor Matters 7473 4.13 ERISA 7473 4.14 Investment Company Act; Other Regulations 7574 4.15 Subsidiaries; Capital Stock 7574 4.16 Use of Proceeds 75 4.17 Environmental Matters 75 4.18 Accuracy of Information, etc 7675 4.19 Security Documents 76 4.20 Solvency 76 4.21 Senior Indebtedness 76 4.22 [Reserved] 76 4.23 Anti-Corruption Laws, Anti-Money Laundering and Sanctions 76 4.24 Affected Financial Institutions 7776 SECTION 5. CONDITIONS PRECEDENT 7776 5.1 Conditions to Initial Extension of Credit 7776 5.2 Conditions to Each Extension of Credit 8079 SECTION 6. AFFIRMATIVE COVENANTS 80 6.1 Financial Statements 80 6.2 Certificates; Other Information 81 6.3 Payment of Taxes 82 6.4 Maintenance of Existence; Compliance 82 6.5 Maintenance of Insurance 8382 6.6 Inspection of Property; Books and Records; Discussions 8382 6.7 Notices 83 6.8 Environmental Laws 8483 6.9 Post-Closing Actions 84 6.10 Additional Collateral, etc 84 6.11 Designation of Subsidiaries 85 6.12 Maintenance of Ratings 86 SECTION 7. NEGATIVE COVENANTS 86 7.1 [Reserved] 86 7.2 Indebtedness 86 7.3 Liens 90 7.4 Fundamental Changes 9493 7.5 Disposition of Property 94 ii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1"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Restricted Payments 96 7.7 Investments 98 7.8 Optional Payments and Modifications of Certain Debt Instruments 101 7.9 Transactions with Affiliates 102 7.10 Sales and Leasebacks 103 7.11 Swap Agreements 103 7.12 Changes in Fiscal Periods 103 7.13 Negative Pledge Clauses 103 7.14 Clauses Restricting Subsidiary Distributions 104 7.15 Lines of Business 105 7.16 Use of Proceeds 105 SECTION 8. EVENTS OF DEFAULT 105 SECTION 9. THE AGENTS 108 9.1 Appointment 108 9.2 Administrative Agent’s Reliance, Indemnification, Etc. 110 9.3 Posting of Communications. 111 9.4 The Administrative Agent Individually. 112 9.5 Successor Administrative Agent. 112 9.6 Acknowledgements of Lenders. 113 9.7 Collateral Matters. 115 9.8 Credit Bidding. 115 9.9 Certain ERISA Matters. 116 SECTION 10. MISCELLANEOUS 117 10.1 Amendments and Waivers 117 10.2 Notices 118 10.3 No Waiver; Cumulative Remedies 119 10.4 Survival of Representations and Warranties 119 10.5 Payment of Expenses and Taxes; Indemnification; Limitation of Liability 119 10.6 Successors and Assigns; Participations and Assignments 121 10.7 Adjustments; Set-off 125 10.8 Counterparts; Electronic Execution 125 10.9 Severability 126 10.10 Integration 126 10.11 GOVERNING LAW 126 10.12 Submission To Jurisdiction; Waivers 126 10.13 Acknowledgements 127 10.14 Releases of Guarantees and Liens 127128 10.15 Confidentiality 128 10.16 WAIVERS OF JURY TRIAL 129 10.17 USA Patriot Act 129130 10.18 Intercreditor Agreements 129130 10.19 Acknowledgement and Consent to Bail-In of Affected Financial Institutions 130 10.20 Acknowledgement Regarding Any Supported QFCs 130 iii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2"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SCHEDULES: 1.1 Term Commitments 4.13 Pension Plans 4.15 Subsidiaries 4.19 UCC Filing Jurisdictions 7.2(e) Existing Indebtedness 7.2(f) Acquired Indebtedness 7.3(f) Existing Liens 7.5(l) Scheduled Dispositions 7.7(k) Existing Investments 7.13 Negative Pledge Clauses 7.14 Clauses Restricting Subsidiary Distributions EXHIBITS: A Form of Borrowing Request B Form of Interest Election Request C Form of Officer’s Certificate D Form of Guarantee and Collateral Agreement E Form of Assignment and Assumption F Form of Compliance Certificate G [Reserved] H-1 U.S. Tax Compliance Certificate (For Non-U.S. Lenders that are Not Partnerships for U.S. Federal Income Tax Purposes) H-2 U.S. Tax Compliance Certificate (For Non-U.S. Participants that are Not Partnerships for U.S. Federal Income Tax Purposes) H-3 U.S. Tax Compliance Certificate (For Non-U.S. Participants that are Partnerships for U.S. Federal Income Tax Purposes) H-4 U.S. Tax Compliance Certificate (For Non-U.S. Lenders that are Partnerships for U.S. Federal Income Tax Purposes) I-1 Form of Incremental Term Loan Activation Notice I-2 Form of New Lender Supplement J Auction Procedures K Form of ABL/Fixed Asset Intercreditor Agreement L Form of Solvency Certificate iv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3"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TERM LOAN CREDIT AGREEMENT (this “Agreement”), dated as of February 17, 2021, among Rent-A-Center, Inc., a Delaware corporation (the “Borrower”), the several banks and other financial institutions or entities from time to time parties to this Agreement, JPMorgan Chase Bank, N.A., as administrative agent, and the other agents from time to time parties hereto. The parties hereto hereby agree as follows: SECTION 1. DEFINITIONS 1.1 Defined Terms. As used in this Agreement, the terms listed in this Section 1.1 shall have the respective meanings set forth in this Section 1.1. “ABL Administrative Agent” means JPMorgan Chase Bank, N.A., as administrative agent under the ABL Loan Documents, and its successors and assigns. “ABL Commitments” means the “Commitments” as defined in the ABL Credit Agreement. “ABL Credit Agreement” means the ABL Credit Agreement, dated as of February 17, 2021, among the Borrower, the lenders and agents party thereto and the ABL Administrative Agent, as the same may be amended, restated, amended and restated, modified, supplemented, refinanced and/or replaced from time to time in accordance with the terms thereof and the ABL/Fixed Asset Intercreditor Agreement to the extent constituting Permitted Refinancing Indebtedness. “ABL/Fixed Asset Intercreditor Agreement” means the ABL/Fixed Asset Intercreditor Agreement, dated as of the Closing Date, among the Borrower, the Subsidiary Guarantors, the Administrative Agent and the ABL Administrative Agent, substantially in the form of Exhibit K, as the same may be amended, restated, amended and restated, modified, supplemented and/or replaced (in form reasonably satisfactory to the Administrative Agent) from time to time. “ABL Loan Documents” means collectively (a) the ABL Credit Agreement, (b) the ABL Security Documents, (c) the ABL/Fixed Asset Intercreditor Agreement, (d) any promissory note evidencing loans under the ABL Credit Agreement and (e) any amendment, restatement, amendment and restatement, waiver, supplement or other modification to any of the documents described in clauses (a) through (d). “ABL Loans” means loans outstanding under the ABL Credit Agreement. “ABL Obligations Payment Date” has the meaning set forth in the ABL/Fixed Asset Intercreditor Agreement. “ABL Priority Collateral” has the meaning set forth in the ABL/Fixed Asset Intercreditor Agreement. “ABL Representative” has the meaning set forth in the ABL/Fixed Asset Intercreditor Agreement. “ABL Security Documents” means the collective reference to the Guarantee and Collateral Agreement (as defined in the ABL Credit Agreement) and all other security documents delivered to the ABL Administrative Agent granting a Lien on any property of any Person to secure the obligations and liabilities of any Loan Party under any ABL Loan Document.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4"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ABR” means, when used in reference to any Loan or Borrowing, refers to whether such Loan, or the Loans comprising such Borrowing, bear interest at a rate determined by reference to the Alternate Base Rate. “Accepting Lenders” has the meaning set forth in Section 2.26(a). “Acima” means Acima Holdings, LLC. “Acima Acquisition” means the Borrower’s direct or indirect acquisition of the Acquired Business from the existing equityholders of Acima in all material respects in accordance with the terms of the Acquisition Agreement, pursuant to which Merger Sub (as defined in the Acquisition Agreement) will merge with and into Acima, with Acima continuing as the surviving person. “Acquired Business” means Acima, together with its Subsidiaries. “Acquisition Agreement” means that certain Agreement and Plan of Merger, dated as of December 20, 2020, by and among the Borrower, Merger Sub (as defined therein), Acima and Aaron Allred, as the Member Representative (as defined therein). “Additional Permitted Amount” has the meaning set forth in the definition of Permitted Refinancing Indebtedness. “Adjusted Daily Simple SOFR” means an interest rate per annum equal to (a) the Daily Simple SOFR, plus (b) 0.11448%; provided that if the Adjusted Daily Simple SOFR as so determined would be less than the Floor, such rate shall be deemed to be equal to the Floor for the purposes of this Agreement. “Adjusted LIBOTerm SOFR Rate” means, with respect to any Eurodollar Borrowing for any Interest Period, an interest rate per annum (rounded upwards, if necessary, to the next 1/16 of 1%) equal to (a) the LIBOTerm SOFR Rate for such Interest Period multiplied by (b) the Statutory Reserve Rate., plus (x) for Interest Periods of one month, 0.11448%, (y) for Interest Periods of three months, 0.26161% and (y) for Interest Periods of six months, 0.42826 %; provided that if the Adjusted Term SOFR Rate as so determined would be less than the Floor, such rate shall be deemed to be equal to the Floor for the purposes of this Agreement. “Administrative Agent” means JPMorgan Chase Bank, N.A., together with its affiliates, as the administrative agent for the Lenders under this Agreement and the other Loan Documents, together with any of its successors. “Advisory Fees” has the meaning set forth in the definition of Consolidated EBITDA. “Affected Financial Institution” means (a) any EEA Financial Institution or (b) any UK Financial Institution. “Affiliate” means, as to any Person, any other Person that, directly or indirectly, is in control of, is controlled by, or is under common control with, such Person. For purposes of this definition, “control” of a Person means the power, directly or indirectly, to direct or cause the direction of the management and policies of such Person, whether by contract or otherwise. “Agents” means the collective reference to the Administrative Agent and any other agent identified on the cover page of this Agreement. 2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5"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Agreement” has the meaning set forth in the preamble hereto. “Alternate Base Rate” means, for any day, a rate per annum equal to the greatest of (a) the Prime Rate in effect on such day, (b) the NYFRB Rate in effect on such day plus ½ of 1% and (c) the Adjusted LIBOTerm SOFR Rate for a one month Interest Period onas published two U.S. Government Securities Business Days prior to such day (or if such day is not a U.S. Government Securities Business Day, the immediately preceding U.S. Government Securities Business Day) plus 1%; provided that for the purpose of this definition, the Adjusted LIBOTerm SOFR Rate for any day shall be based on the LIBO Screen Rate (or if the LIBO Screen Rate is not available for such one month Interest Period, the Interpolated Rate)Term SOFR Reference Rate at approximately 11:00 a.m. London5:00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LIBOTerm SOFR Rate shall be effective from and including the effective date of such change in the Prime Rate, the NYFRB Rate or the Adjusted LIBOTerm SOFR Rate, respectively. If the Alternate Base Rate is being used as an alternate rate of interest pursuant to Section 2.16 (for the avoidance of doubt, only until the Benchmark Replacement has been determined pursuant to Section 2.16(b)), then the Alternate Base Rate shall be the greater of clauses (a) and (b) above and shall be determined without reference to clause (c) above. For the avoidance of doubt, if the Alternate Base Rate as determined pursuant to the foregoing would be less than 1.50%, such rate shall be deemed to be 1.50% for purposes of this Agreement. “Ancillary Document” has the meaning set forth in Section 10.8. “Anti-Corruption Laws” means all laws, rules and regulations of any jurisdiction applicable to the Borrower or its Subsidiaries from time to time concerning or relating to bribery or corruption. “Applicable Margin” means (a) (i) with respect to Initial Term Loans constituting ABR Loans, 2.25% per annum and (ii) with respect to Initial Term Loans constituting EurodollarTerm Benchmark Loans or RFR Loans, 3.25% per annum; and (b) with respect to Incremental Term Loans of any Series, such per annum rates as shall be agreed to by the Borrower and the applicable Incremental Term Lenders as shown in the applicable Incremental Term Loan Activation Notice in respect of such Series. “Applicable Reference Period” means as of any date of determination, the most recently ended Reference Period for which financial statements with respect to each fiscal quarter included in such Reference Period have been delivered pursuant to Section 6.1(a) or 6.1(b) (or, prior to the delivery of any such financial statements, the Reference Period ended September 30, 2020). “Approved Electronic Platform” has the meaning set forth in Section 9.3(a). “Approved Fund” has the meaning set forth in Section 10.6(b). “Arrangers” means JPMorgan Chase Bank, N.A., Credit Suisse Loan Funding LLC, HSBC Securities (USA) Inc., Citizens Bank, N.A. and Truist Bank. “Asset Sale” means any Disposition of property or series of related Dispositions of property pursuant to Section 7.5(n) or (o) that yields gross proceeds to any Group Member (valued at the initial principal amount thereof in the case of non-cash proceeds consisting of notes or other debt 3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6"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securities and valued at fair market value in the case of other non-cash proceeds) in excess of $15,000,000 in any single transaction or series of related transactions. “Asset Sale Percentage” means 100%; provided, that (a) the Asset Sale Percentage shall be reduced to 50% if the Consolidated Secured Leverage Ratio for the Applicable Reference Period calculated on a Pro Forma Basis is less than or equal to 1.50 to 1.00 but greater than 1.00 to 1.00 and (b) the Asset Sale Percentage shall be reduced to 0% if the Consolidated Secured Leverage Ratio for the Applicable Reference Period calculated on a Pro Forma Basis is less than or equal to 1.00 to 1.00. “Assignee” has the meaning set forth in Section 10.6(b)(i). “Assignment and Assumption” means an Assignment and Assumption, substantially in the form of Exhibit E or any other form (including electronic records generated by the use of an electronic Platform) approved by the Administrative Agent. “Attributable Indebtedness” means in respect of any sale and leaseback transaction, as at the time of determination, the present value (discounted at the implied interest rate in such transaction compounded annually) of the total obligations of the lessee for rental payments during the remaining term of the lease included in such sale and leaseback transaction (including any period for which such lease has been extended or may, at the option of the lessor, be extended). “Auction Manager” has the meaning set forth in Section 2.25. “Auction Notice” means an auction notice given by the Borrower in accordance with the Auction Procedures with respect to an Auction Purchase Offer. “Auction Procedures” means the auction procedures with respect to Auction Purchase Offers set forth in Exhibit J hereto. “Auction Purchase Offer” means an offer by the Borrower to purchase Term Loans of one or more Facilities pursuant to modified Dutch auctions conducted in accordance with the Auction Procedures and otherwise in accordance with Section 2.25. “Available Amount” means at any time, the excess if any, of: (a) the sum (without duplication) of: (i) an amount equal to 100% of Retained Excess Cash Flow; (ii) the Net Cash Proceeds (Not Otherwise Applied) received after the Closing Date and on or prior to such date from any issuance of Qualified Capital Stock by the Borrower (other than any such issuance to a Group Member); (iii) the Net Cash Proceeds of Indebtedness and Disqualified Capital Stock of the Borrower, in each case incurred or issued after the Closing Date, which have been exchanged or converted into Qualified Capital Stock; (iv) the Net Cash Proceeds of Dispositions of Investments made using the Available Amount on or after the Closing Date; 4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7"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 to the extent not already included in Consolidated Net Income, returns, profits, distributions and similar amounts received in cash or Cash Equivalents on Investments made using the Available Amount on or after the Closing Date; (vi) the Investments made on or after the Closing Date using the Available Amount of the Borrower and its Restricted Subsidiaries in any Unrestricted Subsidiary that has been re-designated as a Restricted Subsidiary or that has been merged or consolidated into the Borrower or any of its Restricted Subsidiaries or the fair market value of the assets of any Unrestricted Subsidiary that have been transferred to the Borrower or any of its Restricted Subsidiaries; (vii) the Net Cash Proceeds of Dispositions after the Closing Date of Unrestricted Subsidiaries and Joint Ventures; (viii) the aggregate amount received after the Closing Date and on or prior to such date by the Borrower or any Restricted Subsidiary in cash from any dividend or other distribution by an Unrestricted Subsidiary or a Joint Venture (except to the extent increasing Consolidated Net Income); (ix) the aggregate amount of the Declined Amounts (calculated from the Closing Date) Not Otherwise Applied; and (x) $242,300,000; minus (b) the sum of all (x) Restricted Payments made on or after the Closing Date and prior to such time in reliance on Section 7.6(g), (y) Investments made on or after the Closing Date, prior to such time in reliance on Section 7.7(r) and (z) Restricted Debt Payments made on or after the Closing Date and prior to such time in reliance on Section 7.8(a)(v), in each case utilizing the Available Amount or portions thereof in effect on the date of any such Restricted Payment, Investment or Restricted Debt Payment. “Available Incremental Amount” means, on any date, the sum of the following: (a) the Base Incremental Amount; (b) the Voluntary Prepayment Amount; (c) with respect to any Indebtedness secured on a pari passu basis with the Initial Term Facility, an unlimited amount, so long as after giving effect to the incurrence of such Indebtedness under this clause (c), the Consolidated Senior Secured Leverage Ratio for the Applicable Reference Period, calculated on a Pro Forma Basis as of the date of incurrence of such Indebtedness, is equal to or less than either (i) 2.00 to 1.00 or (ii) in the case of any such Indebtedness incurred in connection with a Permitted Acquisition or Investment, the Consolidated Senior Secured Leverage Ratio for the Applicable Reference Period, calculated on a Pro Forma Basis immediately prior to giving pro forma effect to such Permitted Acquisition or Investment; (d) with respect to any Indebtedness secured on a junior basis to the Initial Term Facility, an unlimited amount, so long as after giving effect to the incurrence of such Indebtedness under this clause (d), the Consolidated Secured Leverage Ratio for the Applicable Reference Period, calculated on a Pro Forma Basis as of the date of incurrence of such Indebtedness, is equal to or less than either (i) 2.00 to 1.00 or (ii) in the case of any such Indebtedness incurred in connection with a Permitted Acquisition or Investment, the Consolidated Secured Leverage Ratio for the 5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8"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Applicable Reference Period, calculated on a Pro Forma Basis immediately prior to giving pro forma effect to such Permitted Acquisition or Investment; and (e) with respect to any unsecured Indebtedness, an unlimited amount, so long as after giving effect to the incurrence of such Indebtedness under this clause (e), either (i) the Consolidated Leverage Ratio for the Applicable Reference Period, calculated on a Pro Forma Basis as of the date of incurrence of such Indebtedness, is equal to or less than either (x) 2.50 to 1.00 or (y) in the case of any such Indebtedness incurred in connection with a Permitted Acquisition or Investment, the Consolidated Leverage Ratio for the Applicable Reference Period, calculated on a Pro Forma Basis immediately prior to giving pro forma effect to such Permitted Acquisition or Investment or (ii) the Consolidated Cash Interest Coverage Ratio for the Applicable Reference Period, calculated on a Pro Forma Basis as of the date of incurrence of such Indebtedness, is equal to or greater than either (x) 2.00:1.00 or (y) in the case of any such Indebtedness incurred in connection with a Permitted Acquisition or Investment, the Consolidated Cash Interest Coverage Ratio for the Applicable Reference Period, calculated on a Pro Forma Basis immediately prior to giving pro forma effect to such Permitted Acquisition or Investment. “Available Tenor” means, as of any date of determination and with respect to the then-current Benchmark (or component thereof),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(f) of Section 2.16. “Bail-In Action” means the exercise of any Write-Down and Conversion Powers by the applicable Resolution Authority in respect of any liability of an Affected Financial Institution. “Bail-In Legislation” means (a)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“Bankruptcy Code” means Title 11 of the United States Code (11 U.S.C. § 101 et seq.), as now and hereafter in effect, or any successor statute. “Bankruptcy Plan” means a reorganization or plan of liquidation pursuant to any Debtor Relief Laws. “Base Incremental Amount” means as of any date, an amount equal to (a) the greater of (i) $500,000,000 and (ii) 100% of Consolidated EBITDA calculated on a Pro Forma Basis for the Applicable Reference Period less (b) the aggregate principal amount of Incremental Term Loans and Incremental Equivalent Debt established prior to such date in reliance on the Base Incremental Amount. “Benchmark” means, initially, the LIBOwith respect to any (i) RFR Loan, the Daily Simple SOFR or (ii) Term Benchmark Loan, the Term SOFR Rate; provided that if a Benchmark 6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9"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Transition Event, a Term SOFR Transition Event, an Early Opt-in Election or an Other Benchmark Rate Election, as applicable, and its and the related Benchmark Replacement Date have occurred with respect to the LIBODaily Simple SOFR or Term SOFR Rate, as applicable, or the then-current Benchmark, then “Benchmark” means the applicable Benchmark Replacement to the extent that such Benchmark Replacement has replaced such prior benchmark rate pursuant to clause (b) or clause (c) of Section 2.16. “Benchmark Replacement” means, for any Available Tenor, the first alternative set forth in the order below that can be determined by the Administrative Agent for the applicable Benchmark Replacement Date; provided that, in the case of an Other Benchmark Rate Election, “Benchmark Replacement” shall mean the alternative set forth in (3) below: (1) the sum of: (a) Term SOFR and (b) the related Benchmark Replacement Adjustment; (21) the sum of: (a)Adjusted Daily Simple SOFR and (b) the related Benchmark Replacement Adjustment; (32) 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 provided that, in the case of clause (1), such Unadjusted Benchmark Replacement is displayed on a screen or other information service that publishes such rate from time to time as selected by the Administrative Agent in its reasonable discretion; provided further that, in the case of clause (3), when such clause is used to determine the Benchmark Replacement in connection with the occurrence of an Other Benchmark Rate Election, the alternate benchmark rate selected by the Administrative Agent and the Borrower shall be the term benchmark rate that is used in lieu of a LIBOR-based rate in the relevant other Dollar-denominated syndicated credit facilities; provided further that, notwithstanding anything to the contrary in this Agreement or in any other Loan Document, upon the occurrence of a Term SOFR Transition Event, and the delivery of a Term SOFR Notice, on the applicable Benchmark Replacement Date the “Benchmark Replacement” shall revert to and shall be deemed to be the sum of (a) Term SOFR and (b) the related Benchmark Replacement Adjustment, as set forth in clause (1) of this definition (subject to the first proviso above). If the Benchmark Replacement as determined pursuant to clause (1), or (2) or (3) above would be less than 0.50%the Floor, the Benchmark Replacement will be deemed to be 0.50%the Floor for the purposes of this Agreement and the other Loan Documents. “Benchmark Replacement Adjustment” means, with respect to any replacement of the then current Benchmark with an Unadjusted Benchmark Replacement for any applicable Interest Period and Available Tenor for any setting of such Unadjusted Benchmark Replacement: (1) for purposes of clauses (1) and (2) of the definition of “Benchmark Replacement,” the first alternative set forth in the order below that can be determined by the Administrative Agent: (a) the spread adjustment, or method for calculating or determining such spread adjustment, (which may be a positive or negative value or zero) as of the Reference Time such 7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0"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Benchmark Replacement is first set for such Interest Period that has been selected or recommended by the Relevant Governmental Body for the replacement of such Benchmark with the applicable Unadjusted Benchmark Replacement for the applicable Corresponding Tenor; (b) 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 (2) for purposes of clause (3) of the definition of “Benchmark Replacement,” Adjustment”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U.S. dollar dollar-denominated syndicated credit facilities; at such time. provided that, in the case of clause (1) above, such adjustment is displayed on a screen or other information service that publishes such Benchmark Replacement Adjustment from time to time as selected by the Administrative Agent in its reasonable discretion. “Benchmark Replacement Conforming Changes” means, with respect to any Benchmark Replacement and/or any Term Benchmark Loan,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in consultation with the Borrower,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in consultation with the Borrower, decides is reasonably necessary in connection with the administration of this Agreement and the other Loan Documents). “Benchmark Replacement Date” means, with respect to any Benchmark, the earliest to occur of the following events with respect to such then-current Benchmark: (1) in the case of clause (1) or (2) of the definition of “Benchmark Transition Event,” the later of (a) the date of the public statement or publication of information referenced therein and (b) the date on which the administrator of such Benchmark (or the published 8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1"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component used in the calculation thereof) permanently or indefinitely ceases to provide all Available Tenors of such Benchmark (or such component thereof); or (2) 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(c) and even if any Available Tenor of such Benchmark (or such component thereof) continues to be provided on such date;. (3) in the case of a Term SOFR Transition Event, the date that is thirty (30) days after the date a Term SOFR Notice is provided to the Lenders and the Borrower pursuant to Section 2.14(c); or (4) in the case of an Early Opt-in Election or an Other Benchmark Rate Election, the sixth Business Day after the date notice of such Early Opt-in Election or Other Benchmark Rate Election, as applicable, is provided to the Lenders, so long as the Administrative Agent has not received, by 5:00 p.m. (New York City time) on the fifth Business Day after the date notice of such Early Opt-in Election or Other Benchmark Rate Election, as applicable, is provided to the Lenders, written notice of objection to such Early Opt-in Election or Other Benchmark Rate Election, as applicable, from Lenders comprising the Required Lenders. 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 “Benchmark Transition Event” means, with respect to any Benchmark, the occurrence of one or more of the following events with respect to such then-current Benchmark: (1)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(2) 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9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2"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that will continue to provide any Available Tenor of such Benchmark (or such component thereof); or (3)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 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“Benchmark Unavailability Period”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2.16 and (y) ending at the time that a Benchmark Replacement has replaced such then-current Benchmark for all purposes hereunder and under any Loan Document in accordance with Section 2.16. “Benefit Plan” means any of (a) an “employee benefit plan” (as defined in Section 3(3) of ERISA) that is subject to Title I of ERISA, (b) a “plan” as defined in Section 4975 of the Code, and (c) any Person whose assets include (for purposes of the Plan Asset Regulations or otherwise for purposes of Title I of ERISA or Section 4975 of the Code) the assets of any such “employee benefit plan” or “plan”. “Benefitted Lender” has the meaning set forth in Section 10.7(a). “BHC Act Affiliate” of a party means an “affiliate” (as such term is defined under, and interpreted in accordance with, 12 U.S.C. 1841(k)) of such party. “Board” means the Board of Governors of the Federal Reserve System of the United States (or any successor). “Borrower” has the meaning set forth in the preamble hereto. “Borrower Debt Repayment” means the repayment of, termination of all commitments under and the discharge of and release of all security and guarantees in respect of (i) the Existing Term Loan Facility and (ii) the Existing ABL Facility, in each case, as amended, supplemented or otherwise modified. “Borrower Materials” has the meaning set forth in Section 10.15(a). “Borrowing” means Loans of the same Facility and Type made, converted or continued on the same date and, in the case of EurodollarTerm Benchmark Loans, as to which a single Interest Period is in effect. “Borrowing Date” means any Business Day specified by the Borrower as a date on which the Borrower requests the relevant Lenders to make Loans hereunder. 10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3"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Borrowing Request” means a request by the Borrower for a borrowing of Loans in accordance with Section 2.2, which shall be substantially in the form of Exhibit A or any other form approved by the Administrative Agent. “Business Day” means a day other than a Saturday, Sunday or other day on which commercial banks in New York City are authorized or required by law to close, provided, that with respect to notices and determinations in connection with, and payments of principal and interest on, Loans having an interest rate determined by reference to the Adjusted LIBO Rate, such day is also a day for trading by and between banks in Dollar deposits in the interbank eurodollar market.; provided that, in addition to the foregoing, (a) in relation to RFR Loans and any interest rate settings, fundings, disbursements, settlements or payments of any such RFR Loan, or any other dealings of such RFR Loan and (b) in relation to Term Benchmark Loans and any interest rate settings, fundings, disbursements, settlements or payments of any such Term Benchmark Loans, or any other dealings of such Term Benchmark Loans, “Business Day” shall only include any such day that is a U.S. Government Securities Business Day. “Capital Expenditures” means for any period, with respect to any Person, the aggregate of all expenditures by such Person and its Restricted Subsidiaries for the acquisition or leasing (pursuant to a finance lease) of fixed or capital assets or additions to equipment (including replacements, capitalized repairs and improvements during such period) that is required to be capitalized under GAAP on a consolidated balance sheet of such Person and its Restricted Subsidiaries. “Capital Stock” means any and all shares, interests, participations or other equivalents (however designated) of capital stock of a corporation, any and all equivalent ownership interests in a Person (other than a corporation) and any and all warrants, rights or options to purchase any of the foregoing, but excluding any debt securities convertible into any of the foregoing. “Cash Equivalents” means (a) marketable direct obligations issued by, or unconditionally guaranteed by, the United States Government or issued by any agency thereof and backed by the full faith and credit of the United States, in each case maturing within two years from the date of acquisition; (b) certificates of deposit, time deposits, eurodollar time deposits or overnight bank deposits having maturities of six months or less from the date of acquisition issued by any Lender or by any commercial bank organized under the laws of the United States or any state thereof having combined capital and surplus of not less than $250,000,000; (c) commercial paper of an issuer rated at least A-2 by S&amp;P or P-2 by Moody’s, or carrying an equivalent rating by a nationally recognized rating agency, if both of the two named rating agencies cease publishing ratings of commercial paper issuers generally, and maturing within nine months from the date of acquisition; (d) repurchase obligations of any Lender or of any commercial bank satisfying the requirements of clause (b) of this definition, having a term of not more than 30 days, with respect to securities issued or fully guaranteed or insured by the United States government; (e) securities with maturities of two years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 (f) securities with maturities of six months or less from the date of acquisition backed by standby letters of credit issued by any Lender or any commercial bank satisfying the requirements of clause (b) of this definition; (g) money market mutual or similar funds that invest exclusively in assets satisfying the requirements of clauses (a) through (f) of this definition; or (h) money market funds that (i) comply with the criteria set forth in SEC Rule 2a-7 under the Investment Company Act of 1940, as amended, (ii) are rated AAA by S&amp;P and Aaa by Moody’s and (iii) have portfolio assets of at least $1,000,000,000. 11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4"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CFC” means (a) each Person that is a “controlled foreign corporation” for purposes of the Code and (b) each Subsidiary of any such Person. “CFC Holding Company” means each Domestic Subsidiary substantially all of the assets of which consist of Capital Stock of one or more (a) CFCs or (b) Persons described in this definition. “Change of Control” means the acquisition of ownership, directly or indirectly, beneficially or of record, by any Person or group (within the meaning of the Exchange Act and the rules of the SEC thereunder, but excluding any employee benefit plan of such Person or its Subsidiaries and any Person acting in its capacity as trustee, agent or other fiduciary or administrator of such plan) of Capital Stock of the Borrower representing more than 40% of the aggregate ordinary (in the absence of contingencies) voting power represented by the issued and outstanding Capital Stock of the Borrower. Notwithstanding the preceding sentence or any provision of Rule 13d-3 of the Exchange Act (as in effect on the Closing Date), a person or “group” shall not be deemed to beneficially own securities subject to an equity or asset purchase agreement, merger agreement or similar agreement (or voting or option or similar agreement related thereto) until the consummation of the transactions contemplated by such agreement. “Closing Date” means February 17, 2021. “CME Term SOFR Administrator” means CME Group Benchmark Administration Limited as administrator of the forward-looking term Secured Overnight Financing Rate (SOFR) (or a successor administrator). “Code” means the Internal Revenue Code of 1986, as amended. “Collateral” means all property of the Loan Parties, now owned or hereafter acquired, upon which a Lien is purported to be created by any Security Document. “Commitment” means, with respect to any Lender, such Lender’s Initial Term Loan Commitment, Incremental Term Loan Commitment of any Series or any combination thereof (as the context requires). “Communications” means, collectively, any notice, demand, communication, information, document or other material provided by or on behalf of any Loan Party pursuant to any Loan Document or the transactions contemplated therein which is distributed by the Administrative Agent, any Lender by means of electronic communications pursuant to Section 9.3, including through an Approved Electronic Platform. “Compliance Certificate” means a certificate duly executed by a Responsible Officer substantially in the form of Exhibit F. “Connection Income Taxes” means Other Connection Taxes that are imposed on or measured by net income (however denominated) or that are franchise Taxes or branch profits Taxes. “Consolidated Cash Interest Coverage Ratio” means as at the last day of any Reference Period, the ratio of (a) Consolidated Cash Interest Expense for such period to (b) Consolidated EBITDA for such period. “Consolidated Cash Interest Expense” means for any period, (a) total cash interest expense (including imputed interest expense attributable to payments of Finance Lease Obligations) of the Borrower and its Restricted Subsidiaries for such period with respect to all outstanding Specified 12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5"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Indebtedness of the Borrower and its Restricted Subsidiaries (excluding all commissions, discounts and other fees and charges owed with respect to letters of credit and bankers’ acceptance financing and net costs under Swap Agreements in respect of interest rates to the extent such net costs are allocable to such period in accordance with GAAP) plus (b) commissions, discounts, yield and other fees and charges (including Securitization Fees) incurred in connection with any Qualified Securitization Transaction which are payable to Persons other than the Borrower and its Restricted Subsidiaries. For the purposes of calculating Consolidated Cash Interest Expense for any Reference Period pursuant to any determination of the Consolidated Cash Interest Coverage Ratio, (i) if at any time during such Reference Period the Borrower or any Restricted Subsidiary shall have made any Material Disposition, the Consolidated Cash Interest Expense for such Reference Period shall be reduced by an amount equal to the Consolidated Cash Interest Expense attributable to any Restricted Subsidiary that is the subject of such Material Disposition for such Reference Period, (ii) if during such Reference Period the Borrower or any Restricted Subsidiary shall have made a Material Acquisition, Consolidated Cash Interest Expense for such Reference Period shall be calculated after giving pro forma effect thereto as if such Material Acquisition occurred on the first day of such Reference Period and (iii) in the case of any Reference Period which includes any fiscal quarter ended on or prior to the Closing Date, for each such fiscal quarter ended on or prior to the Closing Date, Consolidated Cash Interest Expense shall be deemed to be $18,552,158, in each case subject to any pro forma adjustments (other than in respect of the Acima Acquisition) permitted under this Agreement. “Consolidated Cash Taxes” means for any period, with respect to the Borrower and its Restricted Subsidiaries on a consolidated basis, the aggregate amount of all income and similar Taxes, to the extent the same are payable in cash with respect to such period. “Consolidated Current Assets” means at any date, all amounts (other than cash and Cash Equivalents) that would, in conformity with GAAP, be reflected in “total current assets” (or any like caption) on a consolidated balance sheet of the Borrower and its Restricted Subsidiaries at such date and including, for purposes of this definition, all rental inventory. “Consolidated Current Liabilities” means at any date, all amounts that would, in conformity with GAAP, be reflected in “total current liabilities” (or any like caption) on a consolidated balance sheet of the Borrower and its Restricted Subsidiaries at such date, but excluding (a) the current portion of any Funded Debt of the Borrower and its Restricted Subsidiaries and (b) without duplication of clause (a) above, all Indebtedness consisting of ABL Loans to the extent otherwise included therein. “Consolidated EBITDA” means for any period, Consolidated Net Income for such period plus, without duplication and to the extent reflected as a charge in the statement of such Consolidated Net Income for such period, the sum of: (a) provisions for taxes based on income or profits or capital, including state, franchise, excise and similar taxes and foreign withholding taxes paid or accrued, including penalties and interest relating to tax examinations, (b) interest expense, amortization or writeoff of debt discount and debt issuance costs and commissions, discounts and other fees and charges associated with Indebtedness (including the Loans, the ABL Loans and the Unsecured Notes), (c) depreciation and amortization expense, including amortization of capitalized expenses for software-as-a-service solutions for accounting, 13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6"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 non-cash charges, losses, expenses, accruals and provisions, including stock-based compensation and sale of assets not in the ordinary course of business (but excluding any such non-cash charge to the extent that it represents an accrual or reserve for cash expenses in any future period), (e) amortization of intangibles (including, but not limited to, impairment of goodwill) and organization costs, (f) any extraordinary, unusual or non-recurring charges, expenses or losses, including, (i) legal settlement expenses and recoveries, (ii) non-recurring natural disaster related-charges and (iii) infrequent or unusual inventory adjustments, (g) any fees and expenses incurred during such period in connection with any Investment (including any Permitted Acquisition), Disposition, issuance of Indebtedness or Capital Stock, or amendment or modification of any debt instrument, in each case permitted under this Agreement, including (i) any such transactions undertaken but not completed and any transactions consummated prior to the Closing Date and (ii) any financial advisory fees, accounting fees, legal fees and other similar advisory and consulting fees, in each case paid in cash during such period (collectively, “Advisory Fees”), (h) any fees and expenses incurred in connection with the Transactions, including Advisory Fees and (solely for purposes of this clause (h)) cash charges or expenses in respect of strategic market reviews, stay or sign-on bonuses, integration-related bonuses, restructuring, consolidation, severance or discontinuance of any portion of operations, employees and/or management, (i) the amount of “run-rate” cost savings, operating expense reductions, operating improvements, revenue enhancements, business optimizations and synergies that are reasonably identifiable, factually supportable and projected by the Borrower in good faith to be realized as a result of mergers and other business combinations, Permitted Acquisitions, divestitures, insourcing initiatives, cost savings initiatives, plant consolidations, openings and closings, product rationalization and other similar initiatives after the Closing Date, in each case to the extent not prohibited by this Agreement (collectively, “Initiatives”) (calculated on a pro forma basis as though such cost savings, operating expense reductions, operating improvements, revenue enhancements, business optimizations and synergies had been realized on the first day of the relevant Reference Period), net of the amount of actual benefits realized in respect thereof; provided that (i) actions in respect of such cost-savings, operating expense reductions, operating improvements, revenue enhancements, business optimizations and synergies have been, or will be, taken within 12 months of the applicable Initiative, (ii) no cost savings, operating expense reductions, operating improvements, revenue enhancements, business optimizations or synergies shall be added pursuant to this clause (i) to the extent duplicative of any expenses or charges otherwise added to (or excluded from) Consolidated EBITDA, whether through a pro forma adjustment or otherwise, for such period, (iii) projected amounts (and not yet realized) may no longer be added in calculating Consolidated EBITDA pursuant to this clause (i) to the extent occurring more than eight fiscal quarters after the applicable Initiative and (iv) with respect to any Reference Period, the aggregate amount added back in the calculation of Consolidated EBITDA for such Reference Period pursuant to this clause (i) and clause (j) below shall not exceed 25% of Consolidated EBITDA (calculated after giving effect to any add-backs pursuant to this clause (i) and clause (j) below), (j) non-recurring cash expenses or charges recognized for restructuring costs, integration costs and business optimization expenses in connection with any Initiative; provided that with respect to any Reference Period, the aggregate amount added back in the calculation of Consolidated EBITDA for such Reference Period pursuant to this clause (j) and clause (i) above shall not exceed 25% 14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7"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 Consolidated EBITDA (calculated after giving effect to any add-backs pursuant to this clause (j) and clause (i) above), (k) fees, costs, expenses and charges associated with contract terminations; provided that with respect to any Reference Period, the aggregate amount added back in the calculation of Consolidated EBITDA for such Reference Period pursuant to this clause (k) shall not exceed 5% of Consolidated EBITDA (calculated after giving effect to any add-backs pursuant to this clause (k)), (l) losses, charges and expenses related to the early extinguishment of Indebtedness, hedge agreements or other derivative instruments (including deferred financing fees), (m) losses, charges and expenses attributable to abandoned, closed, Disposed or discontinued operations and losses, charges and expenses related to the abandonment, closure, Disposal or discontinuation thereof, (n) charges, expenses and other items described in the model delivered by the Borrower to the Arrangers on December 14, 2020, and (o) legal and professional fees and expenses incurred in connection with the Transactions, minus, (x) to the extent included in the statement of such Consolidated Net Income for such period, the sum of: (i) interest income, (ii) any extraordinary, unusual or non-recurring income or gains (including, whether or not otherwise includable as a separate item in the statement of such Consolidated Net Income for such period, gains on the sales of assets outside of the ordinary course of business), (iii) income tax credits (to the extent not netted from income tax expense), (iv) any other non-cash income (other than normal accruals in the ordinary course of business for non-cash income that represents an accrual for cash income in a future period), (v) gains related to the early extinguishment of Indebtedness, hedge agreements or other derivative instruments (including deferred financing fees), and (vi) gains attributable to abandoned, closed, Disposed or discontinued operations, and (y) any cash payments made during such period in respect of items described in clause (d) above subsequent to the fiscal quarter in which the relevant non-cash expenses or losses were reflected as a charge in the statement of Consolidated Net Income, all as determined on a consolidated basis. For the purposes of calculating Consolidated EBITDA for any Reference Period pursuant to any determination of the Consolidated Leverage Ratio, Consolidated Secured Leverage Ratio, Consolidated Senior Secured Leverage Ratio or Consolidated Cash Interest Coverage Ratio, (i) if at any 15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8"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time during such Reference Period the Borrower or any Restricted Subsidiary shall have made any Material Disposition, the Consolidated EBITDA for such Reference Period shall be reduced by an amount equal to the Consolidated EBITDA (if positive) attributable to the property that is the subject of such Material Disposition for such Reference Period or increased by an amount equal to the Consolidated EBITDA (if negative) attributable thereto for such Reference Period, (ii) if during such Reference Period the Borrower or any Restricted Subsidiary shall have made a Material Acquisition, Consolidated EBITDA for such Reference Period shall be calculated after giving pro forma effect thereto as if such Material Acquisition occurred on the first day of such Reference Period and (iii) in the case of any Reference Period which includes any fiscal quarter ended on or prior to the Closing Date, if the respective Reference Period (a) includes the fiscal quarter of the Borrower ended September 30, 2020, Consolidated EBITDA for such fiscal quarter shall be deemed to be $166,560,166, (b) includes the fiscal quarter of the Borrower ended June 30, 2020, Consolidated EBITDA for such fiscal quarter shall be deemed to be $131,999,152, (c) includes the fiscal quarter of the Borrower ended March 31, 2020, Consolidated EBITDA for such fiscal quarter shall be deemed to be $112,667,268 and (d) includes the fiscal quarter of the Borrower ended December 31, 2019, Consolidated EBITDA for such fiscal quarter shall be deemed to be $104,651,226, in each case subject to any pro forma adjustments (other than in respect of the Acima Acquisition) permitted under this Agreement. “Consolidated Leverage Ratio” means as at the last day of any Reference Period, the ratio of (a)(i) Consolidated Total Debt on such day less (ii) the aggregate Unrestricted Cash of the Group Members on such day to (b) Consolidated EBITDA for such period. “Consolidated Net Income” means for any period, the consolidated net income (or loss) of the Borrower and its Restricted Subsidiaries, determined on a consolidated basis in accordance with GAAP; provided that there shall be excluded: (a) the income (or deficit) of any Person accrued prior to the date it becomes a Restricted Subsidiary of the Borrower or is merged into or consolidated with the Borrower or any of its Restricted Subsidiaries; (b) the income (or deficit) of any Person (other than a Restricted Subsidiary of the Borrower) in which the Borrower or any of its Restricted Subsidiaries has an ownership interest, except to the extent that any such income is actually received by the Borrower or such Restricted Subsidiary in the form of dividends or similar distributions; (c) the undistributed earnings of any Restricted Subsidiary (other than a Securitization Subsidiary) of the Borrower to the extent that the declaration or payment of dividends or similar distributions by such Restricted Subsidiary is not at the time permitted by the terms of any Contractual Obligation (other than under any Loan Document) or Requirement of Law applicable to such Restricted Subsidiary; (d) any income (or loss) for such period attributable to the early extinguishment of Indebtedness or Swap Obligations; and (e) the cumulative effect of a change in accounting principles and changes as a result of the adoption or modification of accounting policies during such period. “Consolidated Priority Debt” means at any date, Consolidated Total Debt at such date that is secured by a Lien on any Collateral (other than Indebtedness that is secured only by Liens on Collateral that are pari passu or junior to the Liens on such Collateral securing the Initial Term Loans). 16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9"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Consolidated Priority Leverage Ratio” means as of the last day of any Reference Period, the ratio of (a)(i) Consolidated Priority Debt on such day less (ii) the aggregate Unrestricted Cash of the Group Members on such date to (b) Consolidated EBITDA for such period. “Consolidated Secured Debt” means at any date, Consolidated Total Debt at such date that is secured by a Lien on any property of any Group Member. “Consolidated Secured Leverage Ratio” means as at the last day of any Reference Period, the ratio of (a)(i) Consolidated Secured Debt on such day less (ii) the aggregate Unrestricted Cash of the Group Members on such day to (b) Consolidated EBITDA for such period. “Consolidated Senior Secured Debt” means at any date, Consolidated Total Debt (other than Indebtedness that is secured only by Liens that are junior to the Liens securing the Initial Term Loans) at such date that is secured by a Lien on any property of any Group Member. “Consolidated Senior Secured Leverage Ratio” means as at the last day of any Reference Period, the ratio of (a)(i) Consolidated Senior Secured Debt on such day less (ii) the aggregate Unrestricted Cash of the Group Members on such day to (b) Consolidated EBITDA for such period. “Consolidated Total Assets” means at any date of determination, the total assets, in each case reflected on the consolidated balance sheet of the Borrower and its Restricted Subsidiaries as at the end of the most recently ended fiscal quarter of the Borrower for which a balance sheet is available, determined in accordance with GAAP (and, in the case of any determination related to the incurrence of Indebtedness or Liens or any Investment, on a pro forma basis including any property or assets being acquired in connection therewith). “Consolidated Total Debt” means at any date (without duplication), all Finance Lease Obligations, purchase money Indebtedness, Indebtedness for borrowed money and letters of credit (but only to the extent drawn and not reimbursed), in each case of the Borrower and its Restricted Subsidiaries at such date, determined on a consolidated basis in accordance with GAAP. “Consolidated Working Capital” means at any date, the excess of Consolidated Current Assets on such date over Consolidated Current Liabilities on such date. “Contract Consideration” has the meaning set forth in the definition of “Excess Cash Flow”. “Contractual Obligation” means as to any Person, any provision of any security issued by such Person or of any agreement, instrument or other undertaking to which such Person is a party or by which it or any of its property is bound (including its Organizational Documents). “Corresponding Tenor” with respect to any Available Tenor means, as applicable, either a tenor (including overnight) or an interest payment period having approximately the same length (disregarding business day adjustment) as such Available Tenor. “Covered Entity” means any of the following: (a) a “covered entity” as that term is defined in, and interpreted in accordance with, 12 C.F.R. § 252.82(b); 17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0"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a “covered bank” as that term is defined in, and interpreted in accordance with, 12 C.F.R. § 47.3(b); or (c) a “covered FSI” as that term is defined in, and interpreted in accordance with, 12 C.F.R. § 382.2(b). “Covered Party” has the meaning set forth in Section 10.20. “Credit Party” means the Administrative Agent or any other Lender and, for the purposes of Section 10.13 only, any other Agent and any Arranger. “Daily Simple SOFR” means, for any day, (a “SOFR, with the conventions for this rate (which may include a lookback) being Rate Day”), a rate per annum equal to SOFR for the day (such day, a “SOFR Determination Date”) that is five (5) U.S. Government Securities Business Day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estapublished by the SOFR Administrativeor Agent in accordance with the conventions for this rate selected or recommended by the Relevant Governmental Body for determining “on the SOFR Administrator’s Website. Any change in Daily Simple SOFR” for syndicated business loans; provided, that if the Administrative Agent decides that any such convention is not administratively feasible for the Administrative Agent, then the Administrative Agent may establish another convention in its reasonable discretion. due to a change in SOFR shall be effective from and including the effective date of such change in SOFR without notice to the Borrower. “Debtor Relief Laws”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“Debt Repayment” means the (i) Target Debt Repayment and (ii) Borrower Debt Repayment. “Declined Amount” has the meaning set forth in Section 2.11(f). “Default” means any of the events specified in Section 8, whether or not any requirement for the giving of notice, the lapse of time, or both, has been satisfied. “Default Right” has the meaning assigned to that term in, and shall be interpreted in accordance with, 12 C.F.R. §§ 252.81, 47.2 or 382.1, as applicable. “Designated Non-Cash Consideration” means the fair market value of non-cash consideration received by the Borrower or one of its Restricted Subsidiaries in connection with a Disposition that is so designated as Designated Non-Cash Consideration pursuant to a certificate of a Responsible Officer, setting forth the basis of such valuation, less the amount of cash and Cash Equivalents received in connection with a subsequent sale of such Designated Non-Cash Consideration within 180 days of receipt of such Designated Non-Cash Consideration. “Disposition” means with respect to any property, any sale, lease, sale and leaseback, assignment, conveyance, transfer or other disposition (in one transaction or in a series of related transactions) of any property by any Person (including any issuance of Capital Stock by a Subsidiary of 18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1"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such Person), including any sale, assignment, transfer or other disposal, with or without recourse, of any notes or accounts receivable or any rights and claims associated therewith. The terms “Dispose” and “Disposed of” shall have correlative meanings. “Disqualified Capital Stock” means with respect to any Person, any Capital Stock of such Person that by its terms (or by the terms of any security into which it is convertible or for which it is exchangeable, either mandatorily or at the option of the holder thereof), or upon the happening of any event or condition: (a) matures or is mandatorily redeemable (other than solely for Capital Stock of such Person that does not constitute Disqualified Capital Stock and cash in lieu of fractional shares of such Capital Stock) whether pursuant to a sinking fund obligation or otherwise; (b) is convertible or exchangeable, either mandatorily or at the option of the holder thereof, for Indebtedness or Capital Stock (other than solely for Capital Stock of such Person that does not constitute Disqualified Capital Stock and cash in lieu of fractional shares of such Capital Stock); or (c) is redeemable (other than solely for Capital Stock of such Person that does not constitute Disqualified Capital Stock and cash in lieu of fractional shares of such Capital Stock) or is required to be repurchased by the Borrower or any Restricted Subsidiary, in whole or in part, at the option of the holder thereof; in each case, on or prior to the date that is 91 days after the Latest Maturity Date (determined as of the date of issuance thereof or, in the case of any such Capital Stock outstanding on the Closing Date, the Closing Date); provided, however, that (i) Capital Stock of any Person that would not constitute Disqualified Capital Stock but for terms thereof giving holders thereof the right to require such Person to redeem or purchase such Capital Stock upon the occurrence of an “asset sale”, “condemnation” or a “change of control” (or similar event, however denominated) shall not constitute Disqualified Capital Stock if any such requirement becomes operative only after repayment in full (or offer to repay in full) of all the Loans and all other Obligations that are accrued and payable, (ii) Capital Stock of any Person that is issued to any employee or to any plan for the benefit of employees or by any such plan to such employees shall not constitute Disqualified Capital Stock solely because it may be required to be repurchased by such Person or any of its subsidiaries in order to satisfy applicable statutory or regulatory obligations or as a result of such employee’s termination, death or disability and (iii) only such portion of the Capital Stock that matures, is mandatorily redeemable, or is convertible or exchangeable prior to such date as set forth in clauses (a) through (c) above shall constitute Disqualified Capital Stock. “Disqualified Lenders” means (a) certain banks, financial institutions, other institutional lenders and other Persons that have been specified in writing to the Administrative Agent by the Borrower prior to the Closing Date, (b) competitors of the Borrower and its Restricted Subsidiaries and any affiliate of such competitor, in each case, that is identified in writing to the Administrative Agent by the Borrower from time to time and (c) any affiliates of the entities described in the foregoing clauses (a) or (b) that are clearly identifiable as affiliates of such entities solely on the basis of the similarity of their names (other than affiliates that constitute bona fide debt funds primarily investing in loans). In no event shall the designation of any Person as a Disqualified Lender apply (x) to disqualify any Person until three (3) Business Days after such Person shall have been identified in writing to the Administrative Agent via electronic mail submitted to JPMDQ_Contact@jpmorgan.com (or to such other address as the Administrative Agent may designate to the Borrower from time to time). For the avoidance of doubt, with respect to any assignee that becomes a Disqualified Lender after the applicable Trade Date (including as a result of the delivery of a notice pursuant to, and/or the expiration of the notice period 19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2"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referred to in, this definition) or is otherwise party to a pending trade as of the date of such notice, (x) such assignee shall not retroactively be disqualified from becoming a Lender and (y) the execution by the Borrower of an Assignment and Assumption with respect to such assignee will not by itself result in such assignee no longer being considered a Disqualified Lender. “Dollars” and “$” means dollars in lawful currency of the United States. “Domestic Subsidiary” means any Restricted Subsidiary of the Borrower organized under the laws of any jurisdiction within the United States. “Early Opt-in Election” means, if the then-current Benchmark is the LIBO Rate, the occurrence of: (1) a notification by the Administrative Agent to (or the request by the Borrower to the Administrative Agent to notify) each of the other parties hereto that at least five currently outstanding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 (2) the joint election by the Administrative Agent and the Borrower to trigger a fallback from the LIBO Rate and the provision by the Administrative Agent of written notice of such election to the Lenders. “ECF Percentage” means 50%; provided, that (a) the ECF Percentage shall be reduced to 25% if the Consolidated Secured Leverage Ratio calculated on a Pro Forma Basis as of the last day of the relevant fiscal year is less than or equal to 1.50 to 1.00 but greater than 1.00 to 1.00 and (b) the ECF Percentage shall be reduced to 0% if the Consolidated Secured Leverage Ratio calculated on a Pro Forma Basis as of the last day of the relevant fiscal year is less than or equal to 1.00 to 1.00. “EEA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“EEA Member Country” means any of the member states of the European Union, Iceland, Liechtenstein and Norway. “EEA Resolution Authority” means any public administrative authority or any Person entrusted with public administrative authority of any EEA Member Country (including any delegee) having responsibility for the resolution of any EEA Financial Institution. “Electronic Signature” means an electronic sound, symbol, or process attached to, or associated with, a contract or other record and adopted by a Person with the intent to sign, authenticate or accept such contract or record. “Eligible Assignee” means (a) a Lender, (b) an Affiliate of a Lender, (c) an Approved Fund, (d) any commercial bank and (e) any other financial institution or investment fund engaged as a primary activity in the ordinary course of its business in making or investing in commercial loans or debt 20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33"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securities, other than, in each case, (i) a natural person or (ii) except to the extent permitted under Sections 2.25 and 10.6(e), the Borrower, any Subsidiary or any other Affiliate of the Borrower or (iii) a Disqualified Lender. “Environmental Laws” means any and all foreign, Federal, state, local or municipal laws, rules, orders, regulations, statutes, ordinances, codes, decrees, requirements of any Governmental Authority or other Requirements of Law (including common law) regulating, relating to or imposing liability or standards of conduct concerning protection of human health insofar as involving exposure to harmful or deleterious substances or the environment, as now or may at any time hereafter be in effect. “Environmental Permits” means any and all permits, licenses, approvals, registrations, notifications or authorizations required under any Environmental Law. “ERISA” means the Employee Retirement Income Security Act of 1974, as amended from time to time, and the rules and regulations promulgated thereunder. “ERISA Affiliate” means any trade or business (whether or not incorporated) that, together with the Borrower, is treated as a single employer under Section 414(b) or (c) of the Code or Section 4001(14) of ERISA or, solely for purposes of Section 302 of ERISA and Section 412 of the Code, is treated as a single employer under Section 414 of the Code. “ERISA Event” means (a) any “reportable event”, as defined in Section 4043 of ERISA or the regulations issued thereunder with respect to a Plan (other than an event for which the 30 day notice period is waived); (b) the failure to satisfy the “minimum funding standard” (as defined in Section 412 of the Code or Section 302 of ERISA) with respect to any Plan, whether or not waived;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of the Borrower or any of its ERISA Affiliates from any Plan or Multiemployer Plan; or (g) the receipt by the Borrower or any ERISA Affiliate of any notice, or the receipt by any Multiemployer Plan from the Borrower or any ERISA Affiliate of any notice, concerning the imposition upon the Borrower or any of its ERISA Affiliates of Withdrawal Liability or a determination that a Multiemployer Plan is, or is expected to be, Insolvent, within the meaning of Title IV of ERISA. “EU Bail-In Legislation Schedule” means the EU Bail-In Legislation Schedule published by the Loan Market Association (or any successor Person), as in effect from time to time. “Eurodollar” when used in reference to any Loan or Borrowing, refers to whether such Loan, or the Loans comprising such Borrowing, are bearing interest at a rate determined by reference to the Adjusted LIBO Rate. “Eurodollar Tranche” means the collective reference to Eurodollar Loans under a particular Facility the then current Interest Periods with respect to all of which begin on the same date and end on the same later date (whether or not such Loans shall originally have been made on the same day). 21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4"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Event of Default” means any of the events specified in Section 8, provided that any requirement for the giving of notice, the lapse of time, or both, has been satisfied. “Excess Cash Flow” means for any fiscal year of the Borrower and with respect to the Borrower and its Restricted Subsidiaries, the excess, if any, of: (a) the sum, without duplication, of (i) Consolidated Net Income for such fiscal year, (ii) the amount of all non-cash charges (including depreciation and amortization) deducted in arriving at such Consolidated Net Income, (iii) decreases in Consolidated Working Capital for such fiscal year, and (iv) the aggregate net amount of non-cash loss on the Disposition of property by the Borrower and its Restricted Subsidiaries during such fiscal year (other than sales of inventory in the ordinary course of business), to the extent deducted in arriving at such Consolidated Net Income over (b) the sum, without duplication, of (i) the amount of all non-cash income included in arriving at such Consolidated Net Income, (ii) the aggregate amount actually paid by the Borrower and its Restricted Subsidiaries in cash during such fiscal year on account of Capital Expenditures (excluding the principal amount of long-term Indebtedness incurred in connection with such expenditures and any such expenditures financed with the proceeds of any Reinvestment Deferred Amount or the proceeds of any issuance of Capital Stock of the Borrower), (iii) without duplication of amounts deducted from Excess Cash Flow in prior periods, the aggregate amount of Restricted Payments made by the Borrower in cash during such fiscal year pursuant to Section 7.6(b), Section 7.6(d) and Section 7.6(j) (excluding the principal amount of Indebtedness incurred in connection with such Restricted Payments and any Restricted Payments made with proceeds of any issuance of Capital Stock of the Borrower), (iv) the aggregate amount of all voluntary prepayments of Funded Debt (other than (A) the Term Loans, (B) Pari Passu Secured Indebtedness, (C) the ABL Loans and (D) any other revolving credit facility to the extent there is not an equivalent permanent reduction in commitments thereof) of the Borrower and its Restricted Subsidiaries made during such fiscal year (excluding any such prepayments financed with the Available Amount or the proceeds of any issuance of Capital Stock of the Borrower or the issuance of any Indebtedness), (v) the aggregate amount of all regularly scheduled principal payments of Funded Debt (including the Term Loans) of the Borrower and its Restricted Subsidiaries made during such fiscal year (other than in respect of any revolving credit facility to the extent there is not an equivalent permanent reduction in commitments thereunder), (vi) increases in Consolidated Working Capital for such fiscal year, (vii) the aggregate net amount of non-cash gain on the Disposition of property by the Borrower and its Restricted Subsidiaries during such fiscal year (other than sales of inventory in the ordinary course of business), to the extent included in arriving at such Consolidated Net Income, 22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35"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(viii) to the extent not otherwise deducted from Consolidated Net Income, Consolidated Cash Taxes paid during such fiscal year, (ix) to the extent not otherwise deducted from Consolidated Net Income, interest expense and any cash payments in respect of premium, make-whole or penalty payments in respect of Indebtedness of the Borrower and its Restricted Subsidiaries for such year, (x) without duplication of amounts deducted from Excess Cash Flow in prior periods, the aggregate amount of cash consideration paid by the Borrower and the Restricted Subsidiaries during such fiscal year to make Permitted Acquisitions and Investments permitted by Section 7.7(h), Section 7.7(t), Section 7.7(u) and Section 7.7(v) (excluding any such Permitted Acquisitions or other Investments financed with the proceeds of any Reinvestment Deferred Amount, the Available Amount or the proceeds or any issuance of Capital Stock of the Borrower or the issuance of any Indebtedness), (xi) cash charges included in clauses (a) through (l) of the definition of “Consolidated Net Income” and (xii) without duplication of amounts deducted from Excess Cash Flow in prior periods and, at the option of the Borrower, the aggregate cash consideration (x) required to be paid by the Borrower and its Restricted Subsidiaries pursuant to binding contracts (the “Contract Consideration”) entered into prior to or during such period relating to Permitted Acquisitions or other Investments anticipated to be consummated pursuant to Section 7.7(h), Section 7.7(t), Section 7.7(u) or Section 7.7(v), (y) expected to be paid in connection with Restricted Payments pursuant to Section 7.6(b), Section 7.6(d), or Section 7.6(j) (“Planned Distributions”) and (z) expected to be paid in connection with planned Capital Expenditures of the Borrower and its Restricted Subsidiaries (the “Planned Expenditures”), in each case during the period of four consecutive fiscal quarters of the Borrower following the end of the applicable fiscal year for which Excess Cash Flow is being calculated (except to the extent financed with the proceeds of Indebtedness, any Reinvestment Deferred Amount, the proceeds of any issuance of Capital Stock of the Borrower or utilizing the Available Amount); provided that to the extent the aggregate amount of cash actually utilized to finance such Permitted Acquisitions, Investments, Restricted Payments or Capital Expenditures during such period of four consecutive fiscal quarters is less than the Contract Consideration, Planned Distributions and the Planned Expenditures, the amount of such shortfall shall be added to the calculation of Excess Cash Flow at the end of such period of four consecutive fiscal quarters. “Excess Cash Flow Application Date” has the meaning set forth in Section 2.11(c). “Excess Cash Flow Period” means each fiscal year of the Borrower, commencing with the fiscal year ending December 31, 2022. “Exchange Act” means the Securities Exchange Act of 1934, as amended. “Excluded Subsidiary” means (a) any Unrestricted Subsidiary, (b) any Immaterial Subsidiary, (c) any non-Wholly Owned Subsidiary, (d) any Subsidiary that is prohibited or restricted by applicable law, rule or regulation or by any contractual obligation existing on the Closing Date or on the date such Subsidiary was acquired (so long as such contractual obligation was not entered into in contemplation of such acquisition) from guaranteeing the Obligations or which would require a governmental (including regulatory) consent, approval, license or authorization to provide a guarantee 23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6"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unless such consent, approval, license or authorization has been received, (e) any CFC or CFC Holding Company, (f) any Domestic Subsidiary of a Foreign Subsidiary, (g) not-for-profit Subsidiaries and captive insurance companies, (h) the Insurance Subsidiary, (i) any Subsidiary whose provision of a guarantee would have a cost that is excessive in relation to the value afforded thereby as determined by the Administrative Agent in its reasonable discretion and (j) any Securitization Subsidiary. Each Excluded Subsidiary as of the Closing Date is set forth on Schedule 4.15. “Excluded Taxes” means any of the following Taxes imposed on or with respect to a Credit Party or required to be withheld or deducted from a payment to a Credit Party, (a) Taxes imposed on or measured by net income (however denominated), franchise Taxes, and branch profits Taxes, in each case, (i) imposed as a result of a Credit Party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a Lender with respect to an applicable interest in a Loan or Commitment pursuant to a law in effect on the date on which (i) a Lender acquires such interest in the Loan or Commitment (other than pursuant to an assignment request by the Borrower under Section 2.22) or (ii) a Lender changes its lending office, except in each case to the extent that, pursuant to Section 2.19, amounts with respect to such Taxes were payable either to such Lender’s assignor immediately before such Lender acquired the applicable interest in a Loan or Commitment or to such Lender immediately before it changed its lending office, (c) Taxes attributable to a Credit Party’s failure to comply with Section 2.19(f) and (d) any U.S. federal withholding Taxes imposed under FATCA. “Existing ABL Facility” means that certain ABL Credit Agreement, dated as of August 5, 2019, among the Borrower, the several lenders from time to time party thereto and JPMorgan Chase Bank, N.A., as administrative agent, as amended, supplemented or otherwise modified. “Existing Term Loan Facility” means that certain Term Loan Credit Agreement, dated as of August 5, 2019, among the Borrower, the several lenders from time to time party thereto and JPMorgan Chase Bank, N.A., as administrative agent, as amended, supplemented or otherwise modified. “Facility” means each of (a) the Initial Term Commitments and the Initial Term Loans made thereunder (the “Initial Term Facility”) and (b) the Incremental Term Loans of any Series (each, an “Incremental Term Facility”). Additional Facilities may be established pursuant to Section 2.26 and/or Section 2.27. “FATCA”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 “FCA” has the meaning assigned to such term in Section 1.4. “Federal Funds Effective Rate” means, for any day, the rate calculated by the NYFRB based on such day’s federal funds transactions by depositary institutions, as determined in such manner as the NYFRB shall set forth on its publicthe NYFRB’s wWebsite from time to time, and published on the next succeeding Business Day by the NYFRB as the effective federal funds rate; provided that if the 24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7"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Federal Funds Effective Rate as so determined would be less than zero, such rate shall be deemed to be zero for the purposes of this Agreement. “Federal Reserve Board” means the Board of Governors of the Federal Reserve System of the United States. “Finance Lease Obligations” means as to any Person, the obligations of such Person to pay rent or other amounts under any lease of (or other arrangement conveying the right to use) real or personal property, or a combination thereof, which obligations are required to be classified and accounted for as finance leases on a balance sheet of such Person under GAAP and, for the purposes of this Agreement, the amount of such obligations at any time shall be the capitalized amount thereof at such time determined in accordance with GAAP. “First Amendment” means that certain First Amendment, dated as of September 21, 2021, among the Borrower, the other Loan Parties, Continuing Lenders (as defined in the First Amendment), the Consenting Non-Continuing Lenders (as defined in the First Amendment), the Fronting Lender (as defined in the Amendment) and the Administrative Agent. “First Amendment Effective Date” means September 21, 2021 “Floor” means the benchmark rate floor, if any, provided in this Agreement initially (as of the execution of this Agreement, the modification, amendment or renewal of this Agreement or otherwise) with respect to the Adjusted Term SOFR Rate or the Adjusted Daily Simple SOFR, as applicable. For the avoidance of doubt the initial Floor for each of Adjusted Term SOFR Rate or the Adjusted Daily Simple SOFR shall be 0.50%. “Foreign Benefit Arrangement” means any employee benefit arrangement mandated by non-U.S. law that is maintained or contributed to by any Group Member, any ERISA Affiliate or any other entity related to a Group Member on a controlled group basis. “Foreign Plan” means each employee benefit plan (within the meaning of Section 3(3) of ERISA, whether or not such plan is subject to ERISA) that is not subject to US law and is maintained or contributed to by any Group Member, or ERISA Affiliate or any other entity related to a Group Member on a controlled group basis. “Foreign Plan Event” means with respect to any Foreign Benefit Arrangement or Foreign Plan, (a) the failure to make or, if applicable, accrue in accordance with normal accounting practices, any employer or employee contributions required by applicable law or by the terms of such Foreign Benefit Arrangement or Foreign Plan; (b) the failure to register or loss of good standing with applicable regulatory authorities of any such Foreign Benefit Arrangement or Foreign Plan required to be registered; or (c) the failure of any Foreign Benefit Arrangement or Foreign Plan to comply with any material provisions of applicable law and regulations or with the material terms of such Foreign Benefit Arrangement or Foreign Plan. “Foreign Subsidiary” means any Restricted Subsidiary of the Borrower that is not a Domestic Subsidiary. “Funded Debt” means as to any Person, all Specified Indebtedness of such Person that matures more than one year from the date of its creation or matures within one year from such date but is renewable or extendible, at the option of such Person, to a date more than one year from such date or arises under a revolving credit or similar agreement that obligates the lender or lenders to extend credit 25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8"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during a period of more than one year from such date, including all current maturities and current sinking fund payments in respect of such Indebtedness whether or not required to be paid within one year from the date of its creation and, in the case of the Borrower, including Indebtedness in respect of the Loans, the ABL Loans and the Unsecured Notes. “Funding Office” means the office of the Administrative Agent specified in Section 10.2 or such other office as may be specified from time to time by the Administrative Agent as its funding office by written notice to the Borrower and the Lenders. “Funding SPV” means Radiant Funding SPV, LLC, a Delaware limited liability company. “GAAP” means generally accepted accounting principles in the United States as in effect from time to time. In the event that any “Accounting Change” (as defined below) shall occur and such change results in a change in the method of calculation of financial covenants, standards or terms in this Agreement, then the Borrower and the Administrative Agent agree to enter into negotiations to promptly amend such provisions of this Agreement so as to reflect equitably such Accounting Changes with the desired result that the criteria for evaluating the Borrower’s results of operations and/or financial condition shall be the same after such Accounting Changes as if such Accounting Changes had not been made. Until such time as such an amendment shall have been executed and delivered by the Borrower, the Administrative Agent and the Required Lenders, all financial covenants, standards and terms in this Agreement shall continue to be calculated or construed as if such Accounting Changes had not occurred. “Accounting Changes” refers to changes in accounting principles required by the promulgation of any rule, regulation, pronouncement or opinion by the Financial Accounting Standards Board or, if applicable, the SEC. “Governmental Authority” means the government of the United States,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any securities exchange and any self-regulatory organization (including the National Association of Insurance Commissioners). “Group Members” means the collective reference to the Borrower and its Restricted Subsidiaries. “Guarantee and Collateral Agreement” means the Term Loan Guarantee and Collateral Agreement, dated as of the Closing Date, executed and delivered by the Borrower and each Subsidiary Guarantor, substantially in the form of Exhibit D, as the same may be amended, restated, amended and restated, modified, supplemented and/or replaced (in form reasonably satisfactory to the Administrative Agent) from time to time. “Guarantee Obligation” means as to any Person (the “guaranteeing person”), any obligation, including a reimbursement, counterindemnity or similar obligation, of the guaranteeing Person that guarantees or in effect guarantees, or which is given to induce the creation of a separate obligation by another Person (including any bank under any letter of credit) that guarantees or in effect guarantees, any Indebtedness, leases, dividends or other obligations (the “primary obligations”) of any other third Person (the “primary obligor”) in any manner, whether directly or indirectly, including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26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9"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provided, however, that the term Guarantee Obligation shall not include endorsements of instruments for deposit or collection in the ordinary course of business or reasonable indemnity obligations entered into in connection with any acquisition or disposition of assets.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 “Immaterial Subsidiary” means any Restricted Subsidiary that is not a Material Subsidiary and that is designated by the Borrower in writing to the Administrative Agent as an “Immaterial Subsidiary”; provided that if (i) as of the last day of the most recently ended fiscal quarter of the Borrower for which financial statements have been delivered pursuant to Section 5.1(a) or (b), the aggregate tangible assets of Immaterial Subsidiaries, as of the last day of such fiscal quarter, is greater than 5% of Consolidated Total Assets or (ii) the aggregate contribution of Immaterial Subsidiaries to Consolidated EBITDA for the Applicable Reference Period is greater than 5% of Consolidated EBITDA for such Applicable Reference Period, then one or more Restricted Subsidiaries that are not Material Subsidiaries shall promptly be designated by the Borrower in writing to the Administrative Agent as a “Material Subsidiary” until such excess has been eliminated. Each Immaterial Subsidiary as of the Closing Date is set forth on Schedule 4.15. “Impacted Interest Period” has the meaning set forth in the definition of LIBO Rate. “Incremental Equivalent Debt” means any Indebtedness incurred by a Loan Party in the form of one or more series of secured or unsecured bonds, debentures, notes or similar instruments (including “mezzanine” debt and bridge loans) or term loans; provided that (a) if such Indebtedness is secured, (i) such Indebtedness shall be secured by the Collateral on a pari passu or junior basis to the Initial Term Loans (but, in each case, without regard to the control of remedies) and shall not be secured by any property or assets of any Group Member other than the Collateral and (ii) a representative, trustee, collateral agent, security agent or similar Person acting on behalf of the holders of such Indebtedness shall have become party to an intercreditor agreement reasonably satisfactory to the Administrative Agent, (b) such Indebtedness does not mature earlier than the date that is 91 days after the Latest Maturity Date then in effect at the time of incurrence thereof and has a weighted average life to maturity no shorter than the Facility of Term Loans with the Latest Maturity Date in effect at the time of incurrence of such Indebtedness, (c) such Indebtedness contains mandatory prepayment and redemption terms, covenants and events of default that are either (x) customary for similar Indebtedness in light of then-prevailing market conditions (it being understood and agreed that such Indebtedness shall include financial maintenance covenants only to the extent any such financial maintenance covenant is (i) applicable only to periods after the Latest Maturity Date then in effect at the time of incurrence thereof or (ii) included in or added to the Loan Documents for the benefit of the Lenders) or (y) when taken as a whole (other than interest rates, rate floors, fees and optional prepayment or redemption terms), are not materially more favorable to the lenders or investors providing such Incremental Equivalent Debt, as the case may be, than those set forth in the Loan Documents are with respect to the Lenders (other than covenants or other provisions applicable only to periods after the Latest Maturity Date then in effect at the time of incurrence thereof or that are included in or added to the Loan Documents for the benefit of 27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40"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Lenders), in the case of each of clauses (x) and (y), as conclusively determined by the Borrower in good faith, and (d) such Indebtedness is not guaranteed by any Person other than Loan Parties. “Incremental Limited Condition Term Facility” means an Incremental Term Facility incurred to finance a Limited Condition Transaction. “Incremental Term Facility” has the meaning set forth in the definition of “Facility”. “Incremental Term Lenders” means a Lender with an Incremental Term Loan Commitment or an outstanding Incremental Term Loan. “Incremental Term Loan Activation Notice” means a notice substantially in the form of Exhibit I-1 or in such other form as is reasonably acceptable to the Administrative Agent; provided that if such Incremental Term Loan Activation Notice is to effect amendments to this Agreement or the other Loan Documents as contemplated by Section 2.24(d), the Administrative Agent shall, in each case, have executed such Incremental Term Loan Activation Notice. “Incremental Term Loan Closing Date” means any Business Day designated as such in an Incremental Term Loan Activation Notice. “Incremental Term Loan Commitment” means, with respect to any Lender, the commitment, if any, of such Lender, established pursuant to an Incremental Term Loan Activation Notice and Section 2.24, to make Incremental Term Loans of any Series hereunder, expressed as an amount representing the maximum principal amount of the Incremental Term Loans of such Series to be made by such Lender. “Incremental Term Loan Maturity Date” means with respect to the Incremental Term Loans to be made pursuant to any Incremental Term Loan Activation Notice, the maturity date specified in such Incremental Term Loan Activation Notice, which date shall not be earlier than the Latest Maturity Date. “Incremental Term Loans” means any term loans made pursuant to Section 2.24(a). “Indebtedness” means of any Person at any date, without duplication, (a) all indebtedness of such Person for borrowed money, (b) all obligations of such Person for the deferred purchase price of property or services,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Finance Lease Obligations of such Person, (f) all obligations of such Person, contingent or otherwise, as an account party or applicant under or in respect of acceptances, letters of credit, surety bonds or similar arrangements, (g) the liquidation value of all Disqualified Capital Stock of such Person, (h) all Guarantee Obligations of such Person in respect of obligations of the kind referred to in clauses (a) through (g) above, (i) all obligations of the kind referred to in clauses (a) through (h)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(but only to the extent of the lesser of (i) the amount of such Indebtedness and (ii) the fair market value of such property), and (j) for the purposes of Section 8(e) only, all obligations of such Person in respect of Swap Agreements; provided that Indebtedness shall not include (i) trade payable and accrued expenses incurred in the ordinary course of business and not more than 120 days overdue, (ii) 28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41"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ordinary course intercompany liabilities having a term not exceeding 365 days (inclusive of any roll-over or extension of terms) or any other ordinary course intercompany liabilities not constituting Specified Indebtedness, (iii) prepaid or deferred revenue arising in the ordinary course of business, (iv) purchase price holdbacks arising in the ordinary course of business in respect of a portion of the purchase price of an asset to satisfy unperformed obligations of the seller of such assets, (v) deferred compensation payable to employees, officers and directors and (vi) any earn-out obligation until such obligation becomes a liability on the balance sheet of such Person in accordance with GAAP.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 Any Indebtedness for which proceeds have been escrowed or otherwise deposited to repay, defease, redeem or satisfy and discharge such Indebtedness shall not be deemed outstanding. “Indemnified Liabilities” has the meaning set forth in Section 10.5. “Indemnified Taxes” means (a) Taxes, other than Excluded Taxes, imposed on or with respect to any payment made by or on account of any obligation of any Loan Party under any Loan Document and (b) to the extent not otherwise described in clause (a) above, Other Taxes. “Indemnitee” has the meaning set forth in Section 10.5(d). “Initial Term Commitment” means as to any Lender, the obligation of such Lender, if any, to make Initial Term Loans in an aggregate principal amount not to exceed the amount set forth under the heading “Initial Term Commitment” opposite such Lender’s name on Schedule 1.1 or in the Assignment and Assumption pursuant to which such Lender became a party hereto, as the same may be changed from time to time pursuant to the terms hereof. The aggregate Initial Term Commitments on the Closing Date is $875,000,000. “Initial Term Lender” means each Lender that holds an Initial Term Loan. “Initial Term Loans” has the meaning set forth in Section 2.1. “Initial Term Percentage” means, as to any Initial Term Lender, the percentage which the aggregate amount of such Lender’s Initial Term Loan Commitment then outstanding constitutes of the aggregate amount of the Initial Term Loan Commitments then outstanding. “Initiatives” has the meaning set forth in the definition of Consolidated EBITDA. “Insolvent” means with respect to any Multiemployer Plan, the condition that such plan is insolvent within the meaning of Section 4245 of ERISA. “Insurance Subsidiary” means Legacy Insurance Co., Ltd., a Bermuda company and a Wholly Owned Subsidiary of the Borrower formed for the sole purpose of writing insurance only for the risks of the Borrower and its Subsidiaries. “Intellectual Property” means the collective reference to all rights in and to intellectual property, whether arising under United States, multinational or foreign laws or otherwise, including with respect to any copyrights, copyright licenses, patents, patent licenses, trademarks, trademark licenses, technology, confidential and proprietary know-how and processes, all registrations and applications 29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2"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therefor, and all rights to sue at law or in equity for any infringement or other impairment thereof, including the right to receive all proceeds and damages therefrom. “Intercreditor Agreements” means the ABL/Fixed Asset Intercreditor Agreement and any other intercreditor agreement substantially in the form of Exhibit K as may be amended, restated, amended and restated, modified, supplemented and/or replaced (in form reasonably satisfactory to the Administrative Agent) from time to time. “Interest Election Request” means a request by the Borrower to convert or continue a Borrowing in accordance with Section 2.12 and the definition of “Interest Period”, which shall be substantially in the form of Exhibit B or any other form approved by the Administrative Agent. “Interest Payment Date” means (a) as to any ABR Loan, the first day of each January, April, July and October to occur while such Loan is outstanding and the final maturity date of such Loan, (b) as to any Eurodollar Loan having with respect to any Term Benchmark Loan, the last day of each Interest Period applicable to the Borrowing of which such Loan is a part and, in the case of a Term Benchmark Borrowing with an Interest Period of more than three months or less,’ duration, each day prior to the last day of such Interest Period, (c) as to any Eurodollar Loan having an Interest Period longer than that occurs at intervals of three months, each day that is three months, or a whole multiple thereof,’ duration after the first day of such Interest Period, and the Maturity Date, (c) with respect to any RFR Loan, (1) each date that is on the numerically corresponding day in each calendar month that is one month after the Borrowing of such Loan (or, if there is no such numerically corresponding day in such month, then the last day of such Interest Periodmonth) and (2) the Maturity Date and (d) as to any Loan, the date of any repayment or prepayment made in respect thereof. “Interest Period” means as to any EurodollarTerm Benchmark Loan, (a) initially, the period commencing on the borrowing or conversion date, as the case may be, with respect to such EurodollarTerm Benchmark Loan and ending one, two, three or six months thereafter, as selected by the Borrower in its Borrowing Request or Interest Election Request, as the case may be, given with respect thereto; and (b) thereafter, each period commencing on the last day of the next preceding Interest Period applicable to such EurodollarTerm Benchmark Loan and ending one, two, three or six months thereafter, as selected by the Borrower by irrevocable notice in an Interest Election Request submitted to the Administrative Agent not later than 12:00 Noon, New York City time, on the date that is three Business Days prior to the last day of the then current Interest Period with respect thereto; provided that, all of the foregoing provisions relating to Interest Periods are subject to the following: (i) 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 (ii) the Borrower may not select an Interest Period under a particular Facility that would extend beyond the date final payment is due on the relevant Term Loans; (iii) any Interest Period that begins on the last Business Day of a calendar month (or on a day for which there is no numerically corresponding day in the calendar month at the end of such Interest Period) shall end on the last Business Day of the last calendar month of such Interest Period; and 30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43"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 no tenor that has been removed from this definition pursuant to Section 2.16(f) shall be available for specification in such Borrowing Request or Interest Election Request. “Interpolated Rate” means, at any time, for any Interest Period, the rate per annum (rounded to the same number of decimal places as the LIBO Screen Rate)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that is shorter than the Impacted Interest Period; and (b) the LIBO Screen Rate for the shortest period for which that LIBO Screen Rate is available that exceeds the Impacted Interest Period, in each case, as of 11:00 a.m., London time, two Business Days prior to the commencement of the applicable Interest Period; provided that if the Interpolated Rate as so determined would be less than zero, such rate shall be deemed to be zero for the purposes of calculating such rate. When determining the rate for a period which is less than the shortest period for which the LIBO Screen Rate is available, the LIBO Screen Rate for purposes of clause (a) above shall be deemed to be the overnight rate for Dollars determined by the Administrative Agent from such service as the Administrative Agent may select in its reasonable discretion. “Investments” has the meaning set forth in Section 7.7. “IRS” means the United States Internal Revenue Service. “ISDA Definitions”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 “Joint Venture” means a joint venture, partnership or other similar arrangement entered into by the Borrower or any Restricted Subsidiary, whether in corporate, partnership or other legal form; provided that in no event shall any Subsidiary be considered to be a Joint Venture. “Junior Secured Indebtedness” means Term Loan Refinancing Indebtedness and Incremental Equivalent Debt (and any Permitted Refinancing Indebtedness in respect of the foregoing), in each case that is secured by a Lien on the Collateral that is junior to the Lien on Collateral securing the Initial Term Loans. “Latest Maturity Date” means at any date of determination, the latest scheduled maturity date applicable to any Loan hereunder at such time, including in respect of any Incremental Term Facility. “LCT Election” has the meaning set forth in Section 1.6. “LCT Test Date” has the meaning set forth in Section 1.6. “Lender-Related Person” has the meaning set forth in Section 10.5. “Lenders” means the Continuing Lenders and the Fronting Lenders (each as defined in the First Amendment) and any other Person that shall have become a party hereto pursuant to an Assignment and Assumption or otherwise, other than any such Person that ceases to be a party hereto pursuant to an Assignment and Assumption or otherwise. 31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44"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Liabilities” means any losses, obligations, claims (including intraparty claims), damages, demands, penalties, judgments, suits, costs, expenses, disbursements or liabilities of any kind. “LIBO Rate” means, with respect to any Eurodollar Borrowing for any Interest Period, the LIBO Screen Rate at approximately 11:00 a.m., London time, two Business Days prior to the commencement of such Interest Period; provided that if the LIBO Screen Rate shall not be available at such time for such Interest Period (an “Impacted Interest Period”) then the LIBO Rate shall be the Interpolated Rate. “LIBO Screen Rate” means, for any day and time, with respect to any Eurodollar Borrowing for any Interest Period, the London interbank offered rate as administered by ICE Benchmark Administration (or any other Person that takes over the administration of such rate) for Dollars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provided that if the LIBO Screen Rate as so determined would be less than 0.50%, such rate shall be deemed to be 0.50% for the purposes of this Agreement. “LIBOR” has the meaning assigned to such term in Section 1.4. “Lien” means any mortgage, pledge, hypothecation, assignment, deposit arrangement, encumbrance, lien (statutory or other), charge or other security interest or any preference, priority or other security agreement or preferential arrangement of any kind or nature whatsoever (including any conditional sale or other title retention agreement and any finance lease having substantially the same economic effect as any of the foregoing); provided that a “Lien” as defined herein shall not include any license, sublicense or similar right with respect to Intellectual Property. “Limited Condition Transaction” means any Investment that the Borrower or a Restricted Subsidiary is contractually committed to consummate (it being understood that such commitment may be subject to conditions precedent, which conditions precedent may be amended, satisfied or waived in accordance with the applicable agreement) and whose consummation is not conditioned on the availability of, or on obtaining, third party financing (it being understood that a “marketing period” or similar concept is not a financing condition). “Loan” means the loans made by the Lenders to the Borrower pursuant to this Agreement. “Loan Documents” means this Agreement, the Security Documents, the Intercreditor Agreements, the Notes and any amendment, restatement, amendment and restatement, waiver, supplement or other modification to or refinancing or replacement of any of the foregoing, including the First Amendment. “Loan Modification Agreement” means a Loan Modification Agreement, in form and substance reasonably satisfactory to the Administrative Agent and the Borrower, among the Borrower, the Administrative Agent and one or more Accepting Lenders, effecting one or more Permitted Amendments and such other amendments hereto and to the other Loan Documents as are contemplated by Section 2.26. 32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45"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Loan Modification Offer” has the meaning set forth in Section 2.26(a). “Loan Parties” means the Borrower and the Subsidiary Guarantors. “Majority Facility Lenders” means with respect to any Facility, the holders of more than 50% of the aggregate unpaid principal amount of the Term Loans outstanding under such Facility. “Margin Stock” means margin stock within the meaning of Regulations T, U and X, as applicable. “Market Capitalization” means an amount equal to (i) the total number of issued and outstanding shares of common stock of the Borrower on the date of the declaration of a Restricted Payment multiplied by (ii) the arithmetic mean of the closing prices per share of such common stock on the principal securities exchange on which such common stock is traded for the 20 consecutive trading days immediately preceding the date of declaration of such Restricted Payment. “Material Acquisition” means any acquisition of property or series of related acquisitions of property that (a) constitutes assets comprising all or substantially all of an operating unit of a business or constitutes all or substantially all of the common stock of a Person and (b) involves the payment of consideration by the Group Members in excess of $55,000,000. “Material Adverse Effect” means (a) on the Closing Date, a “Company Material Adverse Effect” (as defined in the Acquisition Agreement as of Closing Date) and (b) after the Closing Date, a material adverse effect on (i) the business, property, operations or financial condition, of the Borrower and its Restricted Subsidiaries, taken as a whole, (ii) the ability of the Borrower and the other Loan Parties, taken as a whole, to perform their payment obligations under the Loan Documents to which they are a party or (iii) the validity or enforceability of the Loan Documents or the rights and remedies of the Administrative Agent under the Loan Documents, taken as a whole. “Material Disposition” means any Disposition of property or series of related Dispositions of property that yields gross proceeds to the Group Members in excess of $55,000,000. “Material Indebtedness” means Indebtedness (other than the Loans) or Swap Obligations of any one or more of the Borrower and the Restricted Subsidiaries in an aggregate principal amount of $75,000,000 or more; provided that any Indebtedness outstanding under the ABL Credit Agreement shall be deemed to be Material Indebtedness. For purposes of determining Material Indebtedness, the “principal amount” of any Swap Obligation at any time shall be the maximum aggregate amount (giving effect to any netting agreements) that the Borrower and/or any applicable Restricted Subsidiary would be required to pay if the applicable Swap Agreement were terminated at such time. “Material Subsidiary” means, as of any date of determination, each Restricted Subsidiary (a) with total assets (including the value of Capital Stock of its subsidiaries) on such date of determination greater than 5.0% of Consolidated Total Assets, (b) whose contribution to Consolidated EBITDA for the Applicable Reference Period exceeds 5% of Consolidated EBITDA for the Applicable Reference Period or (c) that is designated as a “Material Subsidiary” pursuant to the definition of Immaterial Subsidiary. “Materials of Environmental Concern” means any gasoline or petroleum (including crude oil or any fraction thereof) or petroleum products, asbestos, polychlorinated biphenyls, 33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46"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urea-formaldehyde insulation, radioactivity, and any other substances, materials or wastes, that are regulated pursuant to or that could give rise to liability under any Environmental Law. “Maturity Date” means February 17, 2028. “Mexico Operations” means the operations in Mexico of the Borrower and its Subsidiaries. “MFN Provision” has the meaning set forth in Section 2.24(a). “Minimum Extension Condition” has the meaning set forth in Section 2.26(a). “Moody’s” means Moody’s Investors Service, Inc. “Multiemployer Plan” means a multiemployer plan as defined in Section 4001(a)(3) of ERISA to which any Group Member or any ERISA Affiliate (i) makes or is obligated to make contributions, (ii) during the preceding five plan years, has made or been obligated to make contributions or (iii) has any actual or contingent liability. “Multiple Employer Plan” means a Plan which has two or more contributing sponsors (including any Group Member or any ERISA Affiliate) at least two of whom are not under common control, as such a Plan is described in Section 4064 of ERISA. “Net Cash Proceeds” means (a) in connection with any Disposition or any Recovery Event, the proceeds thereof in the form of cash and Cash Equivalents (including any such proceeds actually received by the Group Members by way of deferred payment of principal pursuant to a note or installment receivable or purchase price adjustment receivable or otherwise, but only as and when received), net of attorneys’ fees, accountants’ fees, investment banking fees, auditor fees, printer fees, SEC filing fees, brokerage fees, amounts required to be applied to the repayment of Indebtedness ((i) including repayments pursuant to the ABL Credit Agreement and (ii) other than the Loans, any Pari Passu Secured Indebtedness or any Junior Secured Indebtedness) secured by a Lien expressly permitted hereunder on any asset that is the subject of such Disposition or Recovery Event and other customary fees and expenses actually incurred in connection therewith and net of taxes paid or reasonably estimated to be payable as a result thereof, including (in connection with any Asset Sale by a Foreign Subsidiary or Recovery Event relating to any asset of a Foreign Subsidiary) any taxes paid or reasonably estimated to be payable as a result of the repatriation of such proceeds to the Borrower, any reserve established in accordance with GAAP (provided that upon release of any such reserve, the amount released shall be considered Net Cash Proceeds) and any payment amount required to be paid by law, rule or regulation upon receipt to a third party related to the transaction (including to labor unions, work councils and environmental trusts), in each case as determined by the Borrower in good faith, and (b) in connection with any issuance or sale of Capital Stock or any incurrence of Indebtedness, the cash proceeds received from such issuance or incurrence, net of attorneys’ fees, investment banking fees, auditor fees, printer fees, SEC filing fees, brokerage fees, accountants’ fees, underwriting discounts and commissions and other customary fees and expenses actually incurred in connection therewith. “New Lender” has the meaning set forth in Section 2.24(b). “New Lender Supplement” has the meaning set forth in Section 2.24(b). “Non-U.S. Lender” means a Lender that is not a U.S. Person. 34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47"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Not Otherwise Applied” means in respect of any amount, such amount has not previously been (and is not currently being) applied to any other use or transaction. “Notes” means the collective reference to any promissory note evidencing Loans. “NYFRB” means the Federal Reserve Bank of New York. “NYFRB’s Website” means the website of the NYFRB at http://www.newyorkfed.org, or any successor source. “NYFRB Rate” means,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on such day received by the Administrative Agent from a federal funds broker of recognized standing selected by it; provided, further, that if any of the aforesaid rates as so determined be less than zero, such rate shall be deemed to be zero for purposes of this Agreement. “Obligations” means the unpaid principal of and interest on (including interest accruing after the maturity of the Loans and interest accruing after the filing of any petition in bankruptcy, or the commencement of any insolvency, reorganization or like proceeding, relating to the Borrower, whether or not a claim for post-filing or post-petition interest is allowed in such proceeding) the Loans and all other obligations and liabilities of the Borrower to the Administrative Agent or to any Lender, whether direct or indirect, absolute or contingent, due or to become due, or now existing or hereafter incurred, which arise under, out of, or in connection with, this Agreement, any other Loan Document or any other document made, delivered or given in connection herewith or therewith, whether on account of principal, interest, reimbursement obligations, fees, indemnities, costs, expenses (including all fees, charges and disbursements of counsel to the Administrative Agent or to any Lender that are required to be paid by the Borrower pursuant hereto) or otherwise. “Organizational Documents”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if applicable,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“Other Benchmark Rate Election” means, with respect to any Loan denominated in Dollars, if the then-current Benchmark is the LIBO Rate, the occurrence of: (a) a request by the Borrower to the Administrative Agent to notify each of the other parties hereto that, at the determination of the Borrower, Dollar-denominated syndicated credit facilities at such time contain (as a result of amendment or as originally executed), in lieu of a LIBOR-based rate, a term benchmark rate as a benchmark rate, and 35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48"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the Administrative Agent, in its sole discretion, and the Borrower jointly elect to trigger a fallback from the LIBO Rate and the provision by the Administrative Agent of written notice of such election to the Lenders. “Other Connection Taxes” means with respect to any Credit Party, Taxes imposed as a result of a present or former connection between such Credit Party and the jurisdiction imposing such Tax (other than connections arising from such Credit Party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“Other Debt Declined Amount” has the meaning set forth in Section 2.11(b). “Other Taxes”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2.22). “Overnight Bank Funding Rate” means, for any day, the rate comprised of both overnight federal funds and overnight Eeurodollar borrowingstransactions denominated in Dollars by U.S.-managed banking offices of depository institutions, as such composite rate shall be determined by the NYFRB as set forth on its publicthe NYFRB’s wWebsite from time to time, and published on the next succeeding Business Day by the NYFRB as an overnight bank funding rate. “Pari Passu Secured Indebtedness” means Term Loan Refinancing Indebtedness and Incremental Equivalent Debt (and any Permitted Refinancing Indebtedness in respect of the foregoing), in each case that is secured by Liens on the Collateral that are pari passu to the Liens on Collateral securing the Initial Term Loans. “Participant” has the meaning set forth in Section 10.6(c). “Participant Register” has the meaning set forth in Section 10.6(c). “Patriot Act” has the meaning set forth in Section 10.17. “Payment” has the meaning assigned to it in Section 9.6(d). “Payment Notice” has the meaning assigned to it in Section 9.6(d). “PBGC” means the Pension Benefit Guaranty Corporation established under Section 4002 of ERISA and any successor entity performing similar functions. “Pension Plan” means any employee benefit plan (including a Multiple Employer Plan, but not including a Multiemployer Plan) that is subject to Title IV of ERISA, Section 412 of the Code or Section 302 of ERISA (i) which is or was sponsored, maintained or contributed to by, or required to be contributed to by, any Group Member or any ERISA Affiliate or (ii) with respect to which any Group Member or any ERISA Affiliate has any actual or contingent liability. “Permitted Acquisition” means the purchase or other acquisition (including by merger, consolidation or amalgamation) by the Borrower or any Restricted Subsidiary of all or a majority of the Capital Stock of, or all or substantially all of the property of, any Person, or of any business or division 36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49"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 any Person or any Investment by a Group Member in a Restricted Subsidiary that serves to increase the Capital Stock ownership of such Group Member in such Restricted Subsidiary; provided that with respect to each purchase or other acquisition (i) after giving effect thereto, the Borrower and its Restricted Subsidiaries are in compliance with Section 7.15, (ii) immediately before and immediately after giving effect on a pro forma basis to any such purchase or other acquisition, no Event of Default shall have occurred and be continuing and (iii) any such newly created or acquired Subsidiary shall, to the extent required by Section 6.10, comply with the requirements of Section 6.10. “Permitted Amendment” means an amendment to this Agreement and/or the other Loan Documents, effected in connection with a Loan Modification Offer pursuant to Section 2.26, providing for an extension of the scheduled maturity date and/or amortization applicable to the Loans of the Accepting Lenders of a relevant Facility and, in connection therewith, which may also provide for (a)(i) a change in the Applicable Margin with respect to the Loans of the Accepting Lenders subject to such Permitted Amendment and/or (ii) a change in the fees payable to, or the inclusion of new fees to be payable to, the Accepting Lenders in respect of such Loans, (b) changes to any prepayment premiums with respect to the applicable Loans of a relevant Facility, (c) such amendments to this Agreement and the other Loan Documents as shall be appropriate, in the reasonable judgment of the Administrative Agent, to provide the rights and benefits of this Agreement and other Loan Documents to each new Facility of Loans and/or commitments resulting therefrom and (d) additional amendments to the terms of this Agreement and/or the other Loan Documents applicable to the applicable Loans of the Accepting Lenders that are less favorable to such Accepting Lenders than the terms of this Agreement and/or the other Loan Documents, as applicable, prior to giving effect to such Permitted Amendments and that are reasonably acceptable to the Administrative Agent. “Permitted Refinancing Indebtedness” means with respect to any Indebtedness of any Person (the “Original Indebtedness”), any modification, refinancing, refunding, replacement, renewal or extension of such Indebtedness, in whole or in part; provided, that (i) no Person that is not an obligor with respect to the Original Indebtedness shall be an obligor with respect to such Permitted Refinancing Indebtedness, (ii) the final maturity and weighted average life to maturity of such Indebtedness shall not be shortened as a result of such modification, refinancing, refunding, replacement, renewal or extension, (iii) in the case of any modification, refinancing, refunding, replacement, renewal or extension of Indebtedness incurred pursuant to Section 7.2(a), (b) or (bb), the mandatory prepayment and redemption terms, covenants and events of default of such Indebtedness are either (x) not materially more favorable (taken as a whole, as conclusively determined by the Borrower in good faith) to the lenders providing such Indebtedness than those terms (taken as a whole) applicable to the Original Indebtedness (except to the extent such terms apply solely to any period after the Latest Maturity Date or are applied for the benefit of the Term Loans then outstanding) or (y) reflect market terms and conditions at the time of incurrence or issuance, as conclusively determined by the Borrower in good faith, (iv) (x) in the case of any Original Indebtedness consisting of a revolving credit facility, the committed amount does not exceed the committed amount in respect of the Original Indebtedness and (y) in each case (including in respect of a revolving credit facility), the principal amount (or accreted value, if applicable) thereof does not exceed the principal amount (or accreted value, if applicable) of the Original Indebtedness, except in each case by an amount (such amount, the “Additional Permitted Amount”) equal to unpaid accrued interest, fees, and premium (including make-whole premiums, prepayment premiums and amounts required to be paid in connection with defeasance and satisfaction and discharge) thereon at such time plus reasonable fees and expenses incurred in connection with such modification, refinancing, refunding, replacement, renewal or extension (including upfront fees and original issue discount), (v) for the avoidance of doubt, the Original Indebtedness is paid down (or, with respect to revolving credit facilities, commitments in respect thereof are reduced (together with, if applicable, payments of principal)) on a Dollar-for-Dollar basis by such Permitted Refinancing Indebtedness (other than by the Additional Permitted Amount), (vi) if the Original Indebtedness shall have been subordinated to the Obligations, 37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50"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such Permitted Refinancing Indebtedness shall also be subordinated to the Obligations on terms not less favorable in any material respect (taken as a whole) to the Lenders and (vii) such Permitted Refinancing Indebtedness shall not be secured by any Lien on any asset other than the assets that secured such Original Indebtedness (or would have been required to secure such Original Indebtedness pursuant to the terms thereof) or, in the event Liens securing such Original Indebtedness shall have been contractually subordinated to any Lien securing the Obligations, by any Lien that shall not have been contractually subordinated to at least the same extent. “Permitted Unsecured Indebtedness” means Indebtedness of the Borrower or any of its Subsidiaries (a) that is not (and any Guarantee Obligations thereof by any Group Member are not) secured by any collateral (including the Collateral), (b) that does not mature earlier than the date that is 91 days after the Latest Maturity Date then in effect at the time of incurrence thereof and has a weighted average life to maturity no shorter than the Facility of Term Loans with the Latest Maturity Date in effect at the time of incurrence of such Indebtedness, (c) that contains mandatory prepayment and redemption terms, covenants and events of default that are either (x) customary for similar Indebtedness in light of then-prevailing market conditions (it being understood and agreed that such Indebtedness shall include financial maintenance covenants only to the extent any such financial maintenance covenant is (i) applicable only to periods after the Latest Maturity Date then in effect at the time of incurrence thereof or (ii) included in or added to the Loan Documents for the benefit of the Lenders) or (y) when taken as a whole (other than interest rates, rate floors, fees and optional prepayment or redemption terms), are not materially more favorable to the lenders or investors providing such Permitted Unsecured Indebtedness, as the case may be, than those set forth in the Loan Documents are with respect to the Lenders (other than covenants or other provisions applicable only to periods after the Latest Maturity Date then in effect at the time of incurrence thereof or that are included in or added to the Loan Documents for the benefit of the Lenders), in the case of each of clauses (x) and (y), as conclusively determined by the Borrower in good faith, and (e) that is not guaranteed by any Person other than on an unsecured basis by Group Members. “Person” means an individual, partnership, corporation, limited liability company, business trust, joint stock company, trust, unincorporated association, joint venture, Governmental Authority or other entity of whatever nature. “Plan”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 “Plan Asset Regulations” means 29 CFR § 2510.3-101 et seq., as modified by Section 3(42) of ERISA, as amended from time to time. “Planned Distributions” has the meaning set forth in the definition of “Excess Cash Flow”. “Planned Expenditures” has the meaning set forth in the definition of “Excess Cash Flow”. “Platform” has the meaning set forth in Section 10.15. “Prime Rate” means the rate of interest last quoted by The Wall Street Journal as the “Prime Rate” in the U.S. or, if The Wall Street Journal ceases to quote such rate, the highest per annum interest rate published by the Federal Reserve Board in Federal Reserve Statistical Release H.15 (519) 38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51"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 “Pro Forma Basis” means, with respect to the calculation of any test or covenant hereunder, such test or covenant being calculated after giving effect to (a) any designation of a Restricted Subsidiary as an Unrestricted Subsidiary, (b) any designation of an Unrestricted Subsidiary as a Restricted Subsidiary, (c) any Material Acquisition, (d) any Material Disposition, (e) any assumption, incurrence, repayment or other Disposition of Indebtedness, (f) the granting or assumption of any Lien and (g) in connection with the foregoing, the making of any Restricted Payment (all of the foregoing, “Applicable Transactions”) using, for purposes of determining such compliance, the historical financial statements of all entities or assets so designated, acquired or sold (to the extent available) and the consolidated financial statements of the Borrower and its Restricted Subsidiaries, which shall be reformulated as if all Applicable Transactions during the Applicable Reference Period, or subsequent to the Applicable Reference Period and on or prior to the date of such calculation, had been consummated at the beginning of such period (and shall include, with respect to any Material Acquisition or Material Disposition, any adjustments calculated in accordance with (and subject to the requirements and limitations of) clause (i) of the definition of “Consolidated EBITDA”); provided that with respect to any assumption, incurrence, repayment or other Disposition of Indebtedness (i) if such Indebtedness has a floating rate of interest, the interest expense on such Indebtedness will be calculated as if the rate in effect on the date of calculation had been the applicable rate for the entire period (taking into account any Swap Obligations applicable to such Indebtedness if such Swap Obligation has a remaining term as at the date of calculation in excess of 12 months), (ii) interest on Finance Lease Obligations shall be deemed to accrue at an interest rate reasonably determined by the Borrower to be the rate of interest implicit in such Finance Lease Obligation in accordance with GAAP, (iii) interest on any Indebtedness under a revolving credit facility shall be based upon the average daily balance of such Indebtedness during the applicable period and (iv) interest on Indebtedness that may be optionally determined at an interest rate based upon a factor of a prime or similar rate, a eurocurrency interbank offered rate, or other rate, shall be deemed to have been based upon the rate actually chosen, or, if none, then based upon such optional rate as the Borrower may designate. “Pro Forma Financial Statements” has the meaning set forth in Section 4.1(a). “Prohibited Transaction” has the meaning set forth in Section 406 of ERISA and Section 4975(c) of the Code. “Projections” has the meaning set forth in Section 6.2(c). “PTE” means a prohibited transaction class exemption issued by the U.S. Department of Labor, as any such exemption may be amended from time to time. “Public-Sider” means a Lender whose representatives may trade in securities of the Borrower or any of its Subsidiaries while in possession of the financial statements provided by the Borrower under the terms of this Agreement. “Purchasing Borrower Party” means any of the Borrower or any Restricted Subsidiary. “QFC” has the meaning assigned to the term “qualified financial contract” in, and shall be interpreted in accordance with, 12 U.S.C. 5390(c)(8)(D). 39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52"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QFC Credit Support” has the meaning set forth in Section 10.20. “Qualified Capital Stock” means Capital Stock of the Borrower other than Disqualified Capital Stock. “Qualified Securitization Transaction” means any Securitization Transaction of a Securitization Subsidiary that meets the following conditions: (a) the Borrower shall have determined in good faith that such Securitization Transaction (including financing terms, covenants, termination events and other provisions) is in the aggregate economically fair and reasonable to the Borrower and its Restricted Subsidiaries; (b) all sales of Securitization Assets to the Securitization Subsidiary are made at fair market value (as determined in good faith by the Borrower); and (c) the financing terms, covenants, termination events and other provisions thereof shall be market terms (as determined in good faith by the Borrower) and may include Standard Securitization Undertakings. The grant of a security interest in any accounts receivable of the Borrower or any of its Restricted Subsidiaries (other than a Securitization Subsidiary) to secure any Indebtedness shall not be deemed a Qualified Securitization Transaction. “Recovery Event” means any settlement of or payment in respect of any property or casualty insurance claim or any condemnation proceeding relating to any asset of any Group Member (other than assets that constitute ABL Priority Collateral) that yields gross cash proceeds to any Group Member in excess of $15,000,000. “Reference Period” means each period of four consecutive fiscal quarters of the Borrower. “Reference Time” with respect to any setting of the then-current Benchmark means (1) if such Benchmark is the LIBOTerm SOFR Rate, 11:00 a.m. (London5:00 a.m. (Chicago time) on the day that is two London bankingU.S. Government Securities Business dDays preceding the date of such setting, and (2) if such Benchmark is not the LIBO RateDaily Simple SOFR, then four Business Days prior to such setting, or (3) if such Benchmark is none of the Term SOFR Rate or Daily Simple SOFR, the time determined by the Administrative Agent in its reasonable discretion. “Refinancing Facility Agreement” means an amendment to this Agreement, in form and substance reasonably satisfactory to the Administrative Agent and the Borrower, among the Borrower and, if applicable, the Administrative Agent and one or more Refinancing Term Lenders, establishing Refinancing Term Loan Commitments and Refinancing Term Loans and effecting such other amendments hereto and to the other Loan Documents as are contemplated by Section 2.27. “Refinancing Term Lender” has the meaning set forth in Section 2.27(a). “Refinancing Term Loan Commitments” has the meaning set forth in Section 2.27(a). “Refinancing Term Loans” has the meaning set forth in Section 2.27(a). “Register” has the meaning set forth in Section 10.6(b)(iv). 40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53"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Regulation D” means Regulation D of the Federal Reserve Board, as in effect from time to time and all official rulings and interpretations thereunder or thereof. “Regulation T” means Regulation T of the Federal Reserve Board, as in effect from time to time and all official rulings and interpretations thereunder or thereof. “Regulation U” means Regulation U of the Board, as in effect from time to time and all official rulings and interpretations thereunder or thereof. “Regulation X” means Regulation X of the Federal Reserve Board, as in effect from time to time and all official rulings and interpretations thereunder or thereof. “Reinvestment Deferred Amount” means with respect to any Reinvestment Event, the aggregate Net Cash Proceeds received by any Group Member in connection therewith that are not applied to prepay the Term Loans pursuant to Section 2.11(b) as a result of the delivery of a Reinvestment Notice. “Reinvestment Event” means any Asset Sale or Recovery Event in respect of which the Borrower has delivered a Reinvestment Notice. “Reinvestment Notice” means a written notice executed by a Responsible Officer stating that the Borrower (directly or indirectly through a Restricted Subsidiary) intends and expects to use all or a specified portion of the Net Cash Proceeds of an Asset Sale or Recovery Event to acquire (including purchases of companies or divisions or lines of business, Permitted Acquisitions and other permitted Investments and purchases of inventory), maintain, develop, construct, improve, upgrade or repair assets useful in its or its Restricted Subsidiaries’ business. “Reinvestment Prepayment Amount” means with respect to any Reinvestment Event, the Reinvestment Deferred Amount relating thereto less any amount expended prior to the relevant Reinvestment Prepayment Date to acquire (including purchases of companies or divisions or lines of business, Permitted Acquisitions and other permitted Investments and purchases of inventory), maintain, develop, construct, improve, upgrade or repair assets useful in the Borrower’s or its Restricted Subsidiaries’ business. “Reinvestment Prepayment Date” means with respect to any Reinvestment Event, the earlier of (a) the date occurring 18 months after such Reinvestment Event (or if the Borrower or the relevant Restricted Subsidiary, as applicable, has contractually committed within 18 months after such Reinvestment Event to reinvest such Reinvestment Deferred Amount, the date occurring 24 months after such Reinvestment Event) and (b) the date on which the Borrower shall have determined not to, or shall have otherwise ceased to, acquire, maintain, develop, construct, improve, upgrade or repair assets useful in the Borrower’s or its Restricted Subsidiaries’ business with all or any portion of the relevant Reinvestment Deferred Amount. “Related Parties” with respect to any specified Person, such Person’s Affiliates and the respective directors, officers, employees, agents and advisors of such Person and such Person’s Affiliates. “Relevant Governmental Body” means the Federal Reserve Board and/or the NYFRB, or a committee officially endorsed or convened by the Federal Reserve Board and/or the NYFRB, or any successor thereto. 41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54"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Relevant Rate” (i) with respect to any Term Benchmark Borrowing, the Adjusted Term SOFR Rate or (ii) with respect to any RFR Borrowing, Adjusted Daily Simple SOFR, as applicable. “Repricing Transaction” means (a) any prepayment of Initial Term Loans with the proceeds of a substantially concurrent incurrence of Indebtedness by any Group Member (other than any such incurrence in connection with a Transformative Acquisition or a Change of Control) the primary purpose of which results in the all-in yield, on the date of such prepayment, being lower than the all-in yield on the Initial Term Loans (with the all-in yield calculated by the Administrative Agent in accordance with standard market practice, taking into account, in each case, any interest rate floors, the Applicable Margin hereunder and the interest rate spreads under such Indebtedness, and any original issue discount and upfront fees applicable to or payable in respect of the Initial Term Loans and such Indebtedness with the original issue discount and upfront fees being equated to interest rate assuming a four-year life to maturity of such Indebtedness (but excluding arrangement, structuring, underwriting, commitment, amendment or other fees regardless of whether paid in whole or in part to any or all lenders of such Indebtedness and any other fees that are not paid generally to all lenders of such Indebtedness)) and (b) any amendment, amendment and restatement or other modification to this Agreement that reduces the all-in yield (calculated as set forth in clause (a) above) of the Initial Term Loans (other than any such amendment, amendment and restatement or other modification effected in connection with a Transformative Acquisition or a Change of Control). “Repurchase Obligation” means any obligation of a seller of Securitization Assets in a Qualified Securitization Transaction to repurchase such Securitization Assets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 “Required Lenders” means at any time, the holders of more than 50% of the aggregate unpaid principal amount of the Term Loans then outstanding. “Requirement of Law” means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 “Resolution Authority” means, with respect to any EEA Financial Institution, an EEA Resolution Authority or, with respect to any UK Financial Institution, a UK Resolution Authority. “Responsible Officer” means the chief executive officer, president, chief financial officer, vice president, finance, or treasurer of the Borrower, but in any event, with respect to financial matters, the chief financial officer or vice president, finance, of the Borrower. “Restricted Debt Payment” has the meaning set forth in Section 7.8(a). “Restricted Indebtedness” means any Subordinated Indebtedness, any Unsecured Notes and any Permitted Refinancing Indebtedness in respect of any Unsecured Notes. “Restricted Payments” has the meaning set forth in Section 7.6. 42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55"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Restricted Subsidiary” means any Subsidiary of the Borrower other than an Unrestricted Subsidiary. “Retained Excess Cash Flow” means, at any date of determination, an amount, equal to the aggregate cumulative sum of the Retained Percentage of Excess Cash Flow for the Excess Cash Flow Periods ended on or prior to such date. “Retained Percentage” means, with respect to any Excess Cash Flow Period, (a) 100% minus (b) the ECF Percentage with respect to such Excess Cash Flow Period. “RFR Borrowing” means, as to any Borrowing, the RFR Loans comprising such Borrowing. “RFR Loan” means a Loan that bears interest at a rate based on the Adjusted Daily Simple SOFR. “S&amp;P” means Standard &amp; Poor’s Rating Services, a Standard &amp; Poor’s Financial Services LLC business. “Sanctioned Country” means, at any time, a country, region or territory which is itself the subject or target of any Sanctions (at the time of this Agreement, Crimea, Cuba, Iran, North Korea and Syria). “Sanctioned Person” means, at any time, (a) any Person listed in any Sanctions-related list of designated Persons maintained by the Office of Foreign Assets Control of the U.S. Department of the Treasury, the U.S. Department of State, the United Nations Security Council, the European Union, any European Union member state, Her Majesty’s Treasury of the United Kingdom or other relevant sanctions authority, in each case, having jurisdiction over any Group Member, (b) any Person operating, organized, or resident in a Sanctioned Country, (c) any Person owned or controlled by any such Person or Persons described in the foregoing clauses (a) or (b), or (d) any Person otherwise the subject of any Sanctions. “Sanctions” means all comprehensive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Her Majesty’s Treasury of the United Kingdom or other relevant sanctions authority, in each case, having jurisdiction over any Group Member. “SEC” means the Securities and Exchange Commission, any successor thereto and any analogous Governmental Authority. “Secured Parties” has the meaning set forth in the Guarantee and Collateral Agreement. “Securitization Assets” means accounts receivables, lease receivables or other payment obligations owing to the Borrower or such Restricted Subsidiary or any interest in any of the foregoing, together in each case with any collections and other proceeds thereof, any collection or deposit account related thereto, and any collateral, guarantees or other property or claims in each case supporting or securing payment by the obligor thereon of, or otherwise related to, or subject to leases giving rise to, any such receivables. 43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56"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Securitization Fee” means distributions or payments made directly or by means of discounts with respect to any accounts receivable, lease receivable or other right to payment or participation interest issued or sold in connection with, and other fees paid to a Person that is not a Restricted Subsidiary in connection with, any Qualified Securitization Transaction. “Securitization Subsidiary” means a trust, bankruptcy remote entity or other special purpose entity which is a wholly owned Restricted Subsidiary of the Borrower (or another Person formed for the purposes of engaging in Qualified Securitization Transactions with the Borrower or any Subsidiary of the Borrower in which the Borrower or any Subsidiary of the Borrower makes an Investment and to which the Borrower or any Subsidiary of the Borrower transfers Securitization Assets) and which is formed for the purpose of and engages in no material business other than acting as an issuer or a depositor or borrower in a Securitization Transaction (and, in connection therewith, owning Securitization Assets and pledging or transferring any of the foregoing or interests therein and engaging in any business or activities incidental or related thereto), and: (a) no portion of the Indebtedness or any other obligations (contingent or otherwise) of which (i) is guaranteed by the Borrower or any other Restricted Subsidiary of the Borrower (excluding guarantees of obligations (other than the principal of and interest on, Indebtedness) pursuant to Standard Securitization Undertakings), (ii) is recourse to or obligates the Borrower or any other Restricted Subsidiary of the Borrower in any way other than pursuant to Standard Securitization Undertakings, or (iii) subjects any property or asset of the Borrower or any other Restricted Subsidiary of the Borrower, directly or indirectly, contingently or otherwise, to the satisfaction thereof, other than pursuant to Standard Securitization Undertakings; (b) with which neither the Borrower nor any other Restricted Subsidiary of the Borrower has any material contract, agreement, arrangement or understanding other than on terms which the Borrower reasonably believes to be no less favorable to the Borrower or such Restricted Subsidiary than those that might be obtained at the time from Persons that are not Affiliates of the Borrower; and (c) to which neither the Borrower nor any other Restricted Subsidiary of the Borrower has any obligation to maintain or preserve such entity’s financial condition or cause such entity to achieve certain levels of operating results. “Securitization Transaction” means any transaction or series of transactions that may be entered into by the Borrower or any of its Restricted Subsidiaries pursuant to which the Borrower or any of its Subsidiaries may sell, discount, assign, factor, convey, participate, contribute to capital, grant a security interest in, pledge or otherwise transfer (including for purposes of facilitating a warehouse facility relating to a Securitization Transaction) to (a) a Securitization Subsidiary (in the case of a transfer by the Borrower or any of its Restricted Subsidiaries) or (b) any other Person (in the case of a transfer by a Securitization Subsidiary) any Securitization Assets. “Security Documents” means the collective reference to the Guarantee and Collateral Agreement and all other security documents hereafter delivered to the Administrative Agent granting a Lien on any property of any Person to secure the obligations and liabilities of any Loan Party under any Loan Document. “Series” has the meaning set forth in Section 2.24(a). 44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57"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SOFR” means, with respect to any Business Day, a rate per annum equal to the secured overnight financing rate for such Business Day publishedas administered by the SOFR Administrator on the SOFR Administrator’s Website on the immediately succeeding Business Day. “SOFR Administrator” means the NYFRB (or a successor administrator of the secured overnight financing rate). “SOFR Administrator’s Website” means the NYFRB’s Website, currently at http://www.newyorkfed.org, or any successor source for the secured overnight financing rate identified as such by the SOFR Administrator from time to time. “SOFR Determination Date” has the meaning specified in the definition of “Daily Simple SOFR”. “SOFR Rate Day” has the meaning specified in the definition of “Daily Simple SOFR”. “Solvent” means, when used with respect to any Person, that, as of any date of determination, (a) the fair value of the assets of such Person will exceed its debts and liabilities, subordinated, contingent or otherwise, (b) the present fair saleable value of the assets of such Person will be greater than the amount that will be required to pay the probable liabilities on its debts and other liabilities, subordinated, contingent or otherwise, as such debts and other liabilities become absolute and matured, (c) such Person will be able to pay its debts and liabilities, subordinated, contingent or otherwise, as such debts and liabilities become absolute and matured and (d) such Person is not engaged in, and is not about to engage in, business for which it has unreasonably small capital. The amount of any contingent liability at any time shall be computed as the amount that would reasonably be expected to become an actual and matured liability. “Specified Acquisition Agreement Representations” means, with respect to any acquisition contemplated by the Borrower or any Restricted Subsidiary, the representations made by or on behalf of the proposed target of such acquisition in the documentation governing such acquisition (the “Subject Acquisition Agreement”) that are material to the interests of the Lenders, but only to the extent that the Borrower (or its affiliates) has the right (taking into account any applicable cure provisions) to terminate its (or such affiliates’) obligations under the Subject Acquisition Agreement or decline to consummate the applicable acquisition as a result of a breach of such representations and warranties in the Subject Acquisition Agreement. “Specified Event of Default” means an Event of Default under clauses (a) or (f) of Section 8. “Specified Indebtedness” means Indebtedness of the types described in clauses (a) and (c) of the definition of “Indebtedness”. “Specified Representations” means the representations and warranties of the Borrower and the Subsidiary Guarantors set forth in Sections 4.3(a), 4.4(a), 4.5 (solely with respect to no violation of Organizational Documents), 4.11, 4.14, 4.19 and 4.20 and the last sentence of Section 4.23. “Standard Securitization Undertakings” means representations, warranties, covenants, Repurchase Obligations, indemnities and guarantees of performance entered into by any Group Member that are customary in an asset securitization financing, including those relating to the servicing of the assets of a Securitization Subsidiary. 45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58"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Statutory Reserve Rate”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Federal Reserve Board to which the Administrative Agent is subject with respect to the Adjusted LIBO Rate, for eurocurrency funding (currently referred to as “Eurocurrency liabilities” in Regulation D). Such reserve percentage shall include those imposed pursuant to Regulation D. Eurodollar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 “Subordinated Indebtedness” means any Specified Indebtedness of any Group Member that is expressly subordinated in right of payment to the Obligations; provided that, for the avoidance of doubt, Indebtedness under the ABL Credit Agreement shall not be considered Subordinated Indebtedness. “Subsidiary” means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otherwise qualified, all references to a “Subsidiary” or to “Subsidiaries” in this Agreement shall refer to a Subsidiary or Subsidiaries of the Borrower. “Subsidiary Guarantor” means (i) each Restricted Subsidiary of the Borrower that is a Domestic Subsidiary (other than any Excluded Subsidiary) and (ii) each other Restricted Subsidiary that is an obligor under or guarantor in respect of the ABL Loans or any Permitted Refinancing Indebtedness in respect thereof. “Supported QFC” has the meaning assigned to it in Section 10.20. “Swap Agreement”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provided that no phantom stock or similar plan providing for payments only on account of services provided by current or former directors, officers, employees or consultants of the Borrower or any of its Subsidiaries shall be a “Swap Agreement”. “Swap Obligation” means, with respect to any Person, any obligation to pay or perform under any Swap Agreement. “Syndication Agent” means the Syndication Agent identified on the cover page of this Agreement. “Target Debt Repayment” means the repayment of, termination of all commitments under and the discharge and release of all security and guarantees in respect of the following debt instruments of the Acquired Business: (a) the Credit Agreement, dated as of April 27, 2018, entered into with Comvest Capital IV, L.P., Crystal Financial LLC and the lenders party thereto, (b) the Third 46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59"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Amended and Restated Promissory Note, dated as of April 27, 2018, entered into with Aaron Allred and (c) the Amended and Restated Promissory Note, dated as of April 27, 2018, entered into with Austin Allred and subsequently assigned to Aaron Allred. “Taxes” means all present or future taxes, levies, imposts, duties, deductions, withholdings (including backup withholding), assessments, fees or other charges imposed by any Governmental Authority, including any interest, additions to tax or penalties applicable thereto. “Term Benchmark” when used in reference to any Loan or Borrowing, refers to whether such Loan, or the Loans comprising such Borrowing, are bearing interest at a rate determined by reference to the Adjusted Term SOFR Rate. “Term Benchmark Tranche” the collective reference to Term Benchmark Loans under a particular Facility the then current Interest Periods with respect to all of which begin on the same date and end on the same later date (whether or not such Loans shall originally have been made on the same day). “Term Lenders” means the collective reference to the Initial Term Lenders, the Incremental Term Lenders and the Refinancing Term Lenders. “Term Loan Refinancing Indebtedness” has the meaning set forth in Section 7.2(a). “Term Loans” means the collective reference to the Initial Term Loans, the Incremental Term Loans and the Refinancing Term Loans. “Term SOFR” means, for the applicable Corresponding Tenor as of the applicable Reference Time, the forward-looking term rate based on SOFR that has been selected or recommended by the Relevant Governmental Body. “Term SOFR Notice” means a notification by the Administrative Agent to the Lenders and the Borrower of the occurrence of a Term SOFR Transition Event. Determination Day” has the meaning assigned to it under the definition of Term SOFR Reference Rate. “Term SOFR Transition Event” means the determination by the Administrative Agent that (a) Term SOFR has been recommended for use by the Relevant Governmental Body, (b) the administration of Term SOFR is administratively feasible for the Administrative Agent and (c) a Benchmark Transition Event or an Early Opt-in Election, as applicable (and, for the avoidance of doubt, not in the case of an Other Benchmark Rate Election), has previously occurred resulting in a Benchmark Replacement in accordance with Section 2.16 that is not Term SOFR.Rate” means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 “Term SOFR Reference Rate” means for any day and time (such day, the “Term SOFR Determination Day”), with respect to any Term Benchmark Borrowing denominated in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47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60"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 “Trade Date” means with respect to any sale or assignment of rights by a Lender under this Agreement, the date on which such Lender entered into a binding agreement to sell or assign all or a portion of its rights under this Agreement. “Transaction Costs” means fees, premiums, expenses, closing payments and other similar transaction costs (including upfront or similar fees) payable or otherwise borne by the Borrower and/or its Subsidiaries in connection with the Transactions and the transactions contemplated thereby. “Transactions” means collectively, (a) the consummation of the Acima Acquisition, (b) the execution, delivery and performance by the Borrower and the other Loan Parties of this Agreement, the borrowing of Loans hereunder and the use of proceeds thereof, (c) the execution, delivery and performance by the Borrower and the other Loan Parties of the ABL Loan Documents, the borrowing of ABL Loans thereunder and the use of proceeds thereof, (d) (w) the issuance by Funding SPV of the Unsecured Notes, (x) the merger of Funding SPV with and into the Borrower, (y) the execution and delivery by the Borrower and the other Loan Parties of a supplemental indenture to the Unsecured Notes Indenture, pursuant to which the Borrower assumes the obligations of Funding SPV as issuer thereunder and the other Loan Parties provide guarantees thereof and (z) the release from escrow of the proceeds of the Unsecured Notes and the use of proceeds thereof, (e) the Debt Repayment and (f) the payment of the Transaction Costs. “Transferee” means any Assignee or Participant. “Transformative Acquisition” means any acquisition by the Borrower or any Restricted Subsidiary of an unrelated third party that is either (a) not permitted by the terms of the Loan Documents immediately prior to the consummation of such acquisition or (b) if permitted by the terms of the Loan Documents immediately prior to the consummation of such acquisition, would not provide the Borrower and its Restricted Subsidiaries with adequate flexibility under the Loan Documents for the continuation and/or expansion of their combined operations following such consummation (as determined by the Borrower acting in good faith). “Type” means, when used in reference to any Loan or Borrowing, refers to whether the rate of interest on such Loan, or on the Loans comprising such Borrowing, is determined by reference to the Adjusted LIBOTerm SOFR Rate or the Alternate Base Rate or, if applicable, the Adjusted Daily Simple SOFR. “UK Financial Institutions”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“UK Resolution Authority” means the Bank of England or any other public administrative authority having responsibility for the resolution of any UK Financial Institution. 48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61"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Unadjusted Benchmark Replacement” means the applicable Benchmark Replacement excluding the related Benchmark Replacement Adjustment. “United States” means the United States of America. “Unrestricted Cash” means unrestricted cash and Cash Equivalents owned by any Group Member (including the Insurance Subsidiary) and not controlled by or subject to any Lien or other preferential arrangement in favor of any creditor (other than Liens created under the Security Documents or the ABL Security Documents (or the comparable security documents governing any Permitted Refinancing Indebtedness in respect of Indebtedness outstanding under the ABL Credit Agreement) and Liens of the type referred to in Section 7.3(u) or Section 7.3(x)); provided that Unrestricted Cash shall only include cash and Cash Equivalents of the Insurance Subsidiary to the extent in excess of any minimum cash amounts that the Insurance Subsidiary is required by law or regulation to maintain. “Unrestricted Subsidiary” means (a) any Subsidiary of the Borrower that is designated as an Unrestricted Subsidiary by the Borrower pursuant to Section 6.11 subsequent to the Closing Date and (b) any Subsidiary of an Unrestricted Subsidiary. “Unsecured Notes” means the 6.375% senior unsecured notes issued and sold pursuant to the Unsecured Notes Indenture as the same may be amended, restated, amended and restated, modified and/or supplemented from time to time in accordance with the terms hereof. “Unsecured Notes Documents” means collectively (a) the Unsecured Notes Indenture, (b) the Unsecured Notes and (c) any amendment, restatement, amendment and restatement, waiver, supplement or other modification to any of the documents described in clauses (a) through (b). “Unsecured Notes Indenture” means the Indenture, dated as of February 17, 2021, entered into by Funding SPV (to be merged with and into the Borrower) and Truist Bank, as trustee, as the same may be amended, restated, amended and restated, modified and/or supplemented from time to time in accordance with the terms hereof. “U.S. Government Securities Business Day”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 “U.S. Person” means a “United States person” within the meaning of Section 7701(a)(30) of the Code. “U.S. Special Resolution Regime” has the meaning set forth in Section 10.20. “U.S. Tax Compliance Certificate” has the meaning set forth in Section 2.19(f)(ii)(B)(3). “Voluntary Prepayment Amount” means as of any date, an amount equal to (a) the sum of the aggregate principal amount of all optional prepayments of Term Loans made after the Closing Date and prior to such date (excluding prepayments made with the proceeds of long-term Indebtedness) less (b) the aggregate principal amount of Incremental Term Loans and Incremental Equivalent Debt established prior to such date in reliance on the Voluntary Prepayment Amount; provided that (i) no prepayment of Term Loans secured on a junior basis to the Initial Term Facility shall increase the Voluntary Prepayment Amount with respect to Indebtedness to be secured on a pari passu basis with the 49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62"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Initial Term Facility and (ii) no prepayment of unsecured Term Loans shall increase the Voluntary Prepayment Amount with respect to Indebtedness to be secured. “Wholly Owned Subsidiary” means as to any Person, any other Person all of the Capital Stock of which (other than directors’ qualifying shares required by law) is owned by such Person directly and/or through other Wholly Owned Subsidiaries. “Withdrawal Liability” means liability to a Multiemployer Plan as a result of a complete or partial withdrawal from such Multiemployer Plan, as such terms are defined in Part I of Subtitle E of Title IV of ERISA. “Write-Down and Conversion Powers”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1.2 Classification of Loans and Borrowings. For purposes of this Agreement, Loans may be classified and referred to by Type (e.g., a “EurodollarTerm Benchmark Loan”). Borrowings also may be classified and referred to by Type (e.g., a “EurodollarTerm Benchmark Borrowing”). 1.3 Other Definitional Provisions. (a) Unless otherwise specified therein, all terms defined in this Agreement shall have the defined meanings when used in the other Loan Documents or any certificate or other document made or delivered pursuant hereto or thereto. (b) As used herein and in the other Loan Documents, and any certificate or other document made or delivered pursuant hereto or thereto, (i) accounting terms relating to any Group Member not defined in Section 1.1 and accounting terms partly defined in Section 1.1, to the extent not defined, shall have the respective meanings given to them under GAAP (provided that all terms of an accounting or financial nature used herein shall be construed, and all computations of amounts and ratios referred to herein shall be made, without giving effect to (x) any election under Accounting Standards Codification 825-10-25 (previously referred to as Statement of Financial Accounting Standards 159) (or any other Accounting Standards Codification or Financial Accounting Standard having a similar result or effect) to value any Indebtedness or other liabilities of the Borrower or any Subsidiary at “fair value”, as defined therein and (y)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(v) references to agreements or other Contractual Obligations shall, unless otherwise specified, be deemed to refer to such agreements or Contractual Obligations as amended, supplemented, restated, amended and 50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63"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restated or otherwise modified from time to time and (vi) the concept of “letters of credit” shall be construed to include banker’s acceptances. (c) 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 (d) The meanings given to terms defined herein shall be equally applicable to both the singular and plural forms of such terms. (e) Unless otherwise defined herein or the context otherwise requires, terms for which meanings are provided in the UCC are used in this Agreement, including its preamble and recitals, with such meanings. 1.4 Interest Rate; LIBORBenchmark Notification. The interest rate on Eurodollar Loans is determined by reference to the LIBO Rate, which is derived from the London interbank offered rate. The London interbank offered rate (“LIBOR”) is intended to represent the rate at which contributing banks may obtain short-term borrowings from each other in the London interbank market. On March 5, 2021, the U.K. Financial Conduct Authority (“FCA”) publicly announced that: (a) immediately after December 31, 2021, publication of all seven euro LIBOR settings, all seven Swiss Franc LIBOR settings, the spot next, 1-week, 2-month and 12-month Japanese Yen LIBOR settings, the overnight, 1-week, 2-month and 12-month British Pound Sterling LIBOR settings, and the 1-week and 2-month U.S. Dollar LIBOR settings will permanently cease; immediately after June 30, 2023, publication of the overnight and 12-month U.S. Dollar LIBOR settings will permanently cease; immediately after December 31, 2021, the 1-month, 3-month and 6-month Japanese Yen LIBOR settings and the 1-month, 3-month and 6-month British Pound Sterling LIBOR settings will cease to be provided or, subject to consultation by the FCA, be provided on a changed methodology (or “synthetic”) basis and no longer be representative of the underlying market and economic reality they are intended to measure and that representativeness will not be restored; and immediately after June 30, 2023, the 1-month, 3-month and 6-month U.S. Dollar LIBOR settings will cease to be provided or, subject to the FCA’s consideration of the case, be provided on a synthetic basis and no longer be representative of the underlying market and economic reality they are intended to measure and that representativeness will not be restored. There is no assurance that dates announced by the FCA will not change or that the administrator of LIBOR and/or regulators will not take further action that could impact the availability, composition, or characteristics of LIBOR or the currencies and/or tenors for which LIBOR is published. Each party to this agreement should consult its own advisors to stay informed of any such developments. Public and private sector industry initiatives are currently underway to identify new or alternative reference rates to be used in place of LIBORa Loan denominated in dollars may be derived from an interest rate benchmark that may be discontinued or is, or may in the future become, the subject of regulatory reform. Upon the occurrence of a Benchmark Transition Event, a Term SOFR Transition Event, an Early Opt-in Election or an Other Benchmark Rate Election, Section 2.16(b) and (c) provides a mechanism for determining an alternative rate of interest. The Administrative Agent will promptly notify the Borrower, pursuant to Section 2.16(e), of any change to the reference rate upon which the interest rate on Eurodollar Loans is based. However, the Administrative Agent does not warrant or accept any responsibility for, and shall not have any liability with respect to, the administration, submission, performance or any other matter related to LIBOR or other rates in the definition of “LIBO Rate”any interest rate used in this Agreement, or with respect to any alternative or successor rate thereto, or replacement rate thereof (including (i) any such alternative, successor or replacement rate implemented pursuant to Section 2.16(b) or (c), whether upon the occurrence of a Benchmark Transition Event, a Term SOFR Transition Event, an Early Opt-in Election or an Other Benchmark Rate Election, and (ii) 51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64"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implementation of any Benchmark Replacement Conforming Changes pursuant to Section 2.16(d)), including without limitation, whether the composition or characteristics of any such alternative, successor or replacement reference rate will be similar to, or produce the same value or economic equivalence of, the LIBOexisting interest Rrate being replaced or have the same volume or liquidity as did the London interbank offeredany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the Adjusted LIBOany interest Rrate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1.5 Divisions.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Capital Stock at such time. 1.6 Limited Condition Transaction. Notwithstanding anything in this Agreement or any Loan Document to the contrary when (i) calculating any applicable ratio or financial test or basket or exception in connection with the incurrence of Indebtedness, the creation of Liens, the making of any Disposition, the making of an Investment, the making of a Restricted Payment, the designation of a Subsidiary as restricted or unrestricted or the repayment of Indebtedness (each, a “Specified Transaction”), (ii) determining the accuracy of any representation or warranty (other than in connection with an Incremental Limited Condition Term Facility) or (iii) determining whether any Default or Event of Default has occurred, is continuing or would result from any action (other than in connection with an Incremental Limited Condition Term Facility), in each case of clauses (i) through (iii) in connection with a Limited Condition Transaction, the date of determination of such ratio or financial test or basket or exception, the accuracy of such representation or warranty (but taking into account any earlier date specified therein) or whether any Default or Event of Default has occurred, is continuing or would result therefrom shall, at the option of the Borrower (the Borrower’s election to exercise such option in connection with any Limited Condition Acquisition, an “LCT Election”), be deemed to be the date the definitive agreements for such Limited Condition Transaction are entered into (the “LCT Test Date”). If on a Pro Forma Basis after giving effect to such Limited Condition Transaction and the other transactions to be entered into in connection therewith (including any incurrence of Indebtedness, Liens, Restricted Payments or other transactions and the use of proceeds thereof) such ratios, financial tests, baskets, exceptions, representations and warranties and absence of defaults are calculated as if such Limited Condition Transaction or other transactions had occurred at the beginning of the most recent Reference Period ending prior to the LCT Test Date for which financial statements are available, the Borrower could have taken such action on the relevant LCT Test Date in compliance with the applicable ratios or other provisions, such provisions shall be deemed to have been complied with. For the avoidance of doubt, (i) if any of such ratios, financial tests, baskets, exceptions, representations and warranties or absence of defaults are exceeded or breached as a result of fluctuations in such ratio or financial test (including due to fluctuations in Consolidated EBITDA), a change in facts or circumstances or other 52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65"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provisions at or prior to the consummation of the relevant Limited Condition Transaction, such ratios, financial tests, baskets, exceptions, representations and warranties and absence of defaults will not be deemed to have been exceeded, breached, or otherwise failed as a result of such fluctuations or changed circumstances solely for purposes of determining whether the Limited Condition Transaction and any related transactions is permitted hereunder and (ii) such ratios, financial tests, baskets, exceptions and compliance with such conditions shall not be tested at the time of consummation of such Limited Condition Transaction or related Specified Transactions. If the Company has made an LCT Election for any Limited Condition Transaction, then in connection with any subsequent calculation of any ratio or financial test or basket or exception with respect to any subsequent acquisition or Investment that the Borrower or a Restricted Subsidiary is contractually committed to consummate on or following the relevant LCT Test Date and prior to the earlier of the date on which such Limited Condition Transaction is consummated or the date that the definitive agreement for such Limited Condition Transaction is terminated or expires without consummation of such Limited Condition Transaction, any such ratio or financial test or basket or exception shall be calculated on a Pro Forma Basis both (i) assuming such Limited Condition Transaction and other transactions in connection therewith (including any incurrence of Indebtedness, Liens, Restricted Payments or other transactions and the use of proceeds thereof) have been consummated and (ii) assuming such Limited Condition Transaction and other transactions in connection therewith (including any incurrence of Indebtedness, Liens, Restricted Payments or other transactions and the use of proceeds thereof) have not been consummated. 1.7 Calculations. Notwithstanding anything in this Agreement or any Loan Document to the contrary (i) the Borrower may rely on more than one basket or exception hereunder (including both ratio-based and non-ratio based baskets and exceptions, and including partial reliance on different baskets that, collectively, permit the entire proposed transaction) at the time of any proposed transaction, and the Borrower may, in its sole discretion, at any later time divide, classify or reclassify such transaction (or any portion thereof) in any manner that complies with the available baskets and exceptions hereunder at such later time (provided that with respect to reclassification of Indebtedness and Liens, any such reclassification shall be subject to the parameters of Sections 7.2 and 7.3, as applicable), (ii) unless the Borrower elects otherwise, if the Borrower or its Restricted Subsidiaries in connection with any transaction or series of such related transaction (A) incurs Indebtedness, creates Liens, makes Dispositions, makes Investments, makes Restricted Payments, designates any Subsidiary as restricted or unrestricted or repays any Indebtedness or takes any other action under or as permitted by a ratio-based basket or exception and (B) incurs Indebtedness, creates Liens, makes Dispositions, makes Investments, makes Restricted Payments, designates any Subsidiary as restricted or unrestricted or repays any Indebtedness or takes any other action under a non-ratio-based basket or exception (which shall occur within five Business Days of the events in clause (A) above), then the applicable ratio will be calculated with respect to any such action under the applicable ratio-based basket or exception without regard to any such action under such non-ratio-based basket or exception made in connection with such transaction or series of related transactions; provided that the foregoing shall not apply to any Indebtedness incurred pursuant to Section 7.2(b), (iii) if the Borrower or its Restricted Subsidiaries enters into any revolving, delayed draw or other committed debt facility, the Borrower may elect to determine compliance of such debt facility (including the incurrence of Indebtedness and Liens from time to time in connection therewith) with this Agreement and each other Loan Document on the date commitments with respect thereto are first received, assuming the full amount of such facility is incurred (and any applicable Liens are granted) on such date, in lieu of determining such compliance on any subsequent date (including any date on which Indebtedness is incurred pursuant to such facility); provided that if such election is made with respect to any delayed draw facility or other committed debt facility (other than a revolving facility), then in connection with any subsequent calculation of any ratio or financial test or basket or exception with respect to any subsequent incurrence of Indebtedness (including the incurrence of Liens in connection therewith) or Liens, such calculation shall be made assuming the full amount of such delayed draw facility or committed debt facility, as applicable, has been incurred (and any applicable Liens 53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66"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granted) on such date of incurrence for so long as any commitments remain outstanding thereunder, and (iv) if the Borrower or any Restricted Subsidiary incurs Indebtedness under a ratio-based basket or exception, such ratio-based basket or exception (together with any other ratio-based basket or exception utilized in connection therewith, including in respect of other Indebtedness, Liens, Dispositions, Investments, Restricted Payments or Restricted Debt Payments) will be calculated excluding the cash proceeds of such Indebtedness for netting purposes (i.e., such cash proceeds shall not reduce the Borrower’s Consolidated Leverage Ratio, Consolidated Secured Leverage Ratio or Consolidated Senior Secured Leverage Ratio pursuant to clause (a)(ii) of the definition of such terms), provided that the actual application of such proceeds may reduce Indebtedness for purposes of determining compliance with any applicable ratio. For example, if the Borrower incurs Indebtedness under the Base Incremental Amount on the same date that it incurs Indebtedness under clause (e) of the definition of “Available Incremental Amount”, then the Consolidated Leverage Ratio and any other applicable ratio will be calculated with respect to such incurrence under clause (e) of the definition of “Available Incremental Amount” without regard to any incurrence of Indebtedness under the Base Incremental Amount. Unless the Borrower elects otherwise, each Incremental Term Facility (or Incremental Equivalent Debt) shall be deemed incurred first under clauses (c), (d) or (e) of the definition of “Available Incremental Amount”, as applicable, to the extent permitted (and calculated prior to giving effect to any substantially simultaneous incurrence of any Indebtedness based on a basket or exception that is not based on a financial ratio, including the Base Incremental Amount and the Voluntary Prepayment Amount), with any balance incurred under the Base Incremental Amount or the Voluntary Prepayment Amount. For purposes of determining compliance with Section 2.24, in the event that any Incremental Term Facility or Incremental Equivalent Debt (or any portion thereof) meets the criteria of any of the clauses of the definition of “Available Incremental Amount”, the Borrower may, in its sole discretion, at the time of incurrence, divide, classify or reclassify, or at any later time divide, classify or reclassify, such Indebtedness (or any portion thereof) in any manner that complies with Section 2.24 on the date of such classification or any such reclassification, as applicable. 1.8 Discontinued Operations. Notwithstanding anything to the contrary in this Agreement or any classification under GAAP of any Person, business, assets or operations in respect of which a definitive agreement for the disposition thereof has been entered into as discontinued operations, no pro forma effect shall be given to any discontinued operations (and the Consolidated EBITDA attributable to any such Person, business, assets or operations shall not be excluded for any purposes hereunder) until such disposition shall have been consummated. 1.9 Bridge Loans and Escrow Indebtedness. For purposes of determining the maturity date of any Indebtedness, (a) customary bridge loans that are subject to customary conditions (including no payment or bankruptcy event of default) that would either automatically be extended as, converted into or required to be exchanged for permanent refinancing shall be deemed to have the maturity date as so extended, converted or exchanged and (b) Indebtedness the proceeds of which are deposited into escrow pursuant to customary escrow arrangements pending consummation of a specified acquisition or Investment shall be deemed to have the maturity date of such Indebtedness upon consummation of the specified acquisition or Investment and release of such proceeds from escrow. SECTION 2. AMOUNT AND TERMS OF COMMITMENTS 2.1 Term Loans. Subject to the terms and conditions hereof, each Term Lender severally agrees to make term loans denominated in Dollars (the “Initial Term Loans”) on the Closing Date to the Borrower in an amount equal to the amount of its Initial Term Commitment. TheSubject to Section 2.16, the Term Loans may from time to time be EurodollarTerm Benchmark Loans or ABR 54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67"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Loans, as determined by the Borrower and notified to the Administrative Agent in accordance with Section 2.12. 2.2 Procedure for Term Loan Borrowing. To borrow Initial Term Loans on the Closing Date, the Borrower shall give the Administrative Agent irrevocable notice by submitting a Borrowing Request (which Borrowing Request must be received by the Administrative Agent prior to 12:00 Noon, New York City time, (a) three Business Days prior to the requested Borrowing Date, in the case of Eurodollar Loans; provided, that such notice may be received by the Administrative Agent prior to 12:00 Noon, New York City time one Business Day prior to the Closing Date for a Eurodollar Borrowing to be made on the Closing Date, or (b) one Business Day prior to the requested Borrowing Date, in the case of ABR Loans), specifying (i) the amount and Type of Initial Term Loans to be borrowed, and (ii) in the case of Eurodollar Loans, the respective amounts of each such Type of Loan and the respective lengths of the initial Interest Period therefor. Each borrowing under the Commitments shall be in an amount equal to (x) in the case of ABR Loans, $1,000,000 or a whole multiple thereof and (y) in the case of EurodollarTerm Benchmark Loans, $5,000,000, or a whole multiple of $1,000,000 in excess thereof. Upon receipt of any Borrowing Request from the Borrower, the Administrative Agent shall promptly notify each applicable Term Lender thereof. Each Lender will make the amount of its applicable Commitment available to the Administrative Agent for the account of the Borrower at the applicable Funding Office prior to 10:30 a.m., New York City time, on the Borrowing Date in respect of such Commitments requested by such Borrower in funds immediately available to the Administrative Agent. 2.3 Repayment of Term Loans. (a) The Borrower shall repay the Initial Term Loans on the last day of each March, June, September and December, beginning with June 30, 2021 and ending with the last such day to occur prior to the Maturity Date, in an aggregate principal amount for each such date (as such amount shall be adjusted pursuant to Section 2.17(b) hereof) equal to the aggregate principal amount of the Initial Term Loans outstanding on the Closing Date multiplied by 0.25%. (b) The Incremental Term Loans of each Incremental Term Lender shall mature in consecutive installments (which shall be no more frequent than quarterly) as specified in the Incremental Term Loan Activation Notice pursuant to which such Incremental Term Loans were made (as such amount shall be adjusted pursuant to Section 2.17(b)). (c) To the extent not previously paid (i) all Initial Term Loans shall be paid on the Maturity Date and (ii) all Incremental Term Loans shall be paid on the Incremental Term Loan Maturity Date applicable thereto. 2.4 [Reserved]. 2.5 [Reserved]. 2.6 [Reserved]. 2.7 [Reserved]. 2.8 Fees, etc. The Borrower agrees to pay to the Administrative Agent the fees in the amounts and on the dates as set forth in any fee agreements with the Administrative Agent and to perform any other obligations contained therein. 2.9 [Reserved]. 55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68"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2.10 Optional Prepayments. (a) The Borrower may at any time and from time to time prepay the Loans, in whole or in part, without premium or penalty (subject to Section 2.10(b)), upon revocable notice (which may be conditioned as stated in such notice by the Borrower) delivered to the Administrative Agent (i) no later than 12:00 Noon, New York City time, three Business Days prior thereto, in the case of Eurodollar Loans,Term Benchmark Loans, (ii) no later than 1:00 p.m., New York City Time, five Business Days prior thereto, in the case of RFR Loans and (iii) no later than 12:00 Noon, New York City time, one Business Day prior thereto, in the case of ABR Loans, in each case which notice shall specify the date and amount of prepayment and whether the prepayment is of EurodollarTerm Benchmark Loans, RFR Loans or ABR Loans; provided, that if a EurodollarTerm Benchmark Loan is prepaid on any day other than the last day of the Interest Period applicable thereto, the Borrower shall also pay any amounts owing pursuant to Section 2.20. Upon receipt of any such notice the Administrative Agent shall promptly notify each relevant Lender thereof. If any such notice is given, the amount specified in such notice shall be due and payable on the date specified therein, together with accrued interest to such date on the amount prepaid. Partial prepayments of Term Loans shall be in an aggregate principal amount of $1,000,000 or a whole multiple of $100,000 in excess thereof. All optional prepayments of Term Loans in accordance with this Section 2.10 shall be applied as directed by the Borrower. (b) All (i) prepayments of Initial Term Loans pursuant to Section 2.10(a) or Section 2.11(a) effected on or prior to the six-month anniversary of the First Amendment Effective Date with the proceeds of a Repricing Transaction and (ii) amendments, amendments and restatements or other modifications of this Agreement on or prior to the six-month anniversary of the First Amendment Effective Date constituting Repricing Transactions shall, in each case, be accompanied by a fee payable to the Initial Term Lenders in an amount equal to 1.00% of the aggregate principal amount of the Initial Term Loans so prepaid, in the case of a transaction described in clause (i) of this paragraph, or 1.00% of the aggregate principal amount of Initial Term Loans affected by such amendment, amendment and restatement or other modification (including any such Loans assigned in connection with the replacement of an Initial Term Lender not consenting thereto), in the case of a transaction described in clause (ii) of this paragraph. Such fee shall be paid by the Borrower to the Administrative Agent, for the account of the Lenders in respect of the Initial Term Loans, on the date of such prepayment. 2.11 Mandatory Prepayments and Commitment Reductions. (a) If any Indebtedness shall be incurred by any Group Member (excluding any Indebtedness permitted in accordance with Section 7.2 (other than Term Loan Refinancing Indebtedness)), an amount equal to 100% of the Net Cash Proceeds thereof shall be applied on the date of such incurrence toward the prepayment of the Term Loans as set forth in Section 2.11(e); provided that prepayments pursuant to this Section 2.11(a) shall be accompanied by any fees payable with respect thereto pursuant to Section 2.10(b). (b) If on any date any Group Member shall receive Net Cash Proceeds from any Asset Sale or Recovery Event then, unless a Reinvestment Notice shall be delivered in respect thereof, the Asset Sale Percentage of such Net Cash Proceeds shall be applied within 10 Business Days after such date toward the prepayment of the Term Loans as set forth in Section 2.11(e); provided, that, notwithstanding the foregoing, no such prepayment shall be required to the extent that the aggregate Net Cash Proceeds received from Asset Sales or Recovery Events in any fiscal year is less than $50,000,000 (it being understood that only amounts in excess of such thresholds shall be required to be applied to any prepayment); provided further that on each Reinvestment Prepayment Date, an amount equal to the Reinvestment Prepayment Amount with respect to the relevant Reinvestment Event shall be applied toward the prepayment of the Term Loans as set forth in Section 2.11(e); provided further that, notwithstanding the foregoing, such Net Cash Proceeds may be applied towards the prepayment or purchase of Pari Passu Secured Indebtedness to the extent the documentation governing such Indebtedness requires such a prepayment or purchase with Net Cash Proceeds from any Asset Sale or 56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69"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Recovery Event, in each case in an amount not to exceed the product of (x) the amount of such Net Cash Proceeds and (y) a fraction, the numerator of which is the outstanding principal amount of such other Indebtedness and the denominator of which is the aggregate outstanding principal amount of Term Loans and all such other Indebtedness (provided that, in the event that the Borrower or applicable Restricted Subsidiary makes an offer to the holders of such Pari Passu Secured Indebtedness to prepay or purchase such Pari Passu Secured Indebtedness in an amount permitted under this Section 2.11(b), to the extent that such offer is declined by holders of such Pari Passu Secured Indebtedness (the declined amount, the “Other Debt Declined Amount”), the Borrower shall be required to prepay Term Loans in an amount equal to such Other Debt Declined Amount as if the Other Debt Declined Amount were Net Cash Proceeds received on the final date by which such declining holders were required to give notice of their Other Debt Declined Amount). (c) If, for any Excess Cash Flow Period, there shall be Excess Cash Flow, the Borrower shall, on the relevant Excess Cash Flow Application Date, apply toward the prepayment of the Term Loans as set forth in Section 2.11(e) the excess of (x) the ECF Percentage of such Excess Cash Flow over (y) solely to the extent not funded with the proceeds of long-term Indebtedness or the proceeds of any issuance of Capital Stock, the aggregate amount of (1) all optional prepayments of Term Loans made during such Excess Cash Flow Period pursuant to Section 2.10, (2) all optional prepayments of Pari Passu Secured Indebtedness made during such Excess Cash Flow Period, (3) all prepayments of ABL Loans during such Excess Cash Flow Period to the extent accompanied by a permanent reduction of the ABL Commitments, and (4) all Loan purchases made during such Excess Cash Flow Period pursuant to Section 2.25 and Section 10.6(e) (provided that the aggregate amount of any such purchase shall be the amount of the Borrower’s cash payment in respect of such purchase). Each such prepayment shall be made on a date (an “Excess Cash Flow Application Date”) no later than 10 Business Days after the earlier of (i) the date on which the financial statements of the Borrower referred to in Section 6.1(a), for the Excess Cash Flow Period with respect to which such prepayment is made, are required to be delivered to the Lenders and (ii) the date such financial statements are actually delivered. (d) On or after the fifth anniversary of the Closing Date, the Borrower shall pay in cash all accrued interest and/or original issue discount (as determined for U.S. federal income tax purposes) to the extent necessary so that the Initial Term Loans will not be classified as “applicable high yield discount obligations” under Section 163(i) of the Code (or any successor provision). It is the intent of the Borrower that payments on the Initial Term Loans made pursuant to this Section 2.11(d) be made such that Section 163(e)(5) of the Code (or any successor provision) would not apply to the Initial Term Loans and the provisions of this Agreement related to the Initial Term Loans shall be applied consistently therewith. The computations and determinations made by the Borrower for purposes of this Section 2.11(d) shall be binding upon each Lender. (e) Amounts to be applied in connection with prepayments made pursuant to this Section 2.11 shall be applied to the prepayment of the Term Loans in accordance with Section 2.17(b). The application of any prepayment pursuant to this Section 2.11 shall be made first, to ABR Loans and, second, to Eurodollar to RFR Loans, and, third, to Term Benchmark Loans. Each prepayment of the Loans under this Section 2.11 shall be accompanied by accrued interest to the date of such prepayment on the amount prepaid. (f) With respect to any prepayment pursuant to this Section 2.11 of Initial Term Loans and, unless otherwise specified in the applicable Incremental Term Loan Activation Notice, other Term Loans, any Term Lender, at its option, may elect not to accept such prepayment. The Borrower shall notify the Administrative Agent of any event giving rise to a prepayment under this Section 2.11 at least three Business Days prior to the date of such prepayment. Each such notice shall specify the date of such prepayment and provide a reasonably detailed calculation of the amount of such 57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70"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prepayment that is required to be made under this Section 2.11. Any Lender may decline to accept all (but not less than all) of its share of any such prepayment (the “Declined Amount”) by providing written notice to the Administrative Agent no later than two Business Days after the date of such Lender’s receipt of notice from the Administrative Agent regarding such prepayment. If the Lender does not give a notice to the Administrative Agent on or prior to such second Business Day informing the Administrative Agent that it declines to accept the applicable prepayment, then such Lender will be deemed to have accepted such prepayment. Such Lender’s Declined Amount may be retained by the Borrower. (g) Notwithstanding any other provisions of this Section 2.11, to the extent any or all of the Net Cash Proceeds of any Asset Sale by a Foreign Subsidiary, the Net Cash Proceeds of any Recovery Event received by a Foreign Subsidiary or Excess Cash Flow attributable to Foreign Subsidiaries, are prohibited or delayed by any applicable local law (including financial assistance, corporate benefit restrictions on upstreaming of cash intra group and the fiduciary and statutory duties of the directors of such Foreign Subsidiary) from being repatriated or passed on to or used for the benefit of the Borrower or any applicable Domestic Subsidiary or if the Borrower has determined in good faith that repatriation of any such amount to the Borrower or any applicable Domestic Subsidiary would have material adverse tax consequences (including a material acceleration of the point in time when such earnings would otherwise be taxed) with respect to such amount, the portion of such Net Cash Proceeds or Excess Cash Flow so affected will not be required to be applied to prepay the Term Loans at the times provided in this Section 2.11 but may be retained by the applicable Foreign Subsidiary so long, but only so long, as the applicable local law will not permit repatriation or the passing on to or otherwise using for the benefit of the Borrower or the applicable Domestic Subsidiary, or the Borrower believes in good faith that such material adverse tax consequence would result, and once such repatriation of any of such affected Net Cash Proceeds or Excess Cash Flow is permitted under the applicable local law or the Borrower determines in good faith such repatriation would no longer have such material adverse tax consequences, such repatriation will be promptly effected and such repatriated Net Cash Proceeds or Excess Cash Flow will be promptly (and in any event not later than five Business Days after such repatriation) applied (in the case of Excess Cash Flow, net of additional taxes payable or reasonably estimated to be payable as a result thereof) to the prepayment of the Term Loans pursuant to this Section 2.11 (provided that no such prepayment of the Term Loans pursuant to this Section 2.11 shall be required in the case of any such Net Cash Proceeds or Excess Cash Flow the repatriation of which the Borrower believes in good faith would result in material adverse tax consequences, if on or before the date on which such Net Cash Proceeds so retained would otherwise have been required to be applied to reinvestments or prepayments pursuant to a Reinvestment Notice (or such Excess Cash Flow would have been so required if it were Net Cash Proceeds), the Borrower applies an amount equal to the amount of such Net Cash Proceeds or Excess Cash Flow to such reinvestments or prepayments as if such Net Cash Proceeds or Excess Cash Flow had been received by the Borrower rather than such Foreign Subsidiary, less (in the case of Excess Cash Flow) the amount of additional taxes that would have been payable or reserved against if such Excess Cash Flow had been repatriated (or, if less, the Net Cash Proceeds or Excess Cash Flow that would be calculated if received by such Foreign Subsidiary). 2.12 Conversion and Continuation Options. (a) The Borrower may elect from time to time to convert EurodollarTerm Benchmark Loans or RFR Loans, as applicable, to ABR Loans by giving the Administrative Agent prior irrevocable notice of such election by submitting an Interest Election Request no later than 12:00 Noon, New York City time, on the Business Day preceding the proposed conversion date, provided that any such conversion of EurodollarTerm Benchmark Loans or RFR Loans may only be made on the last day of an Interest Period with respectapplicable thereto. The Borrower may elect from time to time to convert ABR Loans to EurodollarTerm Benchmark Loans by giving the Administrative Agent prior irrevocable notice of such election no later than 12:00 Noon, New York City time, on the third Business Day preceding the proposed conversion date (which Interest Election Request 58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71"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shall specify the length of the initial Interest Period therefor), provided that no ABR Loan under a particular Facility may be converted into a EurodollarTerm Benchmark Loan when any Event of Default has occurred and is continuing and the Administrative Agent or the Majority Facility Lenders in respect of such Facility have determined in its or their sole discretion not to permit such conversions. Upon receipt of any such Interest Election Request the Administrative Agent shall promptly notify each relevant Lender thereof. (b) Any EurodollarTerm Benchmark Loan may be continued as such upon the expiration of the then current Interest Period with respect thereto by the Borrower giving irrevocable notice by submitting an Interest Election Request to the Administrative Agent, in accordance with the applicable provisions of the term “Interest Period” set forth in Section 1.1, of the length of the next Interest Period to be applicable to such Loans, provided that no EurodollarTerm Benchmark Loan under a particular Facility may be continued as such (i) when any Event of Default has occurred and is continuing and the Administrative Agent has or the Majority Facility Lenders in respect of such Facility have determined in its or their sole discretion not to permit such continuations or (ii) if a Specified Event of Default is in existence, and provided, further, that if the Borrower shall fail to give any required Interest Election Request as described above in this paragraph or if such continuation is not permitted pursuant to the preceding proviso such Loans shall be automatically converted to ABR Loans on the last day of such then expiring Interest Period. Upon receipt of any such Interest Election Request the Administrative Agent shall promptly notify each relevant Lender thereof. 2.13 Limitations on EurodollarTerm Benchmark Tranches. Notwithstanding anything to the contrary in this Agreement, all borrowings, conversions and continuations of EurodollarTerm Benchmark Loans and all selections of Interest Periods shall be in such amounts and be made pursuant to such elections so that, (a) after giving effect thereto, the aggregate principal amount of the EurodollarTerm Benchmark Loans comprising each EurodollarTerm Benchmark Tranche shall be equal to $5,000,000 or a whole multiple of $1,000,000 in excess thereof and (b) no more than 10 EurodollarTerm Benchmark Tranches shall be outstanding at any one time. 2.14 Interest Rates and Payment Dates. Subject to Section 2.16, (a) Each EurodollarTerm Benchmark Loan shall bear interest for each day during each Interest Period with respect thereto at a rate per annum equal to the Adjusted LIBO RateTerm SOFR determined for such day plus the Applicable Margin. (b) Each RFR Loan shall bear interest for each day during each Interest Period with respect thereto at a rate per annum equal to the Adjusted Daily Simple SOFR plus the Applicable Margin. (bc) Each ABR Loan shall bear interest at a rate per annum equal to the ABR plus the Applicable Margin. (cd) (i) If all or a portion of the principal amount of any Loan shall not be paid when due (whether at the stated maturity, by acceleration or otherwise), such overdue amount shall bear interest at a rate per annum equal to the rate that would otherwise be applicable thereto pursuant to the foregoing provisions of this Section 2.14 plus 2%, and (ii) if all or a portion of any interest payable on any Loan or other amount payable hereunder shall not be paid when due (whether at the stated maturity, by acceleration or otherwise), such overdue amount shall bear interest at a rate per annum equal to the rate then applicable to ABR Loans under the relevant Facility plus 2% (or, in the case of any such other amounts that do not relate to a particular Facility, the rate then applicable to ABR Loans under the 59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72"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Initial Term Facility plus 2%), in each case, with respect to clauses (i) and (ii) above, from the date of such non-payment until such amount is paid in full (as well after as before judgment). (de) Interest shall be payable in arrears on each Interest Payment Date, provided that interest accruing pursuant to paragraph (c) of this Section 2.14 shall be payable from time to time on demand. 2.15 Computation of Interest and Fees. (a) Interest and fees payable pursuant hereto shall be calculated on the basis of a 360-day year for the actual days elapsed, except that, with respect to ABR Loans the rate of interest on which is calculated on the basis of the Prime Rate, the interest thereon shall be calculated on the basis of a 365- (or 366-, as the case may be) day year for the actual days elapsed (including the first day, but excluding the last day; provided that if a Loan is repaid on the same day on which it is made, one day’s interest shall be paid on such Loan). The Administrative Agent shall as soon as practicable notify the Borrower and the relevant Lenders of each determination of an Adjusted LIBODaily Simple SOFR and Adjusted Term SOFR Rate. (b) Each determination of an interest rate by the Administrative Agent pursuant to any provision of this Agreement shall be conclusive and binding on the Borrower and the Lenders in the absence of manifest error. The Administrative Agent shall, at the request of the Borrower, deliver to the Borrower a statement showing the quotations used by the Administrative Agent in determining any interest rate pursuant to Section 2.14(a) and (b). 2.16 Alternate Rate of Interest. (a) Subject to clauses (b), (c), (d), (e), (f) and (g) of this Section 2.16, if prior to the commencement of any Interest Period for a Eurodollar Borrowing: (i) the Administrative Agent determines (which determination shall be conclusive and binding absent manifest error) (A) prior to the commencement of any Interest Period for a Term Benchmark Borrowing, that adequate and reasonable means do not exist for ascertaining the Adjusted LIBOTerm SOFR Rate or the LIBOTerm SOFR Rate, as applicable (including because the LIBO ScreenTerm SOFR Reference Rate is not available or published on a current basis), for a Loan for such Interest Period or (B) at any time, that adequate and reasonable means do not exist for ascertaining Adjusted Daily Simple SOFR or Daily Simple SOFR; or (ii) the Administrative Agent is advised by the Required Lenders that, (A) prior to the commencement of any Interest Period for a Term Benchmark Borrowing, the Adjusted LIBOTerm SOFR Rate or the LIBO Rate, as applicable, for a Loan for such Interest Period will not adequately and fairly reflect the cost to such Lenders(s) (as conclusively certified by such Lenders) of making or maintaining their Loans (or its Loan) included in such Borrowing for such Interest Period, or (B) at any time, Adjusted Daily Simple SOFR will not adequately and fairly reflect the cost to such Lender(s) (as certified by such Lenders) of making or maintaining their Loans (or its Loan) included in such Borrowing; then the Administrative Agent shall give notice thereof to the Borrower and the Lenders by telephone, telecopy or electronic mail as promptly as practicable thereafter and, until the Administrative Agent notifies the Borrower and the Lenders that the circumstances giving rise to such notice no longer exist (which notification shall be made as promptly as practicable after the Administrative Agent obtains knowledge of the cessation of the circumstances referenced in clause (i) above or receives notice from the Required Lenders in respect of the cessation of circumstances referenced in clause (ii) above), (A) with respect to the relevant Benchmark, any Interest Election Request that requests the conversion of any Borrowing to, or continuation of any Borrowing as, a EurodollarTerm Benchmark Borrowing shall be 60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73"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ineffective and (B) if any Borrowing Request requests a Eurodollar Borrowing, such Borrowing shall be made as an ABR Borrowinginstead be deemed to be an Interest Election Request for (x) an RFR Borrowing so long as the Adjusted Daily Simple SOFR is not also the subject of this Section 2.16(a)(i) or (ii) above or (y) an ABR Borrowing if the Adjusted Daily Simple SOFR also is the subject of this Section 2.16(a)(i) or (ii) above; provided that if the circumstances giving rise to such notice affect only one Type of Borrowings, then all other Types of Borrowings shall be permitted. Furthermore, if any EurodollarTerm Benchmark Loan or RFR Loan is outstanding on the date of the Borrower’s receipt of the notice from the Administrative Agent referred to in this Section 2.16(a) with respect to the Adjusted LIBO Ratea Relevant Rate applicable to such Term Benchmark Loan or RFR Loan, then until the Administrative Agent notifies the Borrower and the Lenders that the circumstances giving rise to such notice no longer exist, with respect to the relevant Benchmark, (1) any Term Benchmark Loan shall on the last day of the Interest Period applicable to such Loan (or the next succeeding Business Day if such day is not a Business Day), such Loan shall, be converted by the Administrative Agent to, and shall constitute, an ABR Loan denominated in Dollars on such day.(x) an RFR Borrowing so long as the Adjusted Daily Simple SOFR is not also the subject of Section 2.16 (a)(i) or (ii) above or (y) an ABR Loan if the Adjusted Daily Simple SOFR also is the subject of Section 2.16(a)(i) or (ii) above, on such day, and (2) any RFR Loan shall on and from such day be converted by the Administrative Agent to, and shall constitute an ABR Loan. (b) Notwithstanding anything to the contrary herein or in any other Loan Document (and any Swap Agreement shall be deemed not to be a “Loan Document” for purposes of this Section 2.16), if a Benchmark Transition Event, an Early Opt-in Election or an Other Benchmark Rate Election, as applicable, and its related Benchmark Replacement Date have occurred prior to the Reference Time in respect of any setting of the then-current Benchmark, then (x) if a Benchmark Replacement is determined in accordance with clause (1) or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(32) of the definition of “Benchmark Replacement” for such Benchmark Replacement Date, such Benchmark Replacement will replace such Benchmark for all purposes hereunder and under any Loan Document in respect of any Benchmark setting at or after 5:00 p.m. (New York City time) on the fifth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(c) Notwithstanding anything to the contrary herein or in any other Loan Document and subject to the proviso below in this paragraph, if a Term SOFR Transition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provided that, this clause (c) shall not be effective unless the Administrative Agent has delivered to the Lenders and the Borrower a Term SOFR Notice. For the avoidance of doubt, the Administrative Agent shall not be required to deliver a Term SOFR Notice after the occurrence of a Term SOFR Transition Event and may do so in its sole discretion. [Reserved]. 61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74"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(e) The Administrative Agent will promptly notify the Borrower and the Lenders of (i) any occurrence of a Benchmark Transition Event, an Early Opt-in Election or an Other Benchmark Rate Election, as applicable,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2.16,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2.16. (f) Notwithstanding anything to the contrary herein or in any other Loan Document, at any time (including in connection with the implementation of a Benchmark Replacement), (i) if the then-current Benchmark is a term rate (including the Term SOFR or LIBO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 (g) Upon the Borrower’s receipt of notice of the commencement of a Benchmark Unavailability Period, the Borrower may revoke any request for a EurodollarTerm Benchmark Borrowing of, conversion to or continuation of EurodollarTerm Benchmark Loans to be made, converted or continued during any Benchmark Unavailability Period and, failing that, the Borrower will be deemed to have converted any such request for a Term Benchmark Borrowing into a request for a Borrowing of or conversion to ABR Loans(A) an RFR Borrowing so long as the Adjusted Daily Simple SOFR is not the subject of a Benchmark Transition Event or (B) an ABR Borrowing if the Adjusted Daily Simple SOFR is the subject of a Benchmark Transition Event. During any Benchmark Unavailability Period or at any time that a tenor for the then-current Benchmark is not an Available Tenor, the component of ABRthe Alternate Base Rate based upon the then-current Benchmark or such tenor for such Benchmark, as applicable, will not be used in any determination of ABRthe Alternate Base Rate. Furthermore, if any EurodollarTerm Benchmark Loan or RFR Loan is outstanding on the date of the Borrower’s receipt of notice of the commencement of a Benchmark Unavailability Period with respect to the Adjusted LIBO Ratea Relevant Rate applicable to such Term Benchmark Loan or RFR Loan, then until such time as a Benchmark Replacement is implemented pursuant to this Section 2.16, (1) any Term Benchmark Loan shall on the last day of the Interest Period applicable to such Loan (or the 62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75"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next succeeding Business Day if such day is not a Business Day), such Loan shall be converted by the Administrative Agent to, and shall constitute, an ABR Loan denominated in Dollars on such day. (x) an RFR Borrowing so long as the Adjusted Daily Simple SOFR is not the subject of a Benchmark Transition Event or (y) an ABR Loan if the Adjusted Daily Simple SOFR is the subject of a Benchmark Transition Event, on such day and (2) any RFR Loan shall on and from such day be converted by the Administrative Agent to, and shall constitute an ABR Loan. 2.17 Pro Rata Treatment and Payments. (a) The borrowing by the Borrower from the Initial Term Lenders hereunder shall be made pro rata according to the Initial Term Percentages of the Initial Term Lenders. (b) With respect to any Facility, each payment (including each prepayment under this Agreement) by the Borrower on account of principal of and interest on the Term Loans of such Facility shall be made pro rata according to the respective outstanding principal amounts of the Term Loans of such Facility then held by the Term Lenders (except as otherwise provided in Section 2.11(f)). The amount of each principal prepayment of the Term Loans pursuant to Section 2.11 shall be applied to reduce the Initial Term Loans and Incremental Term Loans on a pro rata basis based upon the respective then remaining principal amounts thereof (unless any Incremental Term Lenders have agreed to less than pro rata prepayments) and shall be applied within each Facility to the then remaining installments thereof as directed by the Borrower (or if not so directed, to the then remaining installments thereof in direct order of maturity). Amounts repaid (including amounts pursuant to Section 2.11) and prepaid on account of the Term Loans may not be reborrowed. (c) [Reserved]. (d) All payments (including prepayments) to be made by the Borrower hereunder, whether on account of principal, interest, fees or otherwise, shall be made without setoff or counterclaim and shall be made prior to 2:00 P.M., New York City time, on the due date thereof to the Administrative Agent, for the account of the Lenders, at the Funding Office, in Dollars and in immediately available funds. The Administrative Agent shall distribute such payments to each relevant Lender promptly upon receipt in like funds as received, net of any amounts owing by such Lender pursuant to Section 9.7. If any payment hereunder (other than payments on the EurodollarTerm Benchmark Loans) becomes due and payable on a day other than a Business Day, such payment shall be extended to the next succeeding Business Day. If any payment on a EurodollarTerm Benchmark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 (e) 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Borrower a corresponding amount. If such amount is not made available to the Administrative Agent by the required time on the Borrowing Date therefor, such Lender shall pay to the Administrative Agent, on demand, such amount with interest thereon, at a rate equal to the greater of (i) the NYFRB Rate and (ii) a rate determined by the Administrative Agent in accordance with banking industry rules on interbank compensation, for the period until such Lender makes such amount immediately available to the Administrative Agent. A certificate of the Administrative Agent submitted to any Lender with respect to any amounts owing under 63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76"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paragraph shall be conclusive in the absence of manifest error. If such Lender’s share of such borrowing is not made available to the Administrative Agent by such Lender within three Business Days after such Borrowing Date, the Administrative Agent shall also be entitled to recover such amount with interest thereon at the rate per annum applicable to ABR Loans under the relevant Facility, on demand, from the Borrower. (f) Unless the Administrative Agent shall have been notified in writing by the Borrower prior to the date of any payment due to be made by the Borrower hereunder that the Borrower will not make such payment to the Administrative Agent, the Administrative Agent may assume that the Borrower is making such payment, and the Administrative Agent may, but shall not be required to, in reliance upon such assumption, make available to the Lenders their respective pro rata shares of a corresponding amount. If such payment is not made to the Administrative Agent by the Borrower within three Business Days after such due date, the Administrative Agent shall be entitled to recover, on demand, from each Lender to which any amount which was made available pursuant to the preceding sentence, such amount with interest thereon at the rate per annum equal to the daily average NYFRB Rate. Nothing herein shall be deemed to limit the rights of the Administrative Agent or any Lender against the Borrower. (g) If any Lender shall fail to make any payment required to be made by it pursuant to Section 2.17(e), 2.17(f), 2.19(e) or 9.7, then the Administrative Agent may, in its discretion and notwithstanding any contrary provision hereof, (i) apply any amounts thereafter received by the Administrative Agent for the account of such Lender for the benefit of the Administrative Agent to satisfy such Lender’s obligations to it under such Sections until all such unsatisfied obligations are fully paid, and/or (ii) hold any such amounts in a segregated account as cash collateral for, and application to, any future funding obligations of such Lender under any such Section, in the case of each of clauses (i) and (ii) above, in any order as determined by the Administrative Agent in its discretion. 2.18 Requirements of Law. (a) If the adoption of or any change in any Requirement of Law or in the interpretation, administration, implementation or application thereof or compliance by any Lender or other Credit Party with any request or directive (whether or not having the force of law) from any central bank or other Governmental Authority, in each case made or occurring subsequent to the Closing Date: (i) shall subject any Credit Party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(ii) shall impose, modify or hold applicable any reserve, special deposit, compulsory loan, insurance charge or similar requirement against assets held by, deposits or other liabilities in or for the account of, advances, loans or other extensions of credit (or participations therein) by, or any other acquisition of funds by, any office of such Lender that is not otherwise included in the determination of the Adjusted LIBO RateTerm SOFR; or (iii) shall impose on such Lender any other condition (other than Taxes); and the result of any of the foregoing is to increase the cost to such Lender or such other Credit Party, by an amount that such Lender or other Credit Party deems to be material, of making, converting into, continuing or maintaining Loans, or to reduce any amount receivable hereunder in respect thereof, then, in any such case, the Borrower shall promptly pay such Lender or such other Credit Party, upon its demand, any additional amounts necessary to compensate such Lender or such other Credit Party for 64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77"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such increased cost or reduced amount receivable. If any Lender or such other Credit Party becomes entitled to claim any additional amounts pursuant to this paragraph, it shall promptly notify the Borrower (with a copy to the Administrative Agent) of the event by reason of which it has become so entitled. (b) If any Lender shall have determined that the adoption of or any change in any Requirement of Law regarding capital or liquidity requirements or in the interpretation, administration, implementation or application thereof or compliance by such Lender or any corporation controlling such Lender with any request or directive regarding capital or liquidity requirements (whether or not having the force of law) from any Governmental Authority made subsequent to the Closing Date shall have the effect of reducing the rate of return on such Lender’s or such corporation’s capital as a consequence of its obligations hereunder to a level below that which such Lender or such corporation could have achieved but for such adoption, change or compliance (taking into consideration such Lender’s or such corporation’s policies with respect to capital adequacy or liquidity) by an amount deemed by such Lender to be material, then from time to time, after submission by such Lender to the Borrower (with a copy to the Administrative Agent) of a written request therefor, the Borrower shall pay to such Lender such additional amount or amounts as will compensate such Lender or such corporation for such reduction. (c) Notwithstanding anything herein to the contrary, (i) all requests, rules, guidelines, requirements and directives promulgated by the Bank for International Settlements, the Basel Committee on Banking Supervision (or any successor or similar authority) or by United States or foreign regulatory authorities, in each case pursuant to Basel III, and (ii) the Dodd-Frank Wall Street Reform and Consumer Protection Act and all requests, rules, guidelines, requirements and directives thereunder or issued in connection therewith or in implementation thereof, shall in each case be deemed to be a change in law, regardless of the date enacted, adopted, issued or implemented. (d) A certificate as to any additional amounts payable pursuant to this Section 2.18 submitted by any Lender to the Borrower (with a copy to the Administrative Agent) shall be conclusive in the absence of manifest error. Notwithstanding anything to the contrary in this Section 2.18, the Borrower shall not be required to compensate a Lender pursuant to this Section 2.18 for any amounts incurred more than six months prior to the date that such Lender notifies the Borrower of such Lender’s intention to claim compensation therefor; provided that, if the circumstances giving rise to such claim have a retroactive effect, then such six-month period shall be extended to include the period of such retroactive effect. The obligations of the Borrower pursuant to this Section 2.18 shall survive the termination of this Agreement and the payment of the Loans and all other amounts payable hereunder. (e) Notwithstanding any other provision of this Section 2.18 to the contrary, no Lender shall be entitled to receive any compensation pursuant to this Section 2.18 unless it shall be the general policy or practice of such Lender to seek compensation from other similarly situated borrowers in the syndicated loan market in the United States with respect to its similarly affected loans under agreements with such borrowers having provisions similar to this Section 2.18. 2.19 Taxes. (a)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65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78"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payable by the applicable Loan Party shall be increased as necessary so that, after such deduction or withholding has been made (including such deductions and withholdings applicable to additional sums payable under this Section 2.19), the amounts received with respect to this agreement equal the sum which would have been received had no such deduction or withholding been made. (b) The Loan Parties shall timely pay to the relevant Governmental Authority in accordance with applicable law, or at the option of the Administrative Agent timely reimburse it for, Other Taxes. (c) As soon as practicable after any payment of Taxes by any Loan Party to a Governmental Authority pursuant to this Section 2.19,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 (d) The Loan Parties shall jointly and severally indemnify each Credit Party, within 10 days after demand therefor, for the full amount of any Indemnified Taxes (including Indemnified Taxes imposed or asserted on or attributable to amounts payable under this Section 2.19) payable or paid by such Credit Party or required to be withheld or deducted from a payment to such Credit Party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 (e) Each Lender shall severally indemnify the Administrative Agent, within 10 days after demand therefor, for (i) any Taxes attributable to such Lender (but only to the extent that any Loan Party has not already indemnified the Administrative Agent for such Indemnified Taxes and without limiting the obligation of the Loan Parties to do so) and (ii) any Taxes attributable to such Lender’s failure to comply with the provisions of Section 10.6(c) relating to the maintenance of a Participant Register, in either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setoff and apply any and all amounts at any time owing to such Lender under any Loan Document or otherwise payable by the Administrative Agent to the Lender from any other source against any amount due to the Administrative Agent under this paragraph (e). (f) (i)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2.19(f)(ii)(A), (ii)(B) and (ii)(D) below) shall not be required if in the Lender’s reasonable judgment 66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79"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such completion, execution or submission would subject such Lender to any material unreimbursed cost or expense or would materially prejudice the legal or commercial position of such Lender. (ii) Without limiting the generality of the foregoing, in the event that the Borrower is a U.S. Person, (A)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 (B) any Non-U.S. Lender shall, to the extent it is legally entitled to do so, deliver to the Borrower and the Administrative Agent (in such number of copies as shall be requested by the recipient) on or prior to the date on which such Non-U.S. Lender becomes a Lender under this Agreement (and from time to time thereafter upon the reasonable request of the Borrower or the Administrative Agent), whichever of the following is applicable: (1) in the case of a Non-U.S. Lender claiming the benefits of an income tax treaty to which the United States is a party (x) with respect to payments of interest under any Loan Document, executed originals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 (2) executed originals of IRS Form W-8ECI; (3) in the case of a Non-U.S. Lender claiming the benefits of the exemption for portfolio interest under Section 881(c) of the Code, (x) a certificate substantially in the form of Exhibit H-1 to the effect that such Non-U.S. Lender is not a “bank” within the meaning of Section 881(c)(3)(A) of the Code, a “10 percent shareholder” of the Borrower within the meaning of Section 881(c)(3)(B) of the Code, or a “controlled foreign corporation” related to the Borrower as described in Section 881(c)(3)(C) of the Code (a “U.S. Tax Compliance Certificate”) and (y) executed originals of IRS Form W-8BEN or IRS Form W-8BEN-E; or (4) to the extent a Non-U.S. Lender is not the beneficial owner, executed originals of IRS Form W-8IMY, accompanied by IRS Form W-8ECI, IRS Form W-8BEN, IRS Form W-8BEN-E, a U.S. Tax Compliance Certificate substantially in the form of Exhibit H-2 or Exhibit H-3, IRS Form W-9, and/or other certification documents from each beneficial owner, as applicable; provided that if the Non-U.S. Lender is a partnership and one or more direct or indirect partners of such Non-U.S. Lender are claiming the portfolio interest exemption, such Non-U.S. Lender may provide a U.S. Tax Compliance Certificate 67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80"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substantially in the form of Exhibit H-4 on behalf of each such direct and indirect partner; (C) any Non-U.S. Lender shall, to the extent it is legally entitled to do so, deliver to the Borrower and the Administrative Agent (in such number of copies as shall be requested by the recipient) on or prior to the date on which such Non-U.S.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 (D)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Closing Date. 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 (g) If any party determines, in its sole discretion exercised in good faith, that it has received a refund of any Taxes as to which it has been indemnified pursuant to this Section 2.19 (including by the payment of additional amounts pursuant to this Section 2.19), it shall pay to the indemnifying party an amount equal to such refund (but only to the extent of indemnity payments made under this Section 2.19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Section 2.19 shall not be 68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81"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construed to require any indemnified party to make available its Tax returns (or any other information relating to its Taxes that it deems confidential) to the indemnifying party or any other Person. (h) Each party’s obligations under this Section 2.19 shall survive the resignation or replacement of the Administrative Agent or any assignment of rights by, or the replacement of, a Lender, the termination of the Commitments and the repayment, satisfaction or discharge of all obligations under the Loan Documents. (i) For purposes of this Section 2.19, the term “applicable law” includes FATCA. 2.20 Indemnity. The Borrower agrees to indemnify each Lender for, and to hold each Lender harmless from, any loss or expense that such Lender sustains or incurs as a consequence of (a) default by the Borrower in making a borrowing of, conversion into or continuation of EurodollarTerm Benchmark Loans or RFR Loans after the Borrower has given a notice requesting the same in accordance with the provisions of this Agreement, (b) default by the Borrower in making any prepayment of or conversion from EurodollarTerm Benchmark Loans or RFR Loans after the Borrower has given a notice thereof in accordance with the provisions of this Agreement or, (c) the making of a prepayment of EurodollarTerm Benchmark Loans on a day that is not the last day of an Interest Period with respect thereto or (d) the making of a payment or prepayment of RFR Loans or the conversion of RFR Loans on a day which is not the Interest Payment Date with respect thereto. Such indemnification may, with respect to Term Benchmark Loans, include an amount equal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eurodollar market. A certificate as to any amounts payable pursuant to this Section 2.20 submitted to the Borrower by any Lender shall be conclusive in the absence of manifest error. This covenant shall survive the termination of this Agreement and the payment of the Loans and all other amounts payable hereunder for nine months. 2.21 Change of Lending Office. Each Lender agrees that, upon the occurrence of any event giving rise to the operation of Section 2.18 or 2.19(a) with respect to such Lender, it will, if requested by the Borrower, use reasonable efforts (subject to overall policy considerations of such Lender) to designate another lending office for any Loans affected by such event or to assign and delegate its rights and obligations hereunder to another of its offices, branches or Affiliates with the object of avoiding the consequences of such event; provided, that such designation or assignment is made on terms that, in the sole judgment of such Lender, cause such Lender and its lending offices to suffer no material economic, legal or regulatory disadvantage, and provided, further, that nothing in this Section 2.21 shall affect or postpone any of the obligations of the Borrower or the rights of any Lender pursuant to Section 2.18 or 2.19(a). 2.22 Replacement of Lenders. The Borrower shall be permitted to replace any Lender that (a) requests reimbursement for amounts owing pursuant to Section 2.18 or 2.19(a) or (b) does not consent to any proposed amendment, supplement, modification, consent or waiver of any provision of this Agreement or any other Loan Document that requires the consent of each of the Lenders or each of the Lenders affected thereby (so long as the consent of the Required Lenders has been obtained), with a replacement financial institution; provided that (i) such replacement does not conflict with any 69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82"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Requirement of Law, (ii) [reserved], (iii) prior to any such replacement pursuant to the preceding clause (a), such Lender shall have not eliminated the continued need for payment of amounts owing pursuant to Section 2.18 or 2.19(a), (iv) the replacement financial institution shall purchase, at par, all Loans and other amounts owing to such replaced Lender on or prior to the date of replacement, (v) the Borrower shall be liable to such replaced Lender under Section 2.20 if any EurodollarTerm Benchmark Loan owing to such replaced Lender shall be purchased other than on the last day of the Interest Period relating thereto, (vi) the replacement financial institution, if not already a Lender, an affiliate of a Lender or an Approved Fund, shall be reasonably satisfactory to the Administrative Agent (in its capacity as such), (vii) the replaced Lender shall be obligated to make such replacement in accordance with the provisions of Section 10.6 (provided that the Borrower shall be obligated to pay the registration and processing fee referred to therein), (viii) until such time as such replacement shall be consummated, the Borrower shall pay all additional amounts (if any) required pursuant to Section 2.18 or 2.19(a), as the case may be, and (ix) any such replacement shall not be deemed to be a waiver of any rights that the Borrower, the Administrative Agent or any other Lender shall have against the replaced Lender. Each party hereto agrees that an assignment required pursuant to this paragraph may be effected pursuant to an Assignment and Assumption executed by the Borrower, the Administrative Agent and the assignee, and that the Lender required to make such assignment need not be a party thereto in order for such assignment to be effective. 2.23 [Reserved]. 2.24 Incremental Facilities. (a) The Borrower and any one or more Lenders (including New Lenders) may from time to time agree that such Lenders shall make, obtain or increase the amount of their Incremental Term Loans (which may be effected by increasing the amount of any then existing Facility) by executing and delivering to the Administrative Agent an Incremental Term Loan Activation Notice specifying (v) the amount of such Incremental Term Loans, (w) the applicable Incremental Term Loan Closing Date (which shall be a date not less than five Business Days after the date on which such notice is delivered to the Administrative Agent (or such earlier date as shall be agreed by the Administrative Agent)), (x) the applicable Incremental Term Loan Maturity Date, (y) the amortization schedule for such Incremental Term Loans and (z) the Applicable Margin for such Incremental Term Loans; provided, that (i) the aggregate amount of all Incremental Term Loans established on any date, together with the aggregate amount of Incremental Equivalent Debt incurred on such date, shall not exceed the Available Incremental Amount as of such date, (ii) each Incremental Term Facility shall be in a minimum aggregate principal amount of $25,000,000 (or such lesser amount as may be approved by the Administrative Agent in its reasonable discretion), (iii) the Incremental Term Loans in respect of any Incremental Term Facility and all obligations in respect thereof shall be Obligations under this Agreement and the other Loan Documents that are (A) if guaranteed, guaranteed on a pari passu basis or junior basis with all of the other Obligations under this Agreement and the other Loan Documents and (B) unsecured or secured by the Collateral (and no other property) and the Liens on the Collateral securing such Incremental Term Loans and all other obligations in respect thereof shall be pari passu with, or junior to, the Liens on the Collateral securing all of the other Obligations under this Agreement and the other Loan Documents, (iv) the Incremental Term Loans in respect of any Incremental Term Facility will be entitled to prepayments on the same basis as the Initial Term Loans unless the applicable Incremental Term Loan Activation Notice specifies a lesser treatment, (v) such Incremental Term Loans shall have a final maturity no earlier than the Latest Maturity Date (determined immediately prior to incurrence of such Incremental Term Loans) (provided that this clause shall not apply to the incurrence of any Incremental Term Loans consisting of Customary Bridge Loans so long as the related Extended Bridge Loans would satisfy this clause (v)), (vi) the weighted average life to maturity of such Incremental Term Facility shall be no shorter than that of any existing Term Loans (except if required in order to make such Incremental Term Loans fungible with any outstanding Term Loans) (provided that this clause shall not apply to the incurrence of any Incremental Term Loans 70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83"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consisting of Customary Bridge Loans so long as the related Extended Bridge Loans would satisfy this clause (vi)), (vii) the all-in-yield (whether in the form of interest rate margins, original issue discount, upfront fees or interest rate floors) and (subject to clauses (v) and (vi) above) amortization schedule applicable to such Incremental Term Facility shall be determined by the Borrower and the Lenders providing such Incremental Term Facility, provided that, in the event that the all-in-yield for any Incremental Term Facility that is secured on a pari passu basis with the Initial Term Facility incurred on or prior to the six-month anniversary of the First Amendment Effective Date shall be more than 50 basis points higher than the corresponding all-in-yield for any then-existing Initial Term Loans as determined by the Administrative Agent in accordance with standard market practices (after giving effect to interest rate margins, original issue discount, upfront fees or interest rate floors, but excluding arrangement, structuring, underwriting or commitment fees, consent fees paid to consenting Lenders or other fees that are not paid generally to all lenders of such Incremental Term Loans), then the all-in-yield with respect to the outstanding Initial Term Loans shall be increased to the amount necessary so that the difference between the all-in-yield with respect to the Incremental Term Facility and the all-in-yield on the outstanding Initial Term Loans is equal to 50 basis points (it being agreed that (x) original issue discount and upfront fees shall be equated to interest on the basis of a four-year average life and (y) any increase in yield to any then-existing Initial Term Loans required due to the application of an interest rate floor shall be effected solely through an increase in (or implementation of, as applicable) any interest rate floor applicable to such then existing Initial Term Loans) (the foregoing, the “MFN Provision”) and (viii) the terms of any Incremental Term Facility shall be on terms and pursuant to documentation to be determined; provided that such terms shall (except to the extent permitted by clause (vi) or (vii) above) be consistent with the terms of the Initial Term Facility or not materially more favorable (taken as a whole) to the Lenders of the applicable Incremental Term Facility compared to the existing Facilities, as determined in good faith by the Borrower and evidenced by a certificate of a Responsible Officer of the Borrower, or otherwise reasonably satisfactory to the Administrative Agent (it being understood that (x) no consent shall be required to the extent such terms apply only after the Latest Maturity Date and (y) to the extent that any financial maintenance covenant is added for the benefit of any Incremental Term Facility, no consent shall be required from the Administrative Agent or any Lender to the extent that such financial maintenance covenant is also added for the benefit of the existing Facilities). No Lender shall have any obligation to participate in any increase described in this paragraph unless it agrees to do so in its sole discretion and the Borrower shall have no obligation to offer to any Lender the opportunity to so participate. Any Incremental Term Loan Commitments established pursuant to an Incremental Term Loan Activation Notice that have identical terms and conditions, and any Incremental Term Loans made thereunder, shall be designated as a separate series (each a “Series”) of Incremental Term Loan Commitments and Incremental Term Loans for all purposes of this Agreement. (b) Any additional bank, financial institution or other entity which, with the consent of the Borrower and the Administrative Agent (which consent shall not be unreasonably withheld), elects to become a “Lender” under this Agreement in connection with any transaction described in Section 2.24(a) shall execute a New Lender Supplement (each, a “New Lender Supplement”), substantially in the form of Exhibit I-2, whereupon such bank, financial institution or other entity (a “New Lender”) shall become a Lender for all purposes and to the same extent as if originally a party hereto and shall be bound by and entitled to the benefits of this Agreement. (c) [Reserved]. (d) Each Incremental Term Loan Activation Notice may, without the consent of any Lender (other than the applicable Incremental Term Lenders) effect such amendments to this Agreement and the other Loan Documents as may be necessary or appropriate, in the opinion of the 71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84"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Administrative Agent, to give effect to the provisions of this Section 2.24. This Section 2.24 shall supersede any provision of Section 10.1 to the contrary. (e) It shall be a condition precedent to the availability of any Incremental Term Loans that (i) no Default or Event of Default (or, in the case of any Incremental Limited Condition Term Facility, no Specified Event of Default) shall have occurred and be continuing immediately prior to and immediately after giving effect to the making of such Incremental Term Loans, (ii) the representations and warranties set forth in each Loan Document (or, in the case of any Incremental Limited Condition Term Facility, the Specified Representations and the Specified Acquisition Agreement Representations) shall be true and correct in all material respects (or, if qualified by materiality, in all respects) on and as of the Incremental Term Loan Closing Date immediately prior to and immediately after giving effect to the making of such Incremental Term Loans, except to the extent expressly made as of an earlier date, in which case they shall be so true and correct as of such earlier date and (iii) the Borrower shall have delivered such customary legal opinions, board resolutions, secretary’s certificate, officer’s certificate and other documents, in each case consistent with those delivered on the Closing Date, as shall be reasonably requested by the Administrative Agent in connection with any Incremental Term Facility. 2.25 Loan Purchases. (a) Subject to the terms and conditions set forth or referred to below, a Purchasing Borrower Party may from time to time, in its discretion, conduct modified Dutch auctions to make Auction Purchase Offers, each such Auction Purchase Offer to be conducted in accordance with the procedures, terms and conditions set forth in this Section 2.25 and the Auction Procedures, in each case, so long as the following conditions are satisfied: (i) no Default or Event of Default shall have occurred and be continuing at the time of purchase of any Term Loans or on the date of the delivery of each Auction Notice; (ii) the assigning Lender and the Purchasing Borrower Party shall execute and deliver to the Administrative Agent an Assignment and Assumption; (iii) the maximum principal amount (calculated on the face amount thereof) of Term Loans that the Purchasing Borrower Party offers to purchase in any Auction Purchase Offer shall be no less than $10,000,000 (unless another amount is agreed to by the Administrative Agent in its reasonable discretion); (iv) any Term Loans assigned to any Purchasing Borrower Party shall be automatically and permanently cancelled upon the effectiveness of such assignment and will thereafter no longer be outstanding for any purpose hereunder, and such Term Loans may not be resold (it being understood and agreed that any gains or losses by any Purchasing Borrower Party upon purchase or acquisition and cancellation of such Term Loans shall not be taken into account in the calculation of Excess Cash Flow, Consolidated Net Income or Consolidated EBITDA); (v) no more than one Auction Purchase Offer with respect to any Facility may be ongoing at any one time and no more than four Auction Purchase Offers (regardless of Facility) may be made in any one year; (vi) at the time of each purchase of Term Loans through an Auction Purchase Offer, the Borrower shall have delivered to the Auction Manager a certificate of a Responsible Officer certifying as to compliance with the preceding clause (i); and 72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85"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(vii) each Auction Purchase Offer shall be made to all Lenders of the applicable Facility subject to such Auction Purchase Offer. (b) A Purchasing Borrower Party must terminate any Auction Purchase Offer if it fails to satisfy one or more of the conditions set forth above which are required to be met at the time which otherwise would have been the time of purchase of Term Loans pursuant to such Auction Purchase Offer. If a Purchasing Borrower Party commences any Auction Purchase Offer (and all relevant requirements set forth above which are required to be satisfied at the time of the commencement of such Auction Purchase Offer have in fact been satisfied), and if at such time of commencement the Purchasing Borrower Party reasonably believes that all required conditions set forth above which are required to be satisfied at the time of the consummation of such Auction Purchase Offer shall be satisfied, then the Purchasing Borrower Party shall have no liability to any Lender for any termination of such Auction Purchase Offer as a result of the failure to satisfy one or more of the conditions set forth above which are required to be met at the time which otherwise would have been the time of consummation of such Auction Purchase Offer, and any such failure shall not result in any Default or Event of Default hereunder. With respect to all purchases of Term Loans of any Facility made by a Purchasing Borrower Party pursuant to this Section 2.25, the Purchasing Borrower Party shall pay on the settlement date of each such purchase all accrued and unpaid interest (except to the extent otherwise set forth in the relevant offering documents), if any, on the purchased Term Loans of the applicable Facility up to the settlement date of such purchase. The Administrative Agent and the Lenders hereby consent to the Auction Purchase Offers and the other transactions effected pursuant to and in accordance with the terms of this Section 2.25 (provided that no Lender shall have an obligation to participate in any such Auction Purchase Offer). For the avoidance of doubt, it is understood and agreed that the provisions of Section 2.17 will not apply to the purchases of Term Loans pursuant to and in accordance with the provisions of this Section 2.25. Any party (if any) selected by the Borrower to manage an Auction Purchase Offer (an “Auction Manager”) acting in its capacity as such hereunder shall be entitled to the benefits of the provisions of Article VIII and Article IX to the same extent as if each reference therein to the “Administrative Agent” were a reference to the Auction Manager, and the Administrative Agent shall cooperate with the Auction Manager as reasonably requested by the Auction Manager in order to enable it to perform its responsibilities and duties in connection with each Auction Purchase Offer. The foregoing shall not limit the Borrower’s right to purchase Loans in privately negotiated transactions or through open market purchases, in each case pursuant to Section 10.6(e). 2.26 Loan Modification Offers. (a) The Borrower may on one or more occasions after the Closing Date, by written notice to the Administrative Agent, make one or more offers (each, a “Loan Modification Offer”) to all (and not fewer than all) the Lenders of one or more Facilities (each Facility subject to such a Loan Modification Offer, an “Affected Facility”) to make one or more Permitted Amendments pursuant to procedures reasonably specified by the Administrative Agent and reasonably acceptable to the Borrower. Such notice shall set forth (i) the terms and conditions of the requested Loan Modification Offer and (ii) the date on which such Loan Modification Offer is requested to become effective. Permitted Amendments shall become effective only with respect to the Loans of the Lenders of the Affected Facility that accept the applicable Loan Modification Offer (such Lenders, the “Accepting Lenders”) and, in the case of any Accepting Lender, only with respect to such Lender’s Loans and Commitments of such Affected Facility as to which such Lender’s acceptance has been made. With respect to all Permitted Amendments consummated by the Borrower pursuant to this Section 2.26, (i) such Permitted Amendments shall not constitute voluntary or mandatory payments or prepayments for purposes of Section 2.11 and (ii) any Loan Modification Offer, unless contemplating a scheduled maturity date already in effect with respect to any Loans hereunder pursuant to a previously 73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86"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consummated Permitted Amendment, must be in a minimum amount of $25,000,000 (or such lesser amount as may be approved by the Administrative Agent in its reasonable discretion); provided that the Borrower may at its election specify as a condition (a “Minimum Extension Condition”) to consummating any such Permitted Amendment that a minimum amount (to be determined and specified in the relevant Loan Modification Offer in the Borrower’s sole discretion and which may be waived by the Borrower) of Loans of any or all Affected Facilities be extended. If the aggregate principal amount of Loans of any Affected Facility in respect of which Lenders shall have accepted the relevant Loan Modification Offer shall exceed the maximum aggregate principal amount of Loans of such Affected Facility offered to be extended by the Borrower pursuant to such Loan Modification Offer, then the Loans of such Lenders shall be extended ratably up to such maximum amount based on the relative principal amounts (but not to exceed actual holdings of record) with respect to which such Lenders have accepted such Loan Modification Offer. (b) A Permitted Amendment shall be effected pursuant to a Loan Modification Agreement executed and delivered by the Borrower, each Accepting Lender and the Administrative Agent; provided that no Permitted Amendment shall become effective unless (i) on the date of effectiveness thereof, the representations and warranties of each Loan Party set forth in the Loan Documents shall be true and correct in all material respects (or if qualified by materiality, in all respects), in each case on and as of such date, except in the case of any such representation and warranty expressly made as of an earlier date, in which case such representation and warranty shall be so true and correct on and as of such earlier date, (ii) the Borrower shall have delivered, or agreed to deliver by a date following the effectiveness of such Permitted Amendment reasonably acceptable to the Administrative Agent, to the Administrative Agent such customary legal opinions, board resolutions, secretary’s certificates, officer’s certificates and other documents (including reaffirmation agreements, supplements and/or amendments to the Security Documents, in each case to the extent applicable), in each case consistent with those delivered on the Closing Date, as shall reasonably be requested by the Administrative Agent in connection therewith and (iii) any applicable Minimum Extension Condition shall be satisfied (unless waived by the Borrower). The Administrative Agent shall promptly notify each Lender as to the effectiveness of each Loan Modification Agreement. Each Loan Modification Agreement may, without the consent of any Lender other than the applicable Accepting Lenders, effect such amendments to this Agreement and the other Loan Documents as may be necessary or appropriate, in the reasonable opinion of the Administrative Agent, to give effect to the provisions of this Section 2.26, including any amendments necessary to treat the applicable Loans of the Accepting Lenders as a new Facility of loans hereunder (and the Lenders hereby irrevocably authorize the Administrative Agent to enter into any such amendments); provided that (i) all prepayments of Loans (i.e., both extended and non-extended) shall continue to be made on a ratable basis among all Lenders, based on the relative amounts of their Loans unless a Permitted Amendment provides for lesser treatment of the Loans of the Accepting Lenders, until the repayment of the non-extended Loans. The Administrative Agent and the Lenders hereby acknowledge that in respect of payments on non-extended Loans on the scheduled maturity date in respect thereof the pro rata payment requirements contained elsewhere in this Agreement are not intended to apply to the transactions effected pursuant to this Section 2.26. This Section 2.26 shall supersede any provisions in Section 2.17 or Section 10.1 to the contrary. 2.27 Refinancing Facilities. (a) The Borrower may, on one or more occasions after the Closing Date, by written notice to the Administrative Agent, request the establishment hereunder of one or more additional Facilities of term loan commitments (the “Refinancing Term Loan Commitments”) pursuant to which each Person providing such a commitment (a “Refinancing Term Lender”) will make term loans to the Borrower as specified in such written notice (the “Refinancing Term Loans”); provided that (i) each Refinancing Term Loan Lender shall be an Eligible Assignee and (ii) if the consent of the Administrative 74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87"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Agent would be required for an assignment of Loans to such Refinancing Term Loan Lender, the Borrower shall have received the prior written consent of the Administrative Agent, which consent shall not unreasonably be withheld, delayed or conditioned. (b) The Refinancing Term Loan Commitments shall be effected pursuant to one or more Refinancing Facility Agreements executed and delivered by the Borrower, each Refinancing Term Lender providing such Refinancing Term Loan Commitments and the Administrative Agent; provided that no Refinancing Term Loan Commitments shall become effective unless (i) no Event of Default shall have occurred and be continuing on the date of effectiveness thereof, (ii) on the date of effectiveness thereof, the representations and warranties of each Loan Party set forth in the Loan Documents shall be true and correct in all material respects (or if qualified by materiality, in all respects), in each case on and as of such date, except in the case of any such representation and warranty expressly made as of an earlier date, in which case such representation and warranty shall be so true and correct on and as of such earlier date, (iii) the Borrower shall have delivered to the Administrative Agent, or agreed to deliver by a date following the effectiveness of such Refinancing Facility Agreement, such customary legal opinions, board resolutions, secretary’s certificates, officer’s certificates and other documents (including reaffirmation agreements, supplements and/or amendments to the Security Documents, in each case to the extent applicable), in each case consistent with those delivered on the Closing Date, as shall reasonably be requested by the Administrative Agent in connection therewith and (iv) substantially concurrently with the effectiveness thereof, the Borrower shall obtain Refinancing Term Loans thereunder and shall repay or prepay then outstanding Term Loans of one or more Facilities in an aggregate principal amount equal to the aggregate amount of such Refinancing Term Loan Commitments (less the aggregate amount of accrued and unpaid interest with respect to such outstanding Term Loans and any reasonable fees, premium and expenses relating to such refinancing (including make-whole premiums, prepayment premiums and any other amounts required to be paid in connection with such prepayment)). The Borrower shall determine the amount of such prepayments allocated to each Facility of outstanding Term Loans, and any such prepayment of Term Loans of any Facility shall be applied to reduce the subsequent scheduled repayments of Term Loans of such Facility to be made pursuant to Section 2.3 as directed by the Borrower. (c) The Refinancing Facility Agreement shall set forth, with respect to the Refinancing Term Loan Commitments established thereby and the Refinancing Term Loans to be made thereunder, to the extent applicable, the following terms thereof: (i) the designation of such Refinancing Term Loan Commitments and Refinancing Term Loans as a new “Facility” for all purposes hereof (provided that with the consent of the Administrative Agent, any Refinancing Term Loan Commitments and Refinancing Term Loans may be treated as a single “Facility” with any then-outstanding existing Commitments or Loans), (ii) the stated termination and maturity dates applicable to such Refinancing Term Loan Commitments or Refinancing Term Loans, provided that (A) such stated termination and maturity dates shall not be earlier than the Maturity Date applicable to the Facility of Term Loans so refinanced and (B) any Refinancing Term Loans shall not have a weighted average life to maturity shorter than the Facility of Term Loans so refinanced, (iii) any amortization applicable thereto and the effect thereon of any prepayment of such Refinancing Term Loans, (iv) the interest rate or rates applicable to such Refinancing Term Loans, (v) the fees applicable to such Refinancing Term Loan Commitments or Refinancing Term Loans, (vi) any original issue discount applicable thereto, (vii) the initial Interest Period or Interest Periods applicable to such Refinancing Term Loans, (viii) any voluntary or mandatory prepayment requirements applicable to such Refinancing Term Loans and any restrictions on the voluntary or mandatory prepayments of such Refinancing Term Loans; provided that no Refinancing Term Loans may be voluntarily prepaid for so long as there are Loans outstanding under the Facility from which such Refinancing Term Loans were refinanced (such Facility, the “Original Facility”) unless such payment is made on a ratable basis among the Lenders holding such Refinancing Term Loans and the Lenders under the Original Facility, based on the relative amounts of the Loans 75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88"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under such Facilities, and (ix) whether the Refinancing Term Loans are secured, unsecured, subordinated or guaranteed; provided that, any Refinancing Term Loans (1) shall rank on a pari passu basis or junior basis in right of payment to the Initial Term Loans outstanding hereunder, (2) if secured, shall be (A) subject to a customary intercreditor agreement reasonably satisfactory to the Administrative Agent and Borrower, (B) secured only by any assets that constitute Collateral and (C) secured by such assets on a pari passu basis or junior basis with the Initial Term Loans outstanding hereunder and (3) if guaranteed, shall not be guaranteed by any entities other than the Subsidiary Guarantors. Except as contemplated by the preceding sentence, the mandatory prepayment and redemption terms, covenants and events of default of the Refinancing Term Loan Commitments and Refinancing Term Loans of a Facility shall either be (x) not materially more favorable, taken as a whole (as conclusively determined by the Borrower in good faith) to the lenders providing such Refinancing Term Loan Commitments or Refinancing Term Loans, as applicable, than those terms (taken as a whole) applicable to the Original Facility (except to the extent such terms apply solely to any period after the Latest Maturity Date or are applied for the benefit of the Term Loans then outstanding) or (y) reflect market terms and conditions at the time of incurrence or issuance, as conclusively determined by the Borrower in good faith. (d) The Administrative Agent shall promptly notify each Lender as to the effectiveness of each Refinancing Facility Agreement. Each Refinancing Facility Agreement may, without the consent of any Lender other than the applicable Refinancing Term Lenders, effect such amendments to this Agreement and the other Loan Documents as may be necessary or appropriate, in the reasonable opinion of the Administrative Agent, to give effect to the provisions of this Section 2.27, including any amendments necessary to treat the applicable Refinancing Term Loan Commitments and Refinancing Term Loans as a new Facility of commitments and/or loans hereunder (and the Lenders hereby irrevocably authorize the Administrative Agent to enter into any such amendments). This Section 2.27 shall supersede any provisions in Section 2.17 or Section 10.1 to the contrary. SECTION 3. [RESERVED] SECTION 4. REPRESENTATIONS AND WARRANTIES To induce the Administrative Agent and the Lenders to enter into this Agreement and to make the Loans, the Borrower hereby represents and warrants to the Administrative Agent and each Lender (it being agreed that on the Closing Date, only the Specified Representations shall be made) that: 4.1 Financial Condition. (a) The unaudited pro forma consolidated balance sheet and related pro forma consolidated statement of income of the Borrower and its consolidated Restricted Subsidiaries as of and for the 12 months ended September 30, 2020 (the “Pro Forma Financial Statements”), copies of which have heretofore been furnished to the Administrative Agent, have been prepared giving effect (as if such events had occurred on such date (in the case of the balance sheet) or at the beginning of such period (in the case of the statement of income)) to the consummation of the Transactions and the payment of fees and expenses in connection therewith. The Pro Forma Financial Statements have been prepared in good faith and are based on assumptions believed by the Borrower to be reasonable as of the date of delivery thereof, and present fairly in all material respects on a pro forma basis the estimated financial condition and results of operations of Borrower and its consolidated Restricted Subsidiaries as of and for the 12 months ended at September 30, 2020, assuming that the events specified in the preceding sentence had actually occurred at such date or at the beginning of such period, as applicable. (b) The audited consolidated balance sheet of the Borrower and its consolidated Restricted Subsidiaries as at December 31, 2019, and the related consolidated statements of income, stockholders’ equity and cash flows for the fiscal year ended on such date, reported on by and 76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89"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accompanied by an unqualified report from Ernst &amp; Young LLP, present fairly, in all material respects, the consolidated financial condition of the Borrower and its consolidated Restricted Subsidiaries (prior to giving effect to the consummation of the Transactions) as at such date, and the consolidated results of its operations and its consolidated cash flows for the fiscal year then ended. The unaudited consolidated balance sheet of the Borrower and its consolidated Restricted Subsidiaries as at March 31, 2020, June 30, 2020 and September 30, 2020, and the related unaudited consolidated statements of income, stockholders’ equity and cash flow for the three-month periods ended on such dates, present fairly, in all material respects, the consolidated financial condition of the Borrower and its consolidated Restricted Subsidiaries (prior to giving effect to the consummation of the Transactions) as at such dates, and the consolidated results of its operations and its consolidated cash flow for the three-month periods then ended (subject to normal year-end audit adjustments and the absence of footnotes). All such financial statements, including the related schedules and notes thereto, have been prepared in accordance with GAAP applied consistently throughout the periods involved (except as approved by the aforementioned firm of accountants and disclosed therein), except that the interim financial statements are subject to year-end adjustments and the absence of footnotes. 4.2 No Change. Since December 31, 2019, there has been no development or event that has had or would reasonably be expected to have a Material Adverse Effect. 4.3 Existence; Compliance with Law. Each Group Member (a) is duly organized or formed, validly existing and in good standing under the laws of the jurisdiction of its organization, (b) has the corporate or similar organizational power and authority, and the legal right, to own and operate its property, to lease the property it operates as lessee and to conduct the business in which it is currently engaged, (c) is duly qualified as a foreign corporation or other organization and in good standing under the laws of each jurisdiction where its ownership, lease or operation of property or the conduct of its business requires such qualification, except where the failure to be so qualified and in good standing would not, in the aggregate, reasonably be expected to have a Material Adverse Effect and (d) is in compliance with all Requirements of Law except to the extent that the failure to comply therewith would not, in the aggregate, reasonably be expected to have a Material Adverse Effect. 4.4 Power; Authorization; Enforceable Obligations. (a) Each Loan Party has the corporate or similar organizational power and authority, and the legal right, to make, deliver and perform the Loan Documents to which it is a party and, in the case of the Borrower, to obtain extensions of credit hereunder. Each Loan Party has taken all necessary corporate or similar organizational action to authorize the execution, delivery and performance of the Loan Documents to which it is a party and, in the case of the Borrower, to authorize the extensions of credit on the terms and conditions of this Agreement. Each Loan Document has been duly executed and delivered on behalf of each Loan Party party thereto. This Agreement constitutes, and each other Loan Document upon execution will constitute, a legal, valid and binding obligation of each Loan Party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 (b) No consent or authorization of, filing with, notice to or other act by or in respect of, any Governmental Authority or any other Person is required in connection with the extensions of credit hereunder or with the execution, delivery, performance, validity or enforceability of this Agreement or any of the Loan Documents, except (i) consents, authorizations, filings and notices that have been obtained or made and are in full force and effect, (ii) the filings referred to in Section 4.19, 77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90"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filings with the SEC that may be required to be made following the execution and delivery hereof in connection herewith and (iv) immaterial consents, authorizations, filings and notices. 4.5 No Legal Bar. The execution, delivery and performance of this Agreement and the other Loan Documents, the borrowings hereunder and the use of the proceeds thereof will not violate any Requirement of Law or any Contractual Obligation of any Group Member, except (other than with respect to such Group Member’s Organizational Documents) for violations that would not reasonably be expected to have a Material Adverse Effect, and will not result in, or require, the creation or imposition of any Lien on any of their respective properties or revenues pursuant to any Requirement of Law or any such Contractual Obligation (other than the Liens created by the Security Documents and other Permitted Liens). 4.6 Litigation. No litigation, investigation or proceeding of or before any arbitrator or Governmental Authority is pending or, to the knowledge of the Borrower, threatened by or against any Group Member or against any of their respective properties or revenues that would reasonably be expected to have a Material Adverse Effect. 4.7 No Default. No Group Member is in default under or with respect to any of its Contractual Obligations in any respect that would reasonably be expected to have a Material Adverse Effect. No Default or Event of Default has occurred and is continuing. 4.8 Ownership of Property; Liens. Each Group Member has title in fee simple to, or a valid leasehold interest in, all its real property, and good title to, or a valid leasehold interest in, all its other property (except where the failure to have such title would not reasonably be expected to have a Material Adverse Effect), and none of such property is subject to any Lien except as permitted by Section 7.3. 4.9 Intellectual Property. Except as would not reasonably be expected, individually or in the aggregate, to have a Material Adverse Effect, (i) each Group Member owns or otherwise has a valid right to use all Intellectual Property material to the conduct of its business as currently conducted, free and clear of all Liens, except as permitted by Section 7.3, and any such Intellectual Property that is owned by any Group Member and registered with any Governmental Authority is subsisting, unexpired and, to the knowledge of each Group Member, valid and enforceable; (ii) the use thereof and the conduct of the business of each of the Group Members does not infringe upon or otherwise violate the rights of any Person; and (iii) no Group Member has, within the past three years, received any material written claim in which any Person challenged the use of any Intellectual Property by any Group Member, or the validity or effectiveness of any Intellectual Property owned by any Loan Party, nor does the Borrower know of any valid basis for any such material claim. 4.10 Taxes. Each Group Member has filed or caused to be filed all federal, state and other material Tax returns that are required to be filed and has paid all Taxes shown to be due and payable on said returns or on any assessments made against it or any of its property and all other Taxes, fees or other charges imposed on it or any of its property by any Governmental Authority (other than (i) the amount or validity of which are currently being contested in good faith by appropriate proceedings and with respect to which reserves in conformity with GAAP have been provided on the books of the relevant Group Member, or (ii) to the extent that the failure to file or pay, individually or in the aggregate, would not reasonably be expected to have a Material Adverse Effect). 4.11 Federal Regulations. No part of the proceeds of any Borrowing hereunder will be used for “buying” or “carrying” any Margin Stock within the respective meanings of each of the 78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91"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quoted terms under Regulation U as now and from time to time hereafter in effect except in compliance with the provisions of the regulations of the Board. 4.12 Labor Matters. Except as, in the aggregate, would not reasonably be expected to have a Material Adverse Effect: (a) there are no strikes or other labor disputes against any Group Member pending or, to the knowledge of the Borrower, threatened; (b) hours worked by and payment made to employees of each Group Member have not been in violation of the Fair Labor Standards Act or any other applicable Requirement of Law dealing with such matters; and (c) all payments due from any Group Member on account of employee health and welfare insurance have been paid or accrued as a liability on the books of the relevant Group Member. 4.13 ERISA. Except as would not reasonably be expected, individually or in the aggregate, to have a Material Adverse Effect: (a) each Group Member and each of their respective ERISA Affiliates (and in the case of a Pension Plan or a Multiemployer Plan, each of their respective ERISA Affiliates) are in compliance with all applicable provisions and requirements of ERISA and the Code and other federal and state laws and the regulations and published interpretations thereunder with respect to each Plan and Pension Plan and have performed all their obligations under each Plan and Pension Plan; (b) no ERISA Event or Foreign Plan Event has occurred or is reasonably expected to occur, and no ERISA Affiliate is aware of any fact, event or circumstance that could reasonably be expected to constitute or result in an ERISA Event; (c) each Plan or Pension Plan which is intended to qualify under Section 401(a) of the Code has received a favorable determination letter from the IRS indicating that such Plan or Pension Plan is so qualified and the trust related thereto has been determined by the Internal Revenue Service to be exempt from federal income tax under Section 501(a) of the Code or an application for such a determination is currently pending before the Internal Revenue Service and, to the knowledge of the Borrower, nothing has occurred subsequent to the issuance of the most recent determination letter which would cause such Plan or Pension Plan to lose its qualified status; (d) no liability to the PBGC (other than required premium payments), the IRS, any Plan or Pension Plan or any trust established under Title IV of ERISA has been or is expected to be incurred by any Group Member or any of their ERISA Affiliates; (e) each of the Group Members’ ERISA Affiliates has complied with the requirements of Section 515 of ERISA with respect to each Multiemployer Plan and is not in “default” (as defined in Section 4219(c)(5) of ERISA) with respect to payments to a Multiemployer Plan; (f) all amounts required by applicable law with respect to, or by the terms of, any retiree welfare benefit arrangement maintained by any Group Member or any ERISA Affiliate or to which any Group Member or any ERISA Affiliate has an obligation to contribute have been accrued in accordance with ASC Topic 715-60; (g) as of the most recent valuation date for each Multiemployer Plan for which the actuarial report is available, no Group Member nor any of their respective ERISA Affiliates has any potential liability for a complete withdrawal from such Multiemployer Plan (within the meaning of Section 4203 of ERISA), when aggregated with such potential liability for a complete withdrawal from all Multiemployer Plans, based on information available pursuant to Section 4221(e) of ERISA; (h) there has been no Prohibited Transaction or violation of the fiduciary responsibility rules with respect to any Plan or Pension Plan that has resulted or would reasonably be expected to result in a Material Adverse Effect; and (i) neither any Group Member nor any ERISA Affiliate maintains or contributes to, or has any unsatisfied obligation to contribute to, or liability under, any active or terminated Pension Plan other than (i) on the Closing Date, those listed on Schedule 4.13 hereto and (ii) thereafter, Pension Plans not otherwise prohibited by this Agreement. The present value of all accumulated benefit obligations under each Pension Plan, did not, as of the close of its most recent plan year, exceed by more than $10,000,000 the fair market value of the assets of such Pension Plan allocable to such accrued benefits (determined in both cases using the applicable assumptions under Section 430 of the Code and the Treasury Regulations promulgated thereunder), and the present value of all accumulated benefit obligations of all underfunded Pension Plans did not, as of the date of the most recent financial statements reflecting such amounts, exceed by more than $10,000,000 the fair market value of the assets of all such underfunded Pension 79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92"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Plans (determined in both cases using the applicable assumptions under Section 430 of the Code and the Treasury Regulations promulgated thereunder). 4.14 Investment Company Act; Other Regulations. No Loan Party is an “investment company” within the meaning of the Investment Company Act of 1940, as amended. 4.15 Subsidiaries; Capital Stock. As of the Closing Date and after giving effect to the Transactions, (a) Schedule 4.15 sets forth the name and jurisdiction of incorporation of each Subsidiary and, as to each such Subsidiary, the percentage of each class of Capital Stock owned by any Loan Party and (b) there are no outstanding subscriptions, options, warrants, calls, rights or other agreements or commitments (other than stock options and restricted stock units granted to employees or directors and directors’ qualifying shares) of any nature relating to any Capital Stock of any Restricted Subsidiary, except (i) with respect to Capital Stock of Loan Parties, as created by the Loan Documents or the ABL Loan Documents (or any security documents in respect of Permitted Refinancing Indebtedness of the ABL Loans) and (ii) otherwise, as permitted by this Agreement. 4.16 Use of Proceeds. The proceeds of the Initial Term Loans will be used by the Borrower (a) to pay, directly or indirectly, the consideration for the Acima Acquisition, (b) for the Debt Repayment and (c) to pay costs and expenses in respect of the Transactions, and any such proceeds remaining thereafter will be used for general corporate purposes. The proceeds of any Incremental Term Loans shall be used for general corporate purposes (including Restricted Payments, Permitted Acquisitions, other Investments and other uses not prohibited by this Agreement). 4.17 Environmental Matters. Except as, individually or in the aggregate, would not reasonably be expected to have a Material Adverse Effect: (a) Materials of Environmental Concern are not present at, on, under, in, or about any real property now or formerly owned, leased or operated by any Group Member or at any other location (including any location to which Materials of Environmental Concern have been sent for re-use or recycling or for treatment, storage, or disposal), in amounts or concentrations or under circumstances that constitute a violation of, or would reasonably be expected to give rise to liability on the part of any Group Member under, any Environmental Law; (b) no Group Member has received or is aware of any notice of violation, alleged violation, non-compliance, liability or potential liability under or relating to any Environmental Law, nor does the Borrower have knowledge or reason to believe that any such notice will be received or is being threatened; (c) no judicial, arbitral, governmental or administrative litigation, disclosed-investigation, or similar proceeding is pending or, to the knowledge of the Borrower, threatened, under any Environmental Law to which any Group Member is or will be named as a party, nor has any Group Member entered into or agreed to any settlements, consent decrees or other decrees, consent orders, administrative orders or other orders, or other administrative or judicial agreements relating to compliance with or liability under any Environmental Law that have not been fully and finally resolved; (d) each Group Member is in compliance, and within the period of all applicable statutes of limitation has been in compliance, with all applicable Environmental Laws; and 80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93"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 no Group Member has assumed or retained, by or as a result of any contract or other agreement, any liability of any other Person under Environmental Laws or with respect to any Material of Environmental Concern. 4.18 Accuracy of Information, etc. As of the Closing Date, all written information (other than projections, pro forma financial information, financial estimates, forecasts, forward-looking information and information of a general or economic nature) furnished by or on behalf of any Loan Party to the Administrative Agent or the Lenders, or any of them, for use in connection with the transactions contemplated by this Agreement or the other Loan Documents, did not (taken as a whole) contain, as of the date such statements, information, documents or certificates were so furnished, any untrue statement of a material fact or omit to state a material fact necessary to make the statements contained therein (taken as a whole) not materially misleading in light of the circumstances so made. The projections and pro forma financial information contained in the materials referenced above are, as of the Closing Date, based upon good faith estimates and assumptions believed by management of the Borrower to be reasonable at the time made, it being recognized by the Lenders that such projections and financial information as they relate to future events are not to be viewed as fact and that actual results during the period or periods covered by such financial information may differ from the projected results set forth therein and such difference may be material. 4.19 Security Documents. The Guarantee and Collateral Agreement is effective to create in favor of the Administrative Agent, for the benefit of the Secured Parties, a legal, valid and enforceable security interest in the Collateral described therein and the proceeds thereof. In the case of the Pledged Collateral (as defined in the Guarantee and Collateral Agreement), when such Pledged Collateral is delivered to the Administrative Agent (together with a properly completed and signed undated endorsement) and in the case of the other Collateral described in the Guarantee and Collateral Agreement that can be perfected by the filing of a financing statement or other filing, when financing statements and other filings specified on Schedule 4.19 in appropriate form are filed in the offices specified on Schedule 4.19, the Administrative Agent will have, for the benefit of the Secured Parties, a fully perfected Lien on, and security interest in, all right, title and interest of the Loan Parties in such Collateral and the proceeds thereof, as security for the Obligations (as defined in the Guarantee and Collateral Agreement), in each case prior and superior in right to the Lien of any other Person (except Liens permitted by Section 7.3). 4.20 Solvency. As of the Closing Date and after giving effect to the Transactions, the Borrower and its Restricted Subsidiaries, on a consolidated basis, are Solvent. 4.21 Senior Indebtedness. The Obligations, and the obligations of each Subsidiary Guarantor under the Guarantee and Collateral Agreement, constitute “senior debt” or “senior indebtedness” (or any comparable term) under all Indebtedness that is subordinated or required to be subordinated in right of payment to the Obligations (if applicable). 4.22 [Reserved]. 4.23 Anti-Corruption Laws, Anti-Money Laundering and Sanctions. The Borrower has implemented and maintains in effect policies and procedures designed to ensure compliance by the Borrower, its Subsidiaries and their respective directors, officers, employees and agents with Anti-Corruption Laws and applicable Sanctions, and the Borrower, its Subsidiaries and their respective officers and directors and to the knowledge of the Borrower its employees and agents, are in compliance with Anti-Corruption Laws and applicable Sanctions in all material respects. Neither the Borrower nor any Subsidiary of the Borrower, nor, to their knowledge, any of their respective directors, officers, or 81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94"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employees, is a Sanctioned Person. No Borrowing or the use of proceeds thereof or other transaction contemplated by this Agreement will violate any Anti-Corruption Law or applicable Sanctions. 4.24 Affected Financial Institutions. No Loan Party is an Affected Financial Institution. SECTION 5. CONDITIONS PRECEDENT 5.1 Conditions to Initial Extension of Credit. The agreement of each Lender to make the initial extension of credit requested to be made by it is subject to the satisfaction, prior to or concurrently with the making of such extension of credit on the Closing Date, of the following conditions precedent: (a) Loan Documents. The Administrative Agent shall have received (i) this Agreement, executed and delivered by the Borrower, (ii) the Guarantee and Collateral Agreement, executed and delivered by the Borrower and each Subsidiary Guarantor and (iii) the ABL/Fixed Asset Intercreditor Agreement, executed and delivered by the Borrower and each Subsidiary Guarantor. (b) Target Acquisition. The Acima Acquisition shall have been consummated, or substantially simultaneously with the initial funding of the Loans hereunder shall be consummated, in all material respects in accordance with the terms of the Acquisition Agreement, and the Acquisition Agreement shall not have been altered, amended or otherwise changed or supplemented or any provision waived or any consent given thereunder, in each case, in any respect that would be materially adverse to the Lenders or the Arrangers without the prior written consent of the Arrangers, such consent not to be unreasonably withheld, delayed or conditioned; provided that (i) any decrease in the purchase price shall not be deemed to be materially adverse to the Lenders or the Arrangers so long as such reduction of the purchase price is allocated to a reduction in the amounts to be funded under the Unsecured Notes until zero and then allocated to a reduction in the amounts to be funded under the Initial Term Loans and does not exceed 15% of the purchase price, (ii) any increase in the purchase price shall not be materially adverse to the Lenders so long as such increase is funded by equity or internally generated cash of the Borrower and (iii) any amendment, waiver or consent with respect to Section 3.8(b) of the Acquisition Agreement or any defined terms as used therein shall be deemed to be materially adverse to the Lenders and the Arrangers. (c) Pro Forma Financial Statements; Financial Statements. Each Arranger shall have received (i) the Pro Forma Financial Statements, (ii) (a) audited consolidated financial statements for the Borrower and its Subsidiaries (prior to giving effect to the Transactions) for the three most recent fiscal years ended at least 90 days before the Closing Date, provided that the Arrangers acknowledge that they have received the audited consolidated financial statements for the fiscal years ended December 31, 2017, December 31, 2018 and December 31, 2019, and (b) unaudited consolidated financial statements for the Borrower and its Subsidiaries (prior to giving effect to the Transactions) for each fiscal quarter (other than the fourth fiscal quarter) ended after the date of the most recent balance sheet delivered pursuant to clause (ii)(a) above and at least 45 days before the Closing Date (and, in the case of each of clauses (ii)(a) and (ii)(b), such financial statements shall be prepared in conformity with GAAP; provided that such financial statements specified in clause (ii)(b) shall be subject to year-end adjustments and absence of footnotes), provided that the Arrangers acknowledge that the financial statements delivered with respect to the fiscal quarters ended March 31, 2020, June 30, 2020 and September 30, 2020 have been received, and (iii) (a) audited consolidated balance sheets and related statements of income, stockholders’ equity and cash flows and related notes thereto of the Acquired Business for the two fiscal years most recently ended at least 90 days prior to the Closing Date, provided that the Arrangers acknowledge that they have received the audited consolidated balance sheets and 82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95"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related statements of income, stockholders’ equity and cash flows and related notes thereto for the fiscal years ended December 31, 2018 and December 31, 2019, and (b) unaudited consolidated balance sheets and related statements of income, cash flows and related notes thereto of the Acquired Business for each subsequent fiscal quarter (excluding the fourth quarter of any fiscal year) ended at least 45 days prior to the Closing Date in each case, with comparative financial information for the equivalent period of the prior year (and, in the case of each of clauses (iii)(a) and (iii)(b), such financial statements are prepared in accordance with GAAP; provided that such financial statements specified in clause (iii)(b) shall be subject to year-end adjustments and absence of footnotes), provided that the Arrangers acknowledge that the financial statements of the Acquired Business delivered with respect to the fiscal quarters ended March 31, 2020, June 30, 2020 and September 30, 2020 have been received. (d) [Reserved]. (e) Fees. All costs, fees and expenses required to be paid or reimbursed by the Borrower to the Administrative Agent, the Arrangers and the Lenders in connection with this Agreement (including the reasonable and documented fees and expenses of legal counsel to the Administrative Agent) and all costs, fees and expenses required to be paid or reimbursed by the Borrower pursuant to the letter agreements entered into with any Arranger shall have been paid or shall have been authorized to be deducted from the proceeds of the initial extensions of credit under this Agreement to the extent due and invoiced to the Borrower at least three Business Days prior to the date hereof. (f) Officer’s Certificate; Good Standing Certificates. The Administrative Agent shall have received (i) a certificate of each Loan Party, dated the Closing Date, substantially in the form of Exhibit C, with appropriate insertions and attachments, including (A) the certificate of incorporation, in the case of a Loan Party that is a corporation, and certificate of formation, in the case of a Loan Party that is a limited liability company, in each case, certified by the relevant authority of the jurisdiction of organization of such Loan Party as of a recent date, (B) the bylaws, in the case of a Loan Party that is a corporation, and limited liability company agreement or operating agreement, in the case of a Loan Party that is a limited liability company, certified as of the Closing Date by its secretary, an assistant secretary or a Responsible Officer as being in full force and effect without modification or amendment, (C) resolutions of the governing bodies of each Loan Party approving and authorizing the execution, delivery and performance of Loan Documents to which it is a party, certified as of the Closing Date by its secretary, an assistant secretary or a Responsible Officer as being in full force and effect without modification or amendment and (D) signature and incumbency certificates of the Responsible Officers of each Loan Party executing the Loan Documents to which it is a party, and (ii) a long form good standing certificate for each Loan Party from its jurisdiction of organization. (g) Legal Opinions. The Administrative Agent shall have received the executed legal opinions of Sullivan &amp; Cromwell LLP, New York counsel to the Borrower and its Restricted Subsidiaries and certain other local counsel to the Borrower and its Restricted Subsidiaries, as reasonably requested by the Administrative Agent, each in form and substance reasonably acceptable to the Administrative Agent. (h) Pledged Stock; Stock Powers; Pledged Notes. Subject to the last paragraph of this Section 5.1 and to Section 6.9, the Administrative Agent shall have received (i) the certificates (if any) representing the shares of Capital Stock pledged pursuant to the Guarantee and Collateral Agreement, together with an undated endorsement for each such certificate executed in blank by a duly authorized officer of the pledgor thereof and (ii) each promissory note (if any) pledged to the Administrative Agent pursuant to the Guarantee and Collateral Agreement endorsed (without recourse) in blank (or accompanied by an executed transfer form in blank) by the pledgor thereof. 83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96"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Filings, Registrations and Recordings. Subject to the last paragraph of this Section 5.1 and to Section 6.9, each document (including any Uniform Commercial Code financing statement) required by the Security Documents or under law or reasonably requested by the Administrative Agent to be filed, registered or recorded in order to create in favor of the Administrative Agent, for the benefit of the Secured Parties, a perfected Lien on the Collateral described therein, prior and superior in right to any other Person (other than with respect to Liens expressly permitted by Section 7.3), shall be in proper form for filing, registration or recordation. (j) Officer’s Certificate. The Administrative Agent shall have received a certificate of the Borrower, dated the Closing Date certifying that the condition in Section 5.1(o) has been met. (k) Solvency Certificate. The Administrative Agent shall have received a solvency certificate from a Responsible Officer in the form of Exhibit L. (l) Patriot Act. The Administrative Agent shall have received, at least three Business Days prior to the Closing Date, all documentation and other customary information about any Loan Party to the extent reasonable and customary and requested by the Administrative Agent in writing at least 10 Business Days prior to the Closing Date that is reasonably required by United States bank regulatory authorities under applicable “know your customer”, beneficial ownership and anti-money laundering rules and regulations, including the Patriot Act. (a) ABL Indebtedness. No more than $200,000,000 of Indebtedness (excluding undrawn and cash collateralized letters of credit) shall be outstanding under the ABL Credit Agreement on the Closing Date after giving effect to the Transactions. (b) Debt Repayment/Funded Debt. The Debt Repayment shall have occurred, or substantially simultaneously with the initial funding of the Loans hereunder shall occur, and immediately following consummation of the Transactions, neither the Borrower nor any of the Restricted Subsidiaries shall have any outstanding Indebtedness other than Indebtedness outstanding under this Agreement and other Indebtedness permitted pursuant to this Agreement. (c) Representations and Warranties. The Specified Acquisition Agreement Representations with respect to the Acima Acquisition shall be true and correct in all respects to the extent required by the definition thereof and the Specified Representations shall be true and correct in all material respects on and as of the Closing Date (except in the case of any Specified Representation which expressly relates to a given date or period, such representation and warranty shall be true and correct in all material respects as of the respective date or for the respective period, as the case may be); provided that to the extent that any Specified Representation is qualified by or subject to a “material adverse effect”, “material adverse change” or similar term or qualification, (i) the definition thereof shall be the definition of “Company Material Adverse Effect” (as defined in the Acquisition Agreement) for purposes of the making or deemed making of such Specified Representation on, or as of, the Closing Date (or any date prior thereto) and (ii) the same shall be true and correct in all respects. For the purpose of determining compliance with the conditions specified in this Section 5.1, each Lender that has signed this Agreement shall be deemed to have accepted, and to be satisfied with, each document or other matter required under this Section 5.1 unless the Administrative Agent shall have received written notice from such Lender prior to the proposed Closing Date specifying its objection thereto. 84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97"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Notwithstanding the foregoing, (i) the terms of the agreements, documents, certificates, opinions and other items deliverable pursuant to clause (a) and clauses (f) through (k) above, in each case, shall be in a form such that they do not impair the availability of the Initial Term Loans on the Closing Date if the other conditions expressly set forth in this Section 5.1 have been satisfied or waived and (ii) to the extent that any security interest in the Collateral (other than (x) the delivery of certificates evidencing equity interests for the Subsidiary Guarantors (other than, in the case of the Acquired Business, with respect to any such certificate that has not been made available to the Borrower at least three Business Days prior to the Closing Date, to the extent the Borrower has used commercially reasonable efforts to procure delivery thereof) or (y) any Collateral the security interest in which may be perfected by the filing of a UCC financing statement for entities organized in the United States) is not or cannot be granted, provided or perfected on the Closing Date after the Borrower’s use of commercially reasonable efforts to do so or without undue burden or expense, then the provision and/or perfection of security interests in such Collateral shall not constitute a condition precedent to this Agreement or any extension of credit on the Closing Date, but shall be required to be granted, delivered and/or perfected as required pursuant to Section 6.9. 5.2 Conditions to Each Extension of Credit. The agreement of each Lender to make any extension of credit requested to be made by it on any date (subject to Section 2.24 and other than (i) any extension of credit on the Closing Date and (ii) any continuation or conversion of Loans outstanding hereunder) is subject to the satisfaction of the following conditions precedent: (a) Representations and Warranties. Each of the representations and warranties made by any Loan Party in or pursuant to the Loan Documents shall be true and correct in all material respects (or in all respects if qualified by materiality) on and as of such date as if made on and as of such date, except to the extent expressly made as of an earlier date, in which case such representations and warranties shall have been so true and correct as of such earlier date. (b) No Default. No Default or Event of Default shall have occurred and be continuing on such date or after giving effect to the extensions of credit requested to be made on such date. Each borrowing by the Borrower hereunder (other than the borrowing on the Closing Date) shall constitute a representation and warranty by the Borrower as of the date of such extension of credit that the conditions contained in this Section 5.2 have been satisfied. SECTION 6. AFFIRMATIVE COVENANTS The Borrower hereby agrees that, so long as the Commitments remain in effect or any Loan or other amount is owing to any Lender or the Administrative Agent hereunder (other than contingent obligations and expense reimbursement not yet due and payable), the Borrower shall and, in the case of Sections 6.3 through 6.8 and 6.10, shall cause each of its Restricted Subsidiaries to and, in the case of Section 6.12, shall cause each of its Domestic Subsidiaries to: 6.1 Financial Statements. Furnish to the Administrative Agent, on behalf of each Lender: (a) as soon as available, but in any event within 90 days after the end of each fiscal year of the Borrower, a copy of the audited consolidated balance sheet of the Borrower and its consolidated Subsidiaries as at the end of such year and the related audited consolidated statements of income, stockholders’ equity and cash flows for such year (together with, in all cases, customary management discussion and analysis), setting forth in each case in comparative form the figures for the 85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98"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previous year, reported on without a “going concern” or like qualification or exception (other than any qualification or exception that is expressed solely with respect to, or resulting solely from, (i) an upcoming maturity date under any Indebtedness or (ii) any actual or potential inability to satisfy a financial maintenance covenant at such time or on a future date or in a future period), or qualification arising out of the scope of the audit, by Ernst &amp; Young LLP or other independent certified public accountants of nationally recognized standing; (b) as soon as available, but in any event not later than 45 days after the end of each of the first three quarterly periods of each fiscal year of the Borrower, the unaudited consolidated balance sheet of the Borrower and its consolidated Subsidiaries as at the end of such quarter and the related unaudited consolidated statements of income, stockholders’ equity and cash flows for such quarter and/or the portion of the fiscal year through the end of such quarter (together with, in all cases, customary management discussion and analysis), setting forth in each case in comparative form the figures for the corresponding period or periods of the previous fiscal year (or, in the case of the balance sheet, as of the end of the previous fiscal year), certified by a Responsible Officer as being fairly stated in all material respects (subject to normal year-end audit adjustments and the absence of footnotes); and (c) if any Unrestricted Subsidiary exists, concurrently with each delivery of financial statements under clause (a) or (b) above, financial statements (in substantially the same form as the financial statements delivered pursuant to clauses (a) and (b) above, as applicable) prepared on the basis of consolidating the accounts of the Borrower and its Restricted Subsidiaries and treating any Unrestricted Subsidiaries as if they were not consolidated with the Borrower, together with an explanation of reconciliation adjustments in reasonable detail. All such financial statements shall be complete and correct in all material respects and shall be prepared in reasonable detail and in accordance with GAAP applied (except as approved by such accountants or officer, as the case may be, and disclosed in reasonable detail therein) consistently throughout the periods reflected therein and with prior periods. Documents required to be delivered pursuant to Section 6.1(a), (b) or (c) or Section 6.2(b), (c) or (e) may be delivered electronically and if so delivered, shall be deemed to have been delivered on the date on which (i) such documents are posted on the Borrower’s behalf on IntraLinks/IntraAgency or another relevant Internet or intranet website, if any, to which each Lender and the Administrative Agent have access (whether a commercial, third-party website or whether sponsored by the Administrative Agent) or (ii) such documents are filed of record with the SEC; provided that, upon written request by the Administrative Agent, the Borrower shall deliver paper copies of such documents to the Administrative Agent for further distribution to each Lender until a written request to cease delivering paper copies is given by the Administrative Agent. The Administrative Agent shall have no obligation to request the delivery of or to maintain or deliver to Lenders paper copies of the documents referred to above, and in any event shall have no responsibility to monitor compliance by the Borrower with any such request for delivery, and each Lender shall be solely responsible for timely accessing posted documents or requesting delivery of paper copies of such documents from the Administrative Agent and maintaining its copies of such documents. 6.2 Certificates; Other Information. Furnish to the Administrative Agent, on behalf of each Lender: (a) [reserved]; (b) concurrently with the delivery of any financial statements pursuant to Sections 6.1(a) and 6.1(b), (i) a Compliance Certificate executed by a Responsible Officer, which 86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99"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Compliance Certificate shall include a statement that such Responsible Officer has obtained no knowledge of any Default or Event of Default except as specified in such certificate, (ii) in the case of annual financial statements beginning with the fiscal year ended December 31, 2022, a calculation of Excess Cash Flow and (iii) in the case of quarterly or annual financial statements, to the extent not previously disclosed to the Administrative Agent, a description of any change in the jurisdiction of organization of any Loan Party; (c) as soon as available, and in any event no later than 90 days after the end of each fiscal year of the Borrower, a detailed consolidated budget for the following fiscal year (including a projected consolidated balance sheet of the Borrower and its Restricted Subsidiaries as of the end of the following fiscal year, the related consolidated statements of projected cash flow and projected income and a description of the underlying assumptions applicable thereto) (collectively, the “Projections”), which Projections shall in each case be accompanied by a certificate of a Responsible Officer stating that such Projections are based on reasonable estimates, information and assumptions at the time made, it being understood that such Projections as they relate to future events are not to be viewed as fact and that actual results during the period or periods covered by such Projections may differ from the projected results set forth therein and such difference may be material; (d) [Reserved]; (e) promptly after the same are sent, copies of all financial statements and reports that the Borrower sends to the holders of any class of its public debt securities or public equity securities and, promptly after the same are filed, copies of all financial statements and reports that the Borrower may make to, or file with, the SEC; (f) promptly following receipt thereof, copies of (i) any documents described in Section 101(k) or 101(l) of ERISA that any Group Member or any ERISA Affiliate may request with respect to any Multiemployer Plan or any documents described in Section 101(f) of ERISA that any Group Member or any ERISA Affiliate may request with respect to any Pension Plan; provided, that if the relevant Group Members or ERISA Affiliates have not requested such documents or notices from the administrator or sponsor of the applicable Multiemployer Plans, then, upon reasonable request of the Administrative Agent, such Group Member or the ERISA Affiliate shall promptly make a request for such documents or notices from such administrator or sponsor and the Borrower shall provide copies of such documents and notices to the Administrative Agent promptly after receipt thereof; and (g) promptly, such (x) additional financial and other customary information as the Administrative Agent (or any Lender through the Administrative Agent) may from time to time reasonably request and (y) information and documentation reasonably requested by the Administrative Agent or any Lender for purposes of compliance with applicable “know your customer”, beneficial ownership and anti-money laundering rules and regulations, including the Patriot Act. 6.3 Payment of Taxes. Pay, discharge or otherwise satisfy as they become due or before they become delinquent, as the case may be, all its material obligations in respect of Taxes, except where (a) the amount or validity thereof is currently being contested in good faith by appropriate proceedings and reserves to the extent required by GAAP with respect thereto have been provided on the books of the relevant Group Member or (b) the failure to make such payments, individually or in the aggregate, would not reasonably be expected to have a Material Adverse Effect. 6.4 Maintenance of Existence; Compliance. (a) (i) Preserve, renew and keep in full force and effect its organizational existence and (ii) take all reasonable action to maintain all rights, privileges and franchises necessary in the normal conduct of its business, except, in each case, as 87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00"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otherwise permitted by Section 7.4 and except, in the case of clause (ii) above, to the extent that failure to do so would not reasonably be expected to have a Material Adverse Effect; (b) comply with all Requirements of Law except to the extent that failure to comply therewith would not, in the aggregate, reasonably be expected to have a Material Adverse Effect; and (c) maintain in effect and enforce policies and procedures designed to ensure material compliance by the Borrower, its Subsidiaries and their respective directors, officers, employees and agents with Anti-Corruption Laws and applicable Sanctions. 6.5 Maintenance of Insurance. (a) Maintain, with financially sound and reputable insurance companies (after giving effect to self-insurance), insurance in such amounts and against such risks as are customarily maintained by companies engaged in the same or similar businesses operating in the same or similar locations and (b) use commercially reasonable efforts to cause all insurance policies or certificates, as requested by the Administrative Agent, to be endorsed to the benefit of the Administrative Agent (including by naming the Administrative Agent as lender loss payee and/or additional insured). 6.6 Inspection of Property; Books and Records; Discussions. (a) Keep proper books of records and account in which full, true and correct (in all material respects) entries in conformity with GAAP (other than for Foreign Subsidiaries, in which case the applicable accounting standard shall be the accounting standard used in such Foreign Subsidiary’s jurisdiction) and all Requirements of Law shall be made of all dealings and transactions in relation to its business and activities and (b) upon reasonable prior notice and subject to the provisions of Section 10.15, permit representatives of the Administrative Agent or any Lender to visit and inspect any of its properties and examine and make abstracts from any of its books and records at any reasonable time and as often as may reasonably be desired and to discuss the business, operations, properties and financial and other condition of the Group Members with officers and employees of the Group Members and, accompanied by one or more officers or designees of the Borrower if requested by the Borrower, with their independent certified public accountants; provided that excluding any such visits and inspections during the continuation of an Event of Default (x) only the Administrative Agent, acting individually or on behalf of the Lenders may exercise rights under this Section 6.6(b) and (y) the Administrative Agent shall not exercise rights under this Section 6.6(b) more often than one time during any calendar year. 6.7 Notices. Promptly give notice to the Administrative Agent, on behalf of each Lender, of: (a) the occurrence of any Default or Event of Default; (b) any litigation, investigation or proceeding that may exist at any time between any Group Member and any Governmental Authority that, in each case, has a reasonable probability of not being cured or of being adversely determined and that, if not cured or if adversely determined, as the case may be, would reasonably be expected to have a Material Adverse Effect; (c) any litigation or proceeding affecting the Borrower or any of its Restricted Subsidiaries in which injunctive or similar relief is sought which has a reasonable probability of being determined adversely and if adversely determined would reasonably be expected to be granted and which, if granted, would reasonably be expected to have a Material Adverse Effect; (d) (i) as soon as reasonably possible upon becoming aware of the occurrence of or forthcoming occurrence of any material ERISA Event, a written notice specifying the nature thereof, what action the Borrower, any of the other Group Members or any of their respective ERISA Affiliates has taken, is taking or proposes to take with respect thereto and, when known, any action taken or threatened by the IRS, the Department of Labor or the PBGC with respect thereto; and (ii) 88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01"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with reasonable promptness, upon the Administrative Agent’s reasonable request, copies of (A) each Schedule SB (Actuarial Information) to the annual report (Form 5500 Series) filed by the Borrower, any of the other Group Members or any of their respective ERISA Affiliates with the IRS with respect to each Pension Plan; (B) all notices received by the Borrower, any of the other Group Members or any of their respective ERISA Affiliates from a Multiemployer Plan sponsor concerning a material ERISA Event; and (C) copies of such other documents or governmental reports or filings relating to any Plan or Pension Plan as the Administrative Agent shall reasonably request; and (e) any other development or event that has had or would reasonably be expected to have a Material Adverse Effect. Each notice pursuant to this Section 6.7 shall be accompanied by a statement of a Responsible Officer setting forth details of the occurrence referred to therein and stating what action the relevant Group Member proposes to take with respect thereto. 6.8 Environmental Laws. (a) Comply with, and ensure compliance by all tenants, subtenants, contractors, subcontractors, and invitees, if any, with, all applicable Environmental Laws, and obtain and comply with and maintain, and ensure that all tenants, subtenants, contractors, subcontractors, and invitees obtain and comply with and maintain, any and all Environmental Permits (with respect to tenants, subtenants, contractors, and invitees, the foregoing applies to their presence and conduct on, affecting or relating to any property of the Borrower or any of its Restricted Subsidiaries). It being understood that any noncompliance with this Section 6.8(a) shall be deemed not to constitute a breach of this covenant; provided that, upon learning of any actual or suspected noncompliance, the Borrower shall promptly undertake all reasonable efforts to achieve compliance; and provided further that, in any case, such noncompliance, and any other noncompliance with Environmental Law, individually or in the aggregate, would not reasonably be expected to have a Material Adverse Effect. (b) Promptly comply with all orders and directives of all Governmental Authorities regarding Environmental Laws, other than such orders and directives as to which an appeal has been timely and properly taken in good faith, and provided that the pendency of any and all such appeals would not reasonably be expected to give rise to a Material Adverse Effect. 6.9 Post-Closing Actions. To the extent that in accordance with the last paragraph of Section 5.1, any security interest in the Collateral is not granted, provided or perfected on the Closing Date, then (a) with respect to any certificate evidencing Capital Stock of the Acquired Business that was not made available to the Borrower at least three Business Days prior to the Closing Date, such certificate (together with an undated endorsement for such certificate executed in blank by a duly authorized officer of the pledgor thereof) shall be delivered to the Administrative Agent within 10 Business Days after the Closing Date (or such later date as the Administrative Agent may agree, such consent not to be unreasonably withheld, conditioned or delayed) and (b) with respect to any other Collateral, the provision and/or perfection of security interests in such Collateral shall be granted, delivered and/or perfected within 90 days after the Closing Date (in each case, subject to extensions to be reasonably agreed upon by the Administrative Agent). 6.10 Additional Collateral, etc. (a) With respect to any property acquired after the Closing Date by any Loan Party (other than (A) any property described in paragraph (b) or (c) below, (B) any property subject to a Lien expressly permitted by Section 7.3(g), (C) so long as the ABL Obligations Payment Date has not occurred, any ABL Priority Collateral as to which the ABL Representative determines, in its reasonable discretion and in consultation with the Borrower, that the cost of obtaining a security interest therein is excessive in relation to the value of the security to be afforded thereby, (D) any property (or, so long as the ABL Obligations Payment Date has not occurred, any property other than 89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02"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ABL Priority Collateral) as to which the Administrative Agent determines, in its reasonable discretion and in consultation with the Borrower, that the cost of obtaining a security interest therein is excessive in relation to the value of the security to be afforded thereby, (E) any property that is Excluded Property (as defined in the Guarantee and Collateral Agreement) and (F) any real property) as to which the Administrative Agent, for the benefit of the Secured Parties, does not have a perfected Lien, promptly (i) execute and deliver to the Administrative Agent such amendments to the Guarantee and Collateral Agreement or such other documents as the Administrative Agent deems necessary or reasonably advisable to grant to the Administrative Agent, for the benefit of the Secured Parties, a security interest in such property and (ii) take all actions necessary or reasonably advisable to grant to the Administrative Agent, for the benefit of the Secured Parties, a perfected security interest in any such property (with the priority required by the Intercreditor Agreements), including the filing of Uniform Commercial Code financing statements in such jurisdictions as may be required by the Guarantee and Collateral Agreement or by law or as may be reasonably requested by the Administrative Agent. (b) With respect to any new Domestic Subsidiary (other than any Excluded Subsidiary) created or acquired after the Closing Date by any Loan Party (which, for the purposes of this paragraph (c), shall include (1) any existing Subsidiary that becomes a Domestic Subsidiary that is not an Excluded Subsidiary and (2) any existing Domestic Subsidiary that ceases to be an Excluded Subsidiary), within 30 days after the creation or acquisition of such new Domestic Subsidiary (or such later date as the Administrative Agent shall agree to in its reasonable discretion) (i) execute and deliver to the Administrative Agent such amendments to the Guarantee and Collateral Agreement as the Administrative Agent deems necessary or reasonably advisable to grant to the Administrative Agent, for the benefit of the Secured Parties, a perfected first priority security interest in the Capital Stock of such new Subsidiary that is owned by any Loan Party, (ii) deliver to the Administrative Agent the certificates, if any, representing such Capital Stock, together with undated endorsements, in blank, executed and delivered by a duly authorized officer of the relevant Loan Party and (iii) cause such new Subsidiary (A) to become a party to the Guarantee and Collateral Agreement, (B) to take such actions necessary or reasonably advisable to grant to the Administrative Agent for the benefit of the Secured Parties a perfected security interest with the priority required by the Intercreditor Agreements in the Collateral described in the Guarantee and Collateral Agreement with respect to such new Subsidiary, including the filing of Uniform Commercial Code financing statements in such jurisdictions as may be required by the Guarantee and Collateral Agreement or by law or as may be reasonably requested by the Administrative Agent and (C) to deliver to the Administrative Agent a certificate of such Subsidiary, substantially in the form of Exhibit C, with appropriate insertions and attachments. (c) With respect to any new CFC Holding Company or Foreign Subsidiary created or acquired after the Closing Date by any Loan Party (which, for the purposes of this paragraph (c) shall include any existing Subsidiary that becomes a CFC Holding Company or a Foreign Subsidiary), within 60 days after the creation or acquisition of such new CFC Holding Company or Foreign Subsidiary (or such later date as the Administrative Agent shall agree to in its reasonable discretion) (i) execute and deliver to the Administrative Agent such amendments to the Guarantee and Collateral Agreement as the Administrative Agent deems necessary or reasonably advisable to grant to the Administrative Agent, for the benefit of the Secured Parties, a perfected first priority security interest in the Capital Stock of such CFC Holding Company or Foreign Subsidiary that is owned by any such Loan Party (provided that in no event shall more than 65% of the total outstanding voting Capital Stock of any such CFC Holding Company or Foreign Subsidiary be required to be so pledged) and (ii) deliver to the Administrative Agent the certificates, if any, representing such pledged Capital Stock, together with undated stock powers, in blank, executed and delivered by a duly authorized officer of the relevant Loan Party, and take such other action as the Administrative Agent deems necessary or reasonably advisable to perfect the Administrative Agent’s security interest therein. 90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03"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6.11 Designation of Subsidiaries. The Borrower may at any time after the Closing Date designate any Restricted Subsidiary as an Unrestricted Subsidiary or any Unrestricted Subsidiary as a Restricted Subsidiary by delivering to the Administrative Agent a certificate of a Responsible Officer specifying such designation and certifying that the conditions to such designation set forth in this Section 6.11 are satisfied; provided that: (a) both immediately before and immediately after any such designation, no Event of Default shall have occurred and be continuing; (b) in the case of a designation of a Restricted Subsidiary as an Unrestricted Subsidiary, the pro forma Consolidated Leverage Ratio for the Applicable Reference Period, calculated on a Pro Forma Basis, is no greater than 3.00 to 1.00; (c) in the case of a designation of a Restricted Subsidiary as an Unrestricted Subsidiary, each Subsidiary of such Subsidiary has been, or concurrently therewith will be, designated as an Unrestricted Subsidiary in accordance with this Section 6.11; (d) in the case of a designation of a Restricted Subsidiary as an Unrestricted Subsidiary, such Subsidiary shall substantially simultaneously be designated as an “Unrestricted Subsidiary” under the ABL Credit Agreement and the Unsecured Notes Indenture (and, to the extent applicable, any other agreement governing Permitted Refinancing Indebtedness in respect of the ABL Loans or the Unsecured Notes) and in the case of a designation of an Unrestricted Subsidiary as a Restricted Subsidiary, such Subsidiary shall substantially simultaneously be designated as a “Restricted Subsidiary” under the ABL Credit Agreement and the Unsecured Notes Indenture (and, to the extent applicable, any other agreement governing Permitted Refinancing Indebtedness in respect of the ABL Loans or the Unsecured Notes). The designation of any Restricted Subsidiary as an Unrestricted Subsidiary shall constitute an Investment by the Borrower in such Subsidiary on the date of designation in an amount equal to the fair market value of the Borrower’s Investment therein (as determined reasonably and in good faith by a Responsible Officer). The designation of any Unrestricted Subsidiary as a Restricted Subsidiary shall constitute the incurrence at the time of designation of any Investment, Indebtedness or Liens of such Subsidiary existing at such time. 6.12 Maintenance of Ratings. Use commercially reasonable efforts to obtain and maintain (i) a public corporate family rating of the Borrower and a rating of the Facilities, in each case from Moody’s, and (ii) a public corporate credit rating of the Borrower and a rating of the Facilities, in each case from S&amp;P (it being understood and agreed that “commercially reasonable efforts” shall in any event include the payment by the Borrower of customary rating agency fees and cooperation with reasonable information and data requests by Moody’s and S&amp;P in connection with their ratings process), it being agreed that there is no obligation to maintain any particular ratings at any time. SECTION 7. NEGATIVE COVENANTS The Borrower hereby agrees that, so long as the Commitments remain in effect or any Loan or other amount is owing to any Lender or the Administrative Agent hereunder (other than contingent obligations and expense reimbursement not yet due and payable), the Borrower shall not, and shall not permit any of its Restricted Subsidiaries to, directly or indirectly: 7.1 [Reserved]. 91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04"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Indebtedness. Create, issue, incur, assume, become liable in respect of or suffer to exist any Indebtedness, except: (a) Indebtedness of any Loan Party under this Agreement (including Indebtedness in respect of any Incremental Term Facility and any Refinancing Term Loans) and any Permitted Refinancing Indebtedness in respect of the Term Loans (any such Permitted Refinancing Indebtedness, the “Term Loan Refinancing Indebtedness”); provided that (i) such Term Loan Refinancing Indebtedness, if secured, is secured only by the Collateral on a pari passu or junior basis with the Obligations under this Agreement (provided that the Term Loan Refinancing Indebtedness shall not consist of syndicated term loans that are secured on a pari passu basis with the Obligations under this Agreement), (ii) no Person, other than a Loan Party, shall be an obligor or guarantor with respect to any Term Loan Refinancing Indebtedness, (iii) such Term Loan Refinancing Indebtedness shall share ratably or less than ratably with (or, if junior in right of payment, on a junior basis with respect to) any prepayments or repayments of the Initial Term Loans (and Incremental Term Loans, if applicable) and (iv) such Term Loan Refinancing Indebtedness, if secured, shall be subject to customary intercreditor arrangements reasonably satisfactory to the Administrative Agent; (b) (i) Indebtedness of the Loan Parties under the ABL Credit Agreement in an aggregate outstanding amount not to exceed (x) $700,000,000 or (y) an unlimited amount so long as after giving effect to the incurrence of such Indebtedness under this clause (b), the Consolidated Priority Leverage Ratio for the Applicable Reference Period, calculated on a Pro Forma Basis as of the date of incurrence of such Indebtedness, is equal to or less than 1.00 to 1.00 and (ii) any Permitted Refinancing Indebtedness in respect thereof; (c) Indebtedness of the Borrower or any Restricted Subsidiary owing to the Borrower or any Restricted Subsidiary; provided that (i) any Indebtedness of any Loan Party shall be unsecured and shall be subordinated in right of payment to the Obligations on terms customary for intercompany subordinated Indebtedness, as reasonably determined by the Administrative Agent and (ii) any such Indebtedness owing by any Restricted Subsidiary that is not a Loan Party to any Loan Party shall be incurred in compliance with Section 7.7; (d) Guarantee Obligations incurred by any Group Member of obligations of any Group Member to the extent such obligations are not prohibited hereunder; provided that (i) to the extent any such obligations are subordinated to the Obligations, any such related Guarantee Obligations incurred by a Loan Party shall be subordinated to the guarantee of such Loan Party of the Obligations on terms no less favorable to the Lenders than the subordination provisions of the obligations to which such Guarantee Obligation relates and (ii) any Guarantee Obligations incurred by any Loan Party of obligations of a Restricted Subsidiary that is not a Loan Party shall be permitted to the extent the aggregate amount of outstanding Guarantee Obligations incurred pursuant to this clause (ii) does not exceed $25,000,000; (e) Indebtedness outstanding on the Closing Date (provided that Indebtedness in an aggregate principal amount in excess of $5,000,000 shall be listed on Schedule 7.2(e)) and any Permitted Refinancing Indebtedness in respect thereof; (f) Indebtedness of any Group Member incurred to finance the acquisition of fixed or capital assets (and any Permitted Refinancing Indebtedness in respect thereof) in an aggregate principal amount not to exceed $25,000,000 at any time outstanding; 92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05"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 Indebtedness representing deferred compensation to employees, officers or directors of the Borrower and its Restricted Subsidiaries incurred in the ordinary course of business; (h) Indebtedness incurred in the ordinary course of business and owed in respect of any overdrafts and related liabilities arising from treasury, depository and cash management services or in connection with any automated clearing-house transfers of funds; (i) Indebtedness arising under any Swap Agreement permitted by Section 7.11; (j) Indebtedness (other than for borrowed money) that may be deemed to exist pursuant to any guarantees, warranty or contractual service obligations, performance, surety, statutory, appeal, bid, prepayment guarantee, payment (other than payment of Indebtedness) or completion of performance guarantees or similar obligations incurred in the ordinary course of business; (k) Indebtedness in respect of workers’ compensation claims, payment obligations in connection with health, disability or other types of social security benefits, unemployment or other insurance obligations, reclamation and statutory obligations, in each case in the ordinary course of business; (l) Indebtedness arising from the honoring by a bank or other financial institution of a check, draft or similar instrument drawn against insufficient funds, so long as such Indebtedness is covered or extinguished within five Business Days; (m) Indebtedness consisting of (i) the financing of insurance premiums or self-insurance obligations or (ii) take-or-pay obligations contained in supply or similar agreements in each case in the ordinary course of business; (n) Indebtedness in the form of purchase price adjustments (including in respect of working capital), earnouts, deferred compensation, indemnification or other arrangements representing acquisition consideration or deferred payments of a similar nature incurred in connection with the Acima Acquisition, any Permitted Acquisitions or other Investments permitted under Section 7.7 or Dispositions permitted under Section 7.5; (o) (i) Indebtedness of any Person that becomes a Restricted Subsidiary (or of any Person not previously a Restricted Subsidiary that is merged or consolidated with or into the Borrower or a Restricted Subsidiary in a transaction permitted hereunder) after the Closing Date, or Indebtedness of any Person that is assumed by the Borrower or any Restricted Subsidiary in connection with an acquisition of assets by the Borrower or such Restricted Subsidiary in a Permitted Acquisition; provided that such Indebtedness exists at the time such Person becomes a Restricted Subsidiary (or is so merged or consolidated) or such assets are acquired and is not created in contemplation of or in connection with such Person becoming a Restricted Subsidiary (or such merger or consolidation) or such assets or Capital Stock being acquired and (ii) Permitted Refinancing Indebtedness in respect of such Indebtedness; provided that after giving effect to the applicable acquisition (or merger or consolidation) or such assumption of Indebtedness, the Consolidated Leverage Ratio for the Applicable Reference Period, calculated on a Pro Forma Basis as of the date of such acquisition (or merger or consolidation) or assumption, is equal to or less than either (A) 3.00 to 1.00 or (B) the Consolidated Leverage Ratio for the Applicable Reference Period, calculated on a Pro Forma Basis immediately prior to such acquisition (or merger or consolidation) or assumption; provided further that the aggregate principal amount of 93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06"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Indebtedness of Subsidiaries that are not Loan Parties outstanding under this Section 7.2(o) shall not exceed $20,000,000; (p) Guarantee Obligations of the Borrower or any Restricted Subsidiary in respect of Indebtedness of franchisees in an aggregate amount not to exceed $25,000,000 at any time outstanding; (q) Indebtedness of the Borrower and any Restricted Subsidiary to the Insurance Subsidiary in an aggregate principal amount not to exceed $75,000,000 at any time outstanding that cannot be subordinated to the obligations of any Loan Party under the Loan Documents for regulatory reasons or would cause the carrying value for regulatory valuation purposes to be increased; (r) Indebtedness of the Insurance Subsidiary permitted by Section 7.7(y)(i); (s) Indebtedness permitted to survive the Closing Date under the terms of the Acquisition Agreement Date (provided that Indebtedness in an aggregate principal amount in excess of $2,500,000 shall be listed on Schedule 7.2(s)) and any Permitted Refinancing Indebtedness in respect thereof; (t) Incremental Equivalent Debt and Permitted Refinancing Indebtedness in respect thereof; provided that (i) immediately prior to and immediately after giving effect to the incurrence of any Permitted Unsecured Indebtedness under this Section 7.2(t), no Default or Event of Default shall have occurred and be continuing, (ii) the aggregate amount of Incremental Term Loan Commitments established pursuant to Section 2.24 on any date, together with the aggregate principal amount of Incremental Equivalent Debt incurred under this Section 7.2(t) on such date, shall not exceed an amount equal to the Available Incremental Amount and (iii) any Incremental Equivalent Debt (or any Permitted Refinancing Indebtedness in respect thereof) incurred on or prior to the six-month anniversary of the First Amendment Effective Date and consisting of loans that are secured on a pari passu basis with the Initial Term Facility shall be subject to the MFN Provision as if such Indebtedness were an Incremental Term Facility; (u) (i) Permitted Unsecured Indebtedness so long as, at the time of incurrence of such Permitted Unsecured Indebtedness, the Consolidated Leverage Ratio for the Applicable Reference Period, calculated on a Pro Forma Basis as of the date of incurrence thereof, is equal to or less than either (A) 2.75 to 1.00 or (B) in the case of any such Indebtedness incurred in connection with a Permitted Acquisition or Investment, the Consolidated Leverage Ratio for the Applicable Reference Period, calculated on a Pro Forma Basis immediately prior to incurrence of such Permitted Unsecured Indebtedness; provided that (A) immediately prior to and immediately after giving effect to the incurrence of any Permitted Unsecured Indebtedness under this Section 7.2(u), no Default or Event of Default shall have occurred and be continuing and (B) the aggregate principal amount of Permitted Unsecured Indebtedness of Restricted Subsidiaries that are not Loan Parties outstanding under this Section 7.2(u) shall not exceed $20,000,000 and (ii) any Permitted Refinancing Indebtedness in respect thereof; (v) (i) Indebtedness incurred by any Securitization Subsidiary in connection with any Qualified Securitization Transaction and (ii) Standard Securitization Undertakings incurred by any Group Member in connection with any Qualified Securitization Transaction; (w) additional Indebtedness of the Borrower or any of its Restricted Subsidiaries in an aggregate principal amount (for the Borrower and all Restricted Subsidiaries) not to 94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07"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exceed at any time outstanding the greater of (i) $250,000,000 and (ii) 50% of Consolidated EBITDA (for the Applicable Reference Period); (x) Attributable Indebtedness in an aggregate principal amount not to exceed $15,000,000 at any time outstanding, in each case which Attributable Indebtedness arises out of a sale and leaseback transaction permitted under Section 7.10; (y) Indebtedness of any Loan Party in an aggregate principal amount not to exceed the Net Cash Proceeds (Not Otherwise Applied) received after the Closing Date and on or prior to such date from any issuance of Qualified Capital Stock by the Borrower (other than any such issuance to a Group Member); (z) Guarantee Obligations incurred by any Group Member of obligations of any Joint Venture or Unrestricted Subsidiary to the extent permitted under Section 7.7(v); (aa) Indebtedness of the Borrower to the Insurance Subsidiary in connection with an Investment that is permitted pursuant to Section 7.7(bb); and (bb) the Unsecured Notes in an aggregate principal amount not to exceed $450,000,000 and any Permitted Refinancing Indebtedness in respect thereof. For purposes of determining compliance with this Section 7.2, in the event that an item of Indebtedness meets the criteria of more than one of the categories of Indebtedness described in clauses (a) through (bb) above, the Borrower may, in its sole discretion, divide or classify or later divide, classify or reclassify all or a portion of such item of Indebtedness in a manner that complies with this Section 7.2 and will only be required to include the amount and type of such Indebtedness in one or more of the above clauses; provided that all Indebtedness outstanding under the Loan Documents and the ABL Credit Agreement and, in each case, any Permitted Refinancing Indebtedness in respect thereof, will at all times be deemed to be outstanding in reliance only on the exception in Section 7.2(a) and Section 7.2(b), respectively. For the avoidance of doubt, a permitted refinancing in respect of Indebtedness incurred pursuant to a Dollar-denominated or Consolidated EBITDA-governed basket shall not increase capacity to incur Indebtedness under such Dollar-denominated or Consolidated EBITDA-governed basket, and such Dollar-denominated or Consolidated EBITDA-governed basket shall be deemed to continue to be utilized by the amount of the original Indebtedness incurred unless and until the Indebtedness incurred to effect such permitted refinancing is no longer outstanding. 7.3 Liens. Create, incur, assume or suffer to exist any Lien upon any of its property, whether now owned or hereafter acquired, except: (a) Liens for Taxes, assessments or other government charges or levies not yet due or that are being contested in good faith by appropriate proceedings; provided that adequate reserves with respect thereto are maintained on the books of the Borrower or its Restricted Subsidiaries, as the case may be, to the extent required by GAAP; (b) carriers’, warehousemen’s, mechanics’, materialmen’s, repairmen’s or other like Liens arising in the ordinary course of business that are not overdue for a period of more than 60 days or that are being contested in good faith by appropriate proceedings; 95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08"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pledges or deposits in connection with workers’ compensation, unemployment insurance and other social security legislation; (d) pledges or deposits to secure the performance of bids, supplier and other trade contracts (other than for borrowed money), leases, statutory obligations (other than for borrowed money), leases, statutory obligations (other than any such obligation imposed pursuant to Section 430(k) of the Code or Sections 303(k) or 4068 of ERISA), surety and appeal bonds, performance bonds and other obligations of a like nature incurred in the ordinary course of business; (e) [reserved]; (f) Liens in existence on the Closing Date (provided that Liens securing any Indebtedness in an aggregate principal amount in excess of $5,000,000 shall be listed on Schedule 7.3(f)), securing Indebtedness permitted by Section 7.2(e); provided that no such Lien is spread to cover any additional property after the Closing Date and that the amount of Indebtedness secured thereby is not increased (other than, in the case of Permitted Refinancing Indebtedness, by any Additional Permitted Amount); (g) Liens securing Indebtedness of any Group Member incurred pursuant to Section 7.2(f); provided that (i) such Liens shall be created within 180 days of the acquisition of such fixed or capital assets and (ii) such Liens do not at any time encumber any property other than the property financed by such Indebtedness and the proceeds and products and extensions thereof; provided further that in the event that purchase money obligations are owed to any Person with respect to financing of more than one purchase of any fixed or capital assets, such Liens may secure all such purchase money obligations and may apply to all such fixed or capital assets financed by such Person; (h) (i) Liens on the Collateral created pursuant to the Security Documents (or any Term Loan Security Documents (as defined in the ABL/Fixed Asset Intercreditor Agreement)), (ii) Liens on cash granted in favor of any lender under the ABL Credit Agreement or the Issuing Lender (as defined in the ABL Credit Agreement) created as a result of any requirement to provide cash collateral pursuant to the ABL Credit Agreement and (iii) subject to the ABL/Fixed Asset Intercreditor Agreement (or any replacement intercreditor agreement reasonably satisfactory to the Administrative Agent), Liens on the Collateral created pursuant to the ABL Security Documents (or any ABL Security Documents (as defined in the ABL/Fixed Asset Intercreditor Agreement)); (i) any interest or title of a lessor under any lease entered into by any Group Member in the ordinary course of its business and covering only the assets so leased; (j) Liens solely on any cash earnest money deposits made by the Borrower or any Restricted Subsidiary in connection with any letter of intent or purchase agreement relating to a Permitted Acquisition or other third party Investment; (k) Liens in favor of any Loan Party so long as (in the case of any Lien granted by a Loan Party) such Liens are junior to the Liens created pursuant to the Security Documents; (l) Liens arising from filing Uniform Commercial Code or personal property security financing statements (or substantially equivalent filings outside of the United States) regarding leases; 96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09"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 any option or other agreement to purchase any asset of any Group Member, the purchase, sale or other disposition of which is not prohibited by Section 7.5; (n) Liens arising from the rendering of an interim or final judgment or order against any Group Member that does not give rise to an Event of Default; (o) Liens existing on any asset prior to the acquisition thereof by the Borrower or any Restricted Subsidiary or existing on any asset of any Person that becomes a Restricted Subsidiary (or of any Person not previously a Restricted Subsidiary that is merged or consolidated with or into a Restricted Subsidiary in a transaction permitted hereunder) after the Closing Date prior to the time such Person becomes a Restricted Subsidiary (or is so merged or consolidated) to the extent the Liens on such assets secure Indebtedness permitted by Section 7.2(o) so long as (i) in the case of first priority Liens, the Consolidated Senior Secured Leverage Ratio for the Applicable Reference Period, calculated on a Pro Forma Basis as of the date of such acquisition or such Person becoming a Restricted Subsidiary (or such merger or consolidation), is equal to or less than either (A) 2.00 to 1.00 or (B) the Consolidated Senior Secured Leverage Ratio for the Applicable Reference Period, calculated on a Pro Forma Basis immediately prior to giving pro forma effect to such acquisition or such Person becoming a Restricted Subsidiary (or such merger or consolidation) and (ii) in the case of junior-priority Liens, the Consolidated Secured Leverage Ratio for the Applicable Reference Period, calculated on a Pro Forma Basis as of the date of such acquisition or such Person becoming a Restricted Subsidiary (or such merger or consolidation), is equal to or less than either (A) 2.00 to 1.00 or (B) the Consolidated Secured Leverage Ratio for the Applicable Reference Period, calculated on a Pro Forma Basis immediately prior to giving pro forma effect to such acquisition or such Person becoming a Restricted Subsidiary (or such merger or consolidation); provided that (i) such Liens are not created in contemplation of or in connection with such acquisition or such Person becoming a Restricted Subsidiary (or such merger or consolidation) and (ii) such Liens attach at all times only to the same assets or category of assets that such Liens (other than after acquired property that is affixed or incorporated into the property covered by such Lien) attached to, and secure only the same Indebtedness or obligations (or any Permitted Refinancing Indebtedness in respect thereof permitted by Section 7.2(o)) that such Liens secured, immediately prior to such permitted acquisition; (p) Liens arising out of conditional sale, title retention, consignment or similar arrangements for sale of goods entered into by the Borrower or any other Restricted Subsidiary in the ordinary course of business and permitted by this Agreement; (q) Liens on Securitization Assets granted or arising in connection with a Qualified Securitization Transaction and Liens on the Capital Stock of any Securitization Subsidiary granted to secure a Qualified Securitization Transaction; (r) Liens encumbering reasonable and customary initial deposits and margin deposits and similar Liens attaching to brokerage accounts incurred in the ordinary course of business and not for speculative purposes; (s) Liens in favor of customs and revenue authorities arising as a matter of law to secure payment of customs duties in connection with the importation of goods in the ordinary course of business; (t) Liens on premium refunds granted in favor of insurance companies (or their financing affiliates) in connection with the financing of insurance premiums; 97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10"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 banker’s liens, rights of setoff or similar rights and remedies as to deposit accounts or other funds maintained with depository institutions and securities accounts and other financial assets maintained with a securities intermediary; provided that such deposit accounts or funds and securities accounts or other financial assets are not established or deposited for the purpose of providing collateral for any Indebtedness and are not subject to restrictions on access by the Borrower or any Restricted Subsidiary in excess of those required by applicable banking regulations; (v) Liens (i) on cash advances in favor of the seller of any property to be acquired in an Investment permitted pursuant to Section 7.7 to be applied against the purchase price for such Investment or (ii) consisting of an agreement to dispose of any property in a Disposition permitted by Section 7.5, in each case, solely to the extent such Investment or Disposition, as the case may be, would have been permitted on the date of the creation of such Lien; (w) Liens on assets of Restricted Subsidiaries that are not Loan Parties so long as the aggregate outstanding principal amount of the obligations secured thereby does not exceed (as to all Group Members) $50,000,000; (x) Liens on the Collateral securing (i) Incremental Equivalent Debt permitted under Section 7.2(t) on a pari passu or junior basis with the Liens on the Collateral securing the Obligations and (ii) any Permitted Refinancing Indebtedness in respect thereof; provided that the Liens on the Collateral securing Incremental Equivalent Debt or any such Permitted Refinancing Indebtedness shall be subject to the Intercreditor Agreements or such other intercreditor agreement in form and substance reasonably satisfactory to the Administrative Agent; (y) Liens on the Collateral securing (i) Term Loan Refinancing Indebtedness permitted under Section 7.2(a) on a pari passu or junior basis with the Liens on the Collateral securing the Obligations and (ii) any Permitted Refinancing Indebtedness in respect thereof on a pari passu or junior basis with the Liens on the Collateral securing the Obligations; provided that the Liens on the Collateral securing Term Loan Refinancing Indebtedness or any such Permitted Refinancing Indebtedness shall be subject to the Intercreditor Agreements or such other intercreditor agreement in form and substance reasonably satisfactory to the Administrative Agent; (z) Liens not otherwise permitted by this Section 7.3 so long as the aggregate outstanding principal amount of the obligations secured thereby does not exceed (as to all Group Members) $50,000,000; (aa) Liens on property purportedly rented to, or leased by, the Borrower or any of its Restricted Subsidiaries pursuant to a sale and leaseback transaction permitted under Section 7.10; provided that (i) such Liens do not encumber any other property of the Borrower or its Restricted Subsidiaries and (ii) such Liens secure only Indebtedness permitted under Section 7.2(x); (bb) Liens in favor of the applicable trustee on amounts deposited into escrow in connection with the redemption, defeasance or satisfaction and discharge of bonds, debentures, notes or similar instruments; (cc) (i) pledges and deposits and other Liens made in the ordinary course of business in compliance with the Federal Employers Liability Act or any other workers’ compensation, unemployment insurance and other social security laws or regulations and deposits securing liability to insurance carriers under insurance or self-insurance arrangements in respect of such obligations and (ii) pledges and deposits and other Liens securing liability for reimbursement or indemnification obligations 98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11"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 (including obligations in respect of letters of credit or bank guarantees for the benefit of) insurance carriers providing property, casualty or liability insurance to any Group Member; (dd) easements, trackage rights, leases, licenses, special assessments, rights of way covenants, zoning restrictions, covenants, conditions, restrictions and declarations on or with respect to the use of real property, servicing agreements, development agreements, site plan agreements, encumbrances and title defects or irregularities that are of a minor nature that, in each case, do not, in the aggregate, interfere in any material respect with the ordinary conduct of the business of Borrower or any of the Restricted Subsidiaries; (ee) Liens on Capital Stock of any joint venture (i) securing obligations of such joint venture or (ii) pursuant to the relevant joint venture agreement or arrangement; and (ff) Liens securing Indebtedness of any Foreign Subsidiary that is not a Subsidiary Guarantor securing Indebtedness of such Foreign Subsidiary that is permitted by this Agreement. For purposes of determining compliance with this Section 7.3, in the event that a Lien securing an item of Indebtedness (or any portion thereof) meets the criteria for more than one of the categories of Liens described in clauses (a) through (ff) above, the Borrower may, in its sole discretion, divide or classify or later divide, classify or reclassify all or a portion of such Lien in a manner that complies with this Section 7.3 and will only be required to include the amount and type of such Lien in one or more of the above clauses; provided that all Liens securing Indebtedness outstanding under the Loan Documents and the ABL Credit Agreement, and, in each case, any Permitted Refinancing thereof, will at all times be deemed to be outstanding in reliance only on the exception in Section 7.3(h). 7.4 Fundamental Changes. Merge, consolidate or amalgamate, or liquidate, wind up or dissolve itself (or suffer any liquidation or dissolution), or Dispose of all or substantially all of its property or business (taken as a whole), except that: (a) any Restricted Subsidiary of the Borrower may be merged or consolidated with or into the Borrower (provided that the Borrower shall be the continuing or surviving corporation) or with or into any other Restricted Subsidiary (provided, that when any Subsidiary Guarantor is merging with or into another Restricted Subsidiary that is not a Subsidiary Guarantor (except as permitted by Section 7.4(b)), such Subsidiary Guarantor shall be the continuing or surviving corporation or the continuing or surviving corporation shall, substantially simultaneously with such merger or consolidation, become a Subsidiary Guarantor); (b) any Restricted Subsidiary may merge, consolidate or amalgamate with any other Person (other than the Borrower) in order to effect an Investment permitted pursuant to Section 7.7; provided that if such Restricted Subsidiary is a Subsidiary Guarantor the continuing or surviving Person shall be a Subsidiary Guarantor; (c) any Restricted Subsidiary of the Borrower may Dispose of any or all of its assets (i) to the Borrower or any Subsidiary Guarantor (upon voluntary liquidation or otherwise) or (ii) pursuant to a Disposition permitted by Section 7.5; (d) any Restricted Subsidiary of the Borrower that is not a Subsidiary Guarantor may (i) dispose of any or all or substantially all of its assets to any Group Member (upon voluntary liquidation or otherwise) or (ii) liquidate or dissolve if the Borrower determines in good faith 99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12"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that such liquidation or dissolution is in the best interest of the Borrower and is not materially disadvantageous to the Administrative Agent or the Lenders; and (e) any Subsidiary of the Borrower may merge, consolidate or amalgamate with the Borrower in connection with the consummation of the Transactions. 7.5 Disposition of Property. Dispose of any of its property, whether now owned or hereafter acquired, or, in the case of any Restricted Subsidiary, issue or sell any shares of such Restricted Subsidiary’s Capital Stock to any Person, except: (a) the Disposition of surplus, outdated, obsolete or worn out property in the ordinary course of business; (b) Dispositions of inventory, equipment, cash and Cash Equivalents, in each case, in the ordinary course of business; (c) Dispositions permitted by Section 7.4(c)(i) or Section 7.4(d)(i); (d) the sale or issuance of any Restricted Subsidiary’s Capital Stock to the Borrower or any Subsidiary Guarantor or on a pro rata basis to the owners of its Capital Stock; (e) Dispositions of accounts receivable in connection with the compromise, settlement or collection thereof in the ordinary course of business consistent with past practice and not as part of any accounts receivables financing transaction; (f) Dispositions of assets (including as a result of like-kind exchanges) to the extent that (i) such assets are exchanged for credit (on a fair market value basis) against the purchase price of similar or replacement assets or (ii) such asset is Disposed of for fair market value and the proceeds of such Disposition are promptly applied to the purchase price of similar or replacement assets; (g) Dispositions resulting from any casualty or other insured damage to, or any taking under power of eminent domain or by condemnation or similar proceeding of, any asset of any Group Member; (h) licenses and sublicenses and similar rights granted with respect to Intellectual Property granted in the ordinary course of business; (i) the abandonment, cancellation, non-renewal or discontinuance of use or maintenance of non-material Intellectual Property or rights relating thereto that the Borrower determines in its reasonable judgment to be desirable to the conduct of its business and not materially disadvantageous to the interests of the Lenders; (j) licenses, leases or subleases entered into in the ordinary course of business, to the extent that they do not materially interfere with the business of the Borrower or any Restricted Subsidiary; (k) Dispositions to any Group Member; provided that any such Disposition involving a Restricted Subsidiary that is not a Subsidiary Guarantor shall be made in compliance with Sections 7.7 and 7.9; (l) (i) Dispositions of assets to the extent that such Disposition constitutes an Investment referred to in and permitted by Section 7.7, (ii) Dispositions of assets to the extent that 100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13"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such Disposition constitutes a Restricted Payment referred to in and permitted by Section 7.6, (iii) Dispositions set forth on Schedule 7.5(l) and (iv) sale and leaseback transactions permitted under Section 7.10; (m) any sale, issuance, conveyance, transfer, participation, factoring, lease or other disposition of Securitization Assets in connection with a Qualified Securitization Transaction; (n) other Dispositions of assets (including Capital Stock); provided that (A) it shall be for fair market value (determined as if such Disposition was consummated on an arm’s-length basis), (B) at least 75% of the total consideration for any such Disposition in excess of $10,000,000 received by the Borrower and its Restricted Subsidiaries shall be in the form of cash or Cash Equivalents, (C) no Event of Default then exists or would result from such Disposition (except if such Disposition is made pursuant to an agreement entered into at a time when no Event of Default exists) and (D) the requirements of Section 2.11(b), to the extent applicable, are complied with in connection therewith; provided, however, that for purposes of clause (B) above, the following shall be deemed to be cash: (I) any liabilities (as shown on the Borrower’s or such Restricted Subsidiary’s most recent balance sheet provided hereunder or in the footnotes thereto) of the Borrower or such Restricted Subsidiary (other than liabilities that are by their terms subordinated to the Obligations) that are assumed by the transferee with respect to the applicable Disposition and for which the Borrower and its Restricted Subsidiaries shall have been validly released by all applicable creditors in writing, (II) any securities received by the Borrower or such Restricted Subsidiary from such transferee that are converted by the Borrower or such Restricted Subsidiary into cash or Cash Equivalents (to the extent of the cash or Cash Equivalents received in the conversion) within 180 days following the closing of the applicable Disposition and (III) any Designated Non-Cash Consideration received by the Borrower or any of its Restricted Subsidiaries in such Disposition having an aggregate fair market value, taken together with all other Designated Non-Cash Consideration received pursuant to this Section 7.5(n) that is at that time outstanding, not to exceed $25,000,000 (with the fair market value of each item of Designated Non-Cash Consideration being measured at the time received and without giving effect to subsequent changes in value); (o) other Dispositions in any fiscal year of other property having a fair market value not to exceed 7.5% of Consolidated Total Assets when made; provided that (i) the requirements of Section 2.11(b), to the extent applicable, are complied with in connection therewith and (ii) no Event of Default then exists or would result from such Disposition (except if such Disposition is made pursuant to an agreement entered into at a time when no Event of Default exists); (p) Dispositions (i) to or by the Insurance Subsidiary of Capital Stock of the Borrower, (ii) to or by the Insurance Subsidiary of Indebtedness described in Section 7.2(r) to the Borrower or any Wholly Owned Subsidiary that is a Loan Party and (iii) by the Insurance Subsidiary effected solely for the purpose of liquidating assets in order to permit the Insurance Subsidiary to pay expenses and to make payments on insurance claims of the Borrower or any of its Restricted Subsidiaries with the proceeds of such Disposition; (q) Dispositions of real property in the ordinary course to the extent such real property is Disposed of for fair market value and the proceeds of such Disposition are applied within 360 days to the purchase price of similar or replacement real property; (r) Dispositions of non-core assets acquired in connection with any acquisition or Investment permitted hereunder; provided that (i) the Consolidated EBITDA generated by such non-core assets (as determined by the Borrower in good faith) shall not have been included in the calculation of Consolidated EBITDA in respect of any testing of ratios or governors on a Pro Forma 101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14"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Basis in connection with such acquisition, and (ii) no Event of Default exists on the date on which the definitive agreement governing the relevant Disposition is executed; and (s) Dispositions of the Mexico Operations for fair market value. 7.6 Restricted Payments. Declare or pay any dividend (other than dividends payable solely in common stock of the Person making such dividend) on, or make any payment on account of, or set apart assets for a sinking or other analogous fund for, the purchase, redemption, defeasance, retirement or other acquisition of, any Capital Stock (other than Disqualified Capital Stock) of any Group Member, whether now or hereafter outstanding, or make any other distribution in respect thereof, either directly or indirectly, whether in cash or property or in obligations of any Group Member (collectively, “Restricted Payments”), except that: (a) any Restricted Subsidiary may make Restricted Payments ratably to its equity holders (or if not ratably, on a basis more favorable to the Borrower and the other Loan Parties); (b) the Borrower may purchase or redeem its common stock or common stock options from present, future or former directors, officers or employees of any Group Member upon the death, disability or termination of employment of such director, officer or employee, provided, that the aggregate amount of payments under this Section 7.6(b) after the Closing Date (net of any proceeds received by the Borrower after the Closing Date in connection with resales of any common stock or common stock options so purchased) shall not exceed $5,000,000 in any fiscal year (with unused amounts in any period permitted to be carried over to succeeding periods until used in full; provided that the total amount of such purchases or redemptions under this Section 7.6(b) in any fiscal year shall not exceed $10,000,000); (c) the Borrower may declare and pay dividends with respect to its Capital Stock payable solely in shares of Qualified Capital Stock; (d) the Borrower may make cash payments in lieu of the issuance of fractional shares representing insignificant interests in the Borrower in connection with the exercise of warrants, options or other securities convertible into or exchangeable for Capital Stock in the Borrower; (e) the Borrower may acquire its Capital Stock upon the exercise of stock options for such Capital Stock of the Borrower if such Capital Stock represents a portion of the exercise price of such stock options or in connection with tax withholding obligations arising in connection with the exercise of options by, or the vesting of restricted Capital Stock held by, any current or former director, officer or employee of any Group Member; (f) the Borrower may convert or exchange any of its Capital Stock for or into Qualified Capital Stock; (g) so long as no Event of Default shall have occurred and be continuing or would result therefrom, the Borrower may on any date make Restricted Payments in an amount equal to the Available Amount on such date; provided that at the time of the making of any such Restricted Payments and immediately after giving effect to such Restricted Payments, the Consolidated Leverage Ratio for the Applicable Reference Period, calculated on a Pro Forma Basis, is not in excess of 3.75 to 1.00; (h) so long as no Event of Default shall have occurred and be continuing or would result therefrom, the Borrower may on any date make Restricted Payments in an aggregate 102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15"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amount, together with Restricted Debt Payments made under Section 7.8(a)(iv), not to exceed $100,000,000 in any fiscal year; (i) so long as no Event of Default shall have occurred and be continuing or would result therefrom, the Borrower may on any date make Restricted Payments; provided that at the time of the making of any such Restricted Payments and immediately after giving effect to such Restricted Payments, the Consolidated Leverage Ratio for the Applicable Reference Period, calculated on a Pro Forma Basis, is not in excess of 2.75 to 1.00; (j) so long as no Default or Event of Default shall have occurred and be continuing or would result therefrom, the Borrower may on any date pay dividends to its shareholders in an aggregate amount not to exceed in any fiscal year 6.00% of Market Capitalization; (k) the Borrower may repurchase shares of its common stock from the Insurance Subsidiary in an amount necessary to (i) pay operating costs and expenses of the Insurance Subsidiary incurred in the ordinary course of business (not to exceed $250,000 per fiscal year of the Borrower) and (ii) permit the Insurance Subsidiary to make payments on insurance claims of the Borrower and/or any of its Subsidiaries with the proceeds of such repurchase; (l) the Insurance Subsidiary may purchase shares of the common stock of the Borrower from the Borrower or any Restricted Subsidiary; (m) the Borrower may repurchase shares of its common stock from the Insurance Subsidiary in exchange for the issuance of one or more notes or other forms of Indebtedness owed to the Insurance Subsidiary; (n) the Borrower may make Restricted Payments to consummate the Transactions; and (o) distributions or payments of Securitization Fees. For purposes of determining compliance with this Section 7.6, in the event that a Restricted Payment meets the criteria of more than one of the categories of Restricted Payments described in clauses (a) through (o) above, the Borrower may, in its sole discretion, divide or classify or later divide, classify or reclassify all or a portion of such Restricted Payment in a manner that complies with this Section 7.6 and will only be required to include the amount and type of such Restricted Payment in one or more of the above clauses. 7.7 Investments. Make any advance, loan, extension of credit (by way of guaranty or otherwise) or capital contribution to, or purchase any Capital Stock, bonds, notes, debentures or other debt securities of, or any assets constituting a business unit of, or make any other investment in, any other Person (all of the foregoing, “Investments”), except: (a) extensions of trade credit in the ordinary course of business; (b) investments in cash and Cash Equivalents; (c) Guarantee Obligations permitted by Section 7.2 (other than any Guarantee Obligations incurred under Section 7.2(z), which Guarantee Obligations shall solely be permitted to the extent permitted pursuant to Section 7.7(v)); 103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16"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 loans and advances to directors, officers and employees of any Group Member in the ordinary course of business (including for travel, entertainment and relocation expenses) in an aggregate amount for the Borrower and its Restricted Subsidiaries not to exceed $5,000,000 at any one time outstanding; (e) [reserved]; (f) Investments in assets useful in the business of the Borrower and its Restricted Subsidiaries made by any Group Member with the proceeds of any Reinvestment Deferred Amount; (g) intercompany Investments by any Group Member in any other Group Member; provided that any Investment by any Loan Party in a Restricted Subsidiary that is not a Loan Party shall be permitted to the extent the aggregate amount of outstanding Investments pursuant to this clause (g) (less any returns (including dividends, interest, distributions, returns of principal, profits on sale, repayments, income and similar amounts) actually received in respect of any such Investments (excluding any returns in excess of the amount originally invested)) does not exceed $25,000,000; (h) any Permitted Acquisition; provided that the aggregate amount of Investments pursuant to this Section 7.7(h) (less any returns (including dividends, interest, distributions, returns of principal, profits on sale, repayments, income and similar amounts) actually received in respect of any such Investments (excluding any returns in excess of the amount originally invested)) in respect of acquisitions of Persons that do not, upon acquisition thereof, become Subsidiary Guarantors, or property that is not, upon acquisition thereof, owned by Loan Parties (whether such Investment is consummated with cash or equity (including Disqualified Capital Stock of any Subsidiaries not organized under the laws of any jurisdiction within the United States, but excluding any other equity of such Subsidiaries), and with such Investment as valued in good faith by the Borrower) shall not exceed at any time outstanding the greater of (x) $100,000,000 and (y) 20.00% of Consolidated EBITDA for the Applicable Reference Period, calculated on a Pro Forma Basis as of the date of consummation of such purchase or other acquisition (or at the Borrower’s option, as of the date of entry into the binding documentation in respect of such purchase or other acquisition); (i) promissory notes and other non-cash consideration received in connection with Dispositions permitted by Section 7.5; (j) Investments acquired as a result of the purchase or other acquisition by any Group Member in connection with a Permitted Acquisition; provided, that such Investments were not made in contemplation of such Permitted Acquisition and were in existence at the time of such Permitted Acquisition; (k) Investments existing on the Closing Date (provided that Investments in an aggregate outstanding amount in excess of $5,000,000 shall be set forth on Schedule 7.7(k)) and any modification, refinancing, renewal, refunding, replacement or extension thereof; provided that the amount of any Investment permitted pursuant to this Section 7.7(k) is not increased from the amount of such Investment on the Closing Date; (l) Investments received in connection with the bankruptcy or reorganization of, or settlement of delinquent accounts and disputes with, customers and suppliers, in each case in the ordinary course of business; 104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17"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 Investments of a Restricted Subsidiary acquired after the Closing Date or of a corporation merged into the Borrower or merged or consolidated with any Restricted Subsidiary, in each case in accordance with Section 7.4 after the Closing Date, to the extent that such Investments were not made in contemplation of or in connection with such acquisition, merger or consolidation and were in existence on the date of such acquisition, merger or consolidation; (n) Guarantees by the Borrower or any Restricted Subsidiary of leases (other than Finance Lease Obligations) or of other obligations that do not constitute Indebtedness, in each case entered into in the ordinary course of business; (o) Investments made to effect the pledges and deposits described in, and permitted under, Section 7.3(c) and (d); (p) Investments by the Borrower or any Restricted Subsidiary that result solely from the receipt by the Borrower or such Restricted Subsidiary from any of its Subsidiaries of a dividend or other Restricted Payment in the form of Capital Stock, evidences of Indebtedness or other securities (but not any additions thereto made after the date of the receipt thereto); (q) mergers and consolidations permitted under Section 7.4 that do not involve any Person other than the Borrower and Restricted Subsidiaries that are Wholly Owned Subsidiaries; (r) so long as no Event of Default has occurred and is continuing or would result therefrom, Investments in an aggregate amount not to exceed the Available Amount at such time; (s) customary Investments by the Borrower or any Restricted Subsidiary in any Securitization Subsidiary in connection with a Qualified Securitization Transaction, including pursuant to Standard Securitization Undertakings; (t) so long as no Event of Default shall have occurred and be continuing or would result therefrom, other Investments, if, at the time of such Investment, the Consolidated Senior Secured Leverage Ratio for the Applicable Reference Period, calculated on a Pro Forma Basis as of the date of such Investment, is not in excess of 1.50 to 1.00; (u) Investments by the Borrower or any of its Restricted Subsidiaries in an aggregate amount (valued at cost), taken together with all other outstanding Investments made pursuant to this Section 7.7(u) (less any returns (including dividends, interest, distributions, returns of principal, profits on sale, repayments, income and similar amounts) actually received in respect of any such Investments (excluding any returns in excess of the amount originally invested)), not to exceed from and after the Closing Date the greater of (i) $50,000,000 and (ii) 10% of Consolidated EBITDA for the Applicable Reference Period, calculated on a Pro Forma Basis as of the date of such Investment; (v) (i) any Investment in any Joint Venture or Unrestricted Subsidiary and (ii) any Permitted Acquisition of Persons that do not, upon acquisition thereof, become Subsidiary Guarantors, and property that is not, upon acquisition thereof, owned by Loan Parties; provided that the aggregate outstanding amount of the Investments and Permitted Acquisitions consummated pursuant to this Section 7.7(v) (with respect to Investments pursuant to clause (i), valued at cost, and with respect to Permitted Acquisitions pursuant to clause (ii), the Investment amount thereof shall be as valued in good faith by the Borrower and shall include cash and equity (including Disqualified Capital Stock of any Subsidiaries not organized under the laws of any jurisdiction within the United States, but excluding any other equity of such Subsidiaries)), less any returns (including dividends, interest, distributions, returns 105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18"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 principal, profits on sale, repayments, income and similar amounts) actually received in respect of any such Investments (excluding any returns in excess of the amount originally invested), shall not exceed at any time outstanding the greater of (i) $50,000,000 and (ii) 10% of Consolidated EBITDA for the Applicable Reference Period, calculated on a Pro Forma Basis as of the date of such Investment or Permitted Acquisition (or at the Borrower’s option, as of the date of entry into the binding documentation in respect of such Permitted Acquisition); (w) Investments, taken together with all other outstanding Investments made pursuant to this Section 7.7(w) (less any returns (including dividends, interest, distributions, returns of principal, profits on sale, repayments, income and similar amounts) actually received in respect of any such Investments (excluding any returns in excess of the amount originally invested)), in an aggregate amount (valued at cost) not to exceed the Net Cash Proceeds (Not Otherwise Applied) received after the Closing Date and on or prior to such date from any issuance of Qualified Capital Stock by the Borrower (other than any such issuance to a Group Member); (x) Investments made in the Insurance Subsidiary (i) to the extent required to meet regulatory capital guidelines, policies or rules in an amount not exceed $35,000,000 in the aggregate at any one time outstanding and (ii) in amounts not to exceed, in any fiscal year of the Borrower, the lesser of (x) $75,000,000 and (y) the amount that will appear as an expense for self-insurance costs on the Borrower’s consolidated income statement; (y) Investments in the Insurance Subsidiary consisting of the contribution of common stock of the Borrower and Investments by the Insurance Subsidiary in the common stock of the Borrower; (z) Investments by the Insurance Subsidiary in Indebtedness of the Group Members permitted by Section 7.2(q); (aa) Investments made to consummate the Transactions; and (bb) Investments by the Borrower in the Insurance Subsidiary in connection with the repurchase of the Borrower’s common stock from the Insurance Subsidiary in exchange for the issuance of one or more notes or other forms of Indebtedness owed to the Insurance Subsidiary. For purposes of determining compliance with this Section 7.7, in the event that an Investment meets the criteria of more than one of the categories of Investments described in clauses (a) through (bb) above, the Borrower may, in its sole discretion, divide or classify or later divide, classify or reclassify all or a portion of such Investment in a manner that complies with this Section 7.7 and will only be required to include the amount and type of such Investment in one or more of the above clauses. 7.8 Optional Payments and Modifications of Certain Debt Instruments. (a) Make or offer to make any optional or voluntary payment, prepayment, repurchase or redemption of or otherwise optionally or voluntarily defease or segregate funds with respect to any Restricted Indebtedness (any of the foregoing, a “Restricted Debt Payment”) other than: (i) refinancings of Restricted Indebtedness with the proceeds of Permitted Refinancing Indebtedness permitted in respect thereof under Section 7.2; 106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19"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payments of or in respect of Restricted Indebtedness made solely with Qualified Capital Stock or the conversion of any Restricted Indebtedness into Qualified Capital Stock; (iii) prepayments of intercompany Restricted Indebtedness permitted hereunder owed by the Borrower or any Restricted Subsidiary to the Borrower or any Restricted Subsidiary; provided that no prepayment of any Restricted Indebtedness owed by any Loan Party to any Restricted Subsidiary that is not a Loan Party shall be permitted so long as an Event of Default shall have occurred and be continuing or would result therefrom; (iv) so long as no Event of Default has occurred and is continuing or would result therefrom, Restricted Debt Payments in an aggregate amount, together with Restricted Payments made under Section 7.6(h)), not to exceed $100,000,000 in any fiscal year; (v) so long as no Event of Default has occurred and is continuing or would result therefrom, Restricted Debt Payments in an amount equal to the Available Amount on such date; provided that at the time of the making of such Restricted Debt Payment and immediately after giving effect thereto, the Consolidated Leverage Ratio for the Applicable Reference Period, calculated on a Pro Forma Basis, is not in excess of 3.75 to 1.00; (vi) so long as no Event of Default has occurred and is continuing or would result therefrom, Restricted Debt Payments if, at the time of making such Restricted Debt Payment and immediately after giving effect thereto, the Consolidated Leverage Ratio for the Applicable Reference Period, calculated on a Pro Forma Basis, is not in excess of 2.75 to 1.00; and (vii) repurchases of Unsecured Notes using Declined Amounts (calculated from the Closing Date) Not Otherwise Applied. For purposes of determining compliance with this Section 7.8(a), in the event that a Restricted Debt Payment meets the criteria of more than one of the categories of Restricted Debt Payments described in clauses (i) through (vii) above, the Borrower may, in its sole discretion, divide or classify or later divide, classify or reclassify all or a portion of such Restricted Debt Payment in a manner that complies with this Section 7.7(a) and will only be required to include the amount and type of such Restricted Debt Payment in one or more of the above clauses. Notwithstanding anything to the contrary contained in this Section 7.8(a), in no event shall any payment in respect of Subordinated Indebtedness be permitted if such payment is in violation of the subordination provisions of such Subordinated Indebtedness. (b) Amend, modify, waive or otherwise change, or consent or agree to any amendment, modification, waiver or other change to, any of the terms of any Restricted Indebtedness (other than any such amendment, modification, waiver or other change that would not materially and adversely affect the interests of the Lenders). 7.9 Transactions with Affiliates. Enter into any transaction, including any purchase, sale, lease or exchange of property, the rendering of any service or the payment of any management, advisory or similar fees, with any Affiliate in excess of $10,000,000, unless such transaction is on terms not materially less favorable to the Borrower or such Restricted Subsidiary, as applicable, than would be 107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20"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obtainable in a comparable arms-length transaction with a person that is not an Affiliate; provided that this Section 7.9 shall not limit: (a) Issuances of securities, or other payments, awards or grants in cash, securities or otherwise pursuant to, or the funding of, employment arrangements, equity purchase agreements, stock options, stock ownership plans and similar and like arrangements approved by the board of directors of the Borrower; (b) compensation, insurance, employment, employee benefit and severance arrangements between the Borrower or any Subsidiary and any director, officer, employee or consultant thereof; (c) the payment of directors’ fees and indemnification and reimbursement of expenses to directors, officers or employees; (d) transactions between or among the Loan Parties; (e) transactions between or among the Borrower and its Restricted Subsidiaries or by and among Restricted Subsidiaries in the ordinary course of business; (f) Investments permitted by Section 7.7(d), Restricted Payments or Restricted Debt Payments expressly permitted by this Agreement; (g) intercompany transactions undertaken in good faith for the purpose of improving the consolidated tax efficiency of the Group Members; (h) transactions disclosed in the Borrower’s SEC filings made prior to the Closing Date; (i) any transaction with any Person who is not an Affiliate immediately before the consummation of such transaction that becomes an Affiliate as a result of such transaction; (j) payroll, travel, business entertainment and similar advances to officers, directors, employees and consultants of the Borrower or any Subsidiary to cover matters that are expected at the time of such advances to be treated as expenses of the Borrower or such Subsidiary for accounting purposes and that are made in the ordinary course of business; and (k) any (i) sale, conveyance, participation, factoring or other transfer of Securitization Assets transferred to a Securitization Subsidiary, (ii) grant of security, (iii) incurrence of Indebtedness or (iv) payment of any associated fees, in each case in connection with any Qualified Securitization Transaction. 7.10 Sales and Leasebacks. Enter into any arrangement with any Person providing for the leasing by any Group Member of real property that has been or is to be sold or transferred by such Group Member to such Person or to any other Person to whom funds have been or are to be advanced by such Person on the security of such property or rental obligations of such Group Member, unless (a) the Net Cash Proceeds received by the applicable Group Member in connection with such transaction are at least equal to the fair market value (as determined by the Borrower) of such property and (b) the Borrower or the applicable Subsidiary applies the Net Cash Proceeds of such transaction in accordance with Section 2.11; provided that the aggregate amount of consideration paid to the Group Members (and 108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21"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aggregate principal amount of any Attributable Indebtedness) in respect of transactions permitted under this Section 7.10 shall not exceed $15,000,000. 7.11 Swap Agreements. Enter into any Swap Agreement, except Swap Agreements entered into for bona fide hedging purposes and not for speculation. 7.12 Changes in Fiscal Periods. Permit the fiscal year of the Borrower to end on a day other than calendar year end or change the Borrower’s method of determining fiscal quarters, in each case without the consent of the Administrative Agent (such consent not to be unreasonably withheld, conditioned or delayed). 7.13 Negative Pledge Clauses. Enter into or suffer to exist or become effective any agreement that prohibits or limits the ability of any Group Member (other than the Insurance Subsidiary) to create, incur, assume or suffer to exist any Lien upon any of its property or revenues, whether now owned or hereafter acquired to secure its obligations under the Loan Documents to which it is a party other than (a) (i) this Agreement, the other Loan Documents, the ABL Loan Documents and the Unsecured Notes Documents, (ii) any agreement governing any Indebtedness incurred pursuant to Section 7.2 to the extent such prohibition or limitation is customary in agreements governing Indebtedness of such type and in any event so long as such agreement is not materially more restrictive (taken as a whole) than the Loan Documents (as conclusively determined by the Borrower in good faith) and (iii) any agreement governing any Permitted Refinancing Indebtedness in respect of the Loans, the ABL Loans, the Unsecured Notes or Indebtedness incurred pursuant to Section 7.2, in each case, with respect to this clause (iii), so long as any such agreement is not materially more restrictive (taken as a whole) than the Loan Documents, the ABL Loan Documents, the Unsecured Notes Documents or the documents governing the Indebtedness being refinanced, as applicable (as conclusively determined by the Borrower in good faith), (b) any agreements governing any purchase money Liens or Finance Lease Obligations otherwise permitted hereby (in which case, any prohibition or limitation shall only be effective against the assets financed thereby), (c) any agreement in effect at the time any Subsidiary becomes a Restricted Subsidiary of the Borrower, so long as such prohibition or limitation applies only to such Restricted Subsidiary (and, if applicable, its Subsidiaries) and such agreement was not entered into in contemplation of such Person becoming a Restricted Subsidiary of the Borrower, as such agreement may be amended, restated, supplemented, modified extended renewed or replaced, so long as such amendment, restatement, supplement, modification, extension, renewal or replacement does not expand in any material respect the scope of any restriction contemplated by this Section 7.13 contained therein, (d) customary provisions restricting assignments, subletting, sublicensing, pledging or other transfers contained in leases, subleases, licenses or sublicenses, so long as such restrictions are limited to the property or assets subject to such leases, subleases, licenses or sublicenses, as the case may be, (e) (i) restrictions imposed by applicable law and (ii) contractual encumbrances or restrictions in effect on the Closing Date and listed on Schedule 7.13, (f) customary provisions in joint venture agreements and other similar agreements entered into in the ordinary course of business, (g) customary provisions restricting assignment of any agreement entered into in the ordinary course of business, (h) customary restrictions and conditions contained in the document relating to any Lien other than relating to Indebtedness, so long as (i) such Lien is a Lien permitted by Section 7.3 and such restrictions or conditions relate only to the specific asset subject to such Lien and (ii) such restrictions and conditions are not created for the purpose of avoiding the restrictions imposed by this Section 7.13, (i) customary net worth provisions contained in real property leases entered into by the Group Members, so long as the Borrower has determined in good faith that such net worth provisions would not reasonably be expected to impair the ability of the Group Members to meet their ongoing obligations, (j) restrictions on cash or other deposits imposed by customers under contracts entered into in the ordinary course of business, (k) customary restrictions and conditions contained in agreements relating to the sale of a Restricted Subsidiary or any assets pending such sale, provided that such restrictions or conditions apply only to the Restricted Subsidiary or assets 109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22"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that is to be sold and such sale is permitted hereunder and (l) customary prohibitions, conditions and restrictions (as determined by the Borrower in good faith) contained in agreements and documents relating to any Qualified Securitization Transaction. 7.14 Clauses Restricting Subsidiary Distributions. Enter into or suffer to exist or become effective any consensual encumbrance or restriction on the ability of any Restricted Subsidiary of the Borrower to (a) make Restricted Payments in respect of any Capital Stock of such Restricted Subsidiary held by, or pay any Indebtedness owed to, any Group Member, (b) make loans or advances to, or other Investments in, any Group Member or (c) transfer any of its assets to any Group Member, except for (i) any encumbrances or restrictions existing under (A) this Agreement, the other Loan Documents, the ABL Loan Documents or the Unsecured Notes Documents, (B) any agreement governing Indebtedness incurred pursuant to Section 7.2 so long as such encumbrance or restriction is customary in agreements governing Indebtedness of such type and is not materially more restrictive (taken as a whole) than the Loan Documents (as conclusively determined by the Borrower in good faith) or (C) any agreement governing Permitted Refinancing Indebtedness in respect of the Loans, any ABL Loans, any Unsecured Notes or any other Indebtedness incurred pursuant to Section 7.2, in each case so long as any such agreement is not materially more restrictive (taken as a whole) than the Loan Documents, the ABL Loan Documents, the Unsecured Notes Documents or the documents governing the Indebtedness being refinanced, as applicable (as conclusively determined by the Borrower in good faith), (ii) any encumbrances or restrictions with respect to a Restricted Subsidiary imposed pursuant to an agreement that has been entered into in connection with the Disposition of all or substantially all of the Capital Stock or assets of such Restricted Subsidiary, (iii) any encumbrance or restriction applicable to a Restricted Subsidiary (and, if applicable, its Subsidiaries) under any agreement of such Restricted Subsidiary in effect at the time such Person becomes a Restricted Subsidiary of the Borrower, so long as such agreement was not entered into in contemplation of such Person becoming a Restricted Subsidiary of the Borrower, as such agreement may be amended, restated, supplemented, modified extended renewed or replaced, so long as such amendment, restatement, supplement, modification, extension, renewal or replacement does not expand in any material respect the scope of any restriction contemplated by this Section 7.14 contained therein, (iv) customary provisions restricting assignments, subletting, sublicensing, pledging or other transfers contained in leases, subleases, licenses or sublicenses, so long as such restrictions are limited to the property or assets subject to such leases, subleases, licenses or sublicenses, as the case may be, (v) customary restrictions and conditions contained in agreements relating to the sale of a Restricted Subsidiary or any assets pending such sale, provided that such restrictions or conditions apply only to the Restricted Subsidiary or assets that is to be sold and such sale is permitted hereunder, (vi) consensual arrangements with insurance regulators with respect to the Insurance Subsidiary, (vii) (A) restrictions imposed by applicable law and (B) contractual encumbrances or restrictions in effect on the Closing Date and listed on Schedule 7.14, (viii) customary provisions in joint venture agreements and other similar agreements entered into in the ordinary course of business, (ix) customary provisions restricting assignment of any agreement entered into in the ordinary course of business, (x) customary net worth provisions contained in real property leases entered into by the Group Members, so long as the Borrower has determined in good faith that such net worth provisions would not reasonably be expected to impair the ability of the Group Members to meet their ongoing obligations, (xi) restrictions on cash or other deposits imposed by customers under contracts entered into in the ordinary course of business and (xii) customary prohibitions, conditions and restrictions (as determined by the Borrower in good faith) contained in agreements and documents relating to any Qualified Securitization Transaction. 7.15 Lines of Business. (a) Enter into any business, either directly or through any Restricted Subsidiary, except for (i) an immaterial line of business (as determined by the Borrower in good faith) or (ii) those businesses in which the Group Members were engaged on the Closing Date and (in the case of this clause (ii)) any similar, corollary, related, incidental or complementary business or 110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23"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business activities or any reasonable extension, development or expansion thereof (as determined by the Borrower in good faith). (b) In the case of the Insurance Subsidiary, enter into any business, except for providing insurance services to the Borrower and its Subsidiaries and activities reasonably related thereto. 7.16 Use of Proceeds. Use, and the respective directors, officers, employees and agents of the Borrower and its Subsidiaries shall not use, the proceeds of any Loan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or (c) in any manner that would result in the violation of any Sanctions applicable to any party hereto. SECTION 8. EVENTS OF DEFAULT If any of the following events shall occur and be continuing: (a) the Borrower shall fail to pay any principal of any Loan when due in accordance with the terms hereof; or the Borrower shall fail to pay any interest on any Loan, or any other amount payable hereunder or under any other Loan Document, within five Business Days after any such interest or other amount becomes due in accordance with the terms hereof; or (b) any representation or warranty made or deemed made by any Loan Party herein or in any other Loan Document or that is contained in any certificate required to be delivered by it at any time under or in connection with this Agreement or any such other Loan Document shall prove to have been inaccurate in any material respect on or as of the date made or deemed made; or (c) any Loan Party shall default in the observance or performance of any agreement contained in clause (i) or (ii) of Section 6.4(a) (with respect to the Borrower only), Section 6.7(a) or Section 7 of this Agreement; or (d) any Loan Party shall default in the observance or performance of any other agreement contained in this Agreement or any other Loan Document (other than as provided in paragraphs (a) through (c) of this Section 8), and such default shall continue unremedied for a period of 30 days after written notice to the Borrower from the Administrative Agent or the Required Lenders; or (e) any Group Member shall (i) default in making any payment of any principal of any Material Indebtedness (including any Guarantee Obligation) on the scheduled or original due date with respect thereto; (ii) default in making any payment of any interest on any such Material Indebtedness beyond the period of grace, if any, provided in the instrument or agreement under which such Material Indebtedness was created; (iii) other than with respect to Indebtedness outstanding under the ABL Credit Agreement, default in the observance or performance of any other agreement or condition relating to any such Material Indebtedness or contained in any instrument or agreement evidencing, securing or relating thereto, the effect of which default is to cause (with all applicable grace periods having expired), or to permit the holder or beneficiary of such Indebtedness (or a trustee or agent on behalf of such holder or beneficiary) to cause (with all applicable grace periods having expired), with the giving of notice if required, such Material Indebtedness to become due prior to its stated maturity or (in the case of any such Indebtedness constituting a Guarantee Obligation) to become payable (provided that this clause (iii) shall not apply to any Indebtedness that becomes due as a result of a refinancing in full thereof as permitted by the terms of this Agreement); or (iv) with respect to Indebtedness outstanding 111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24"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under the ABL Credit Agreement, default in the observance or performance of any other agreement or condition relating to such Indebtedness or contained in any ABL Loan Document, the effect of which default is to cause (with all applicable grace periods having expired), or to permit the ABL Administrative Agent or the lenders under the ABL Credit Agreement to cause (with all applicable grace periods having expired), with the giving of notice if required, the ABL Loans to become due prior to their stated maturity and/or the ABL Commitments to terminate prior to their stated termination date (provided that, in the case of this clause (iv), such default shall not constitute an Event of Default hereunder unless (1) the holders of the ABL Loans cause the ABL Loans to become due prior to their stated maturity (and such acceleration has not been rescinded) and/or the ABL Commitments to terminate prior to their stated termination date or (2) the ABL Administrative Agent and/or the lenders under the ABL Credit Agreement exercise secured creditor remedies as a result of such default); or (f) (i) the Borrower or any Material Subsidiary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(ii) there shall be commenced against the Borrower or any Material Subsidiary any case, proceeding or other action of a nature referred to in clause (i) above that (A) results in the entry of an order for relief or any such adjudication or appointment or (B) remains undismissed or undischarged for a period of 60 consecutive days; or (iii) there shall be commenced against the Borrower or any Material Subsidiary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or (iv) the Borrower or any Material Subsidiary shall take any action in furtherance of, or indicating its consent to, approval of, or acquiescence in, any of the acts set forth in clause (i), (ii), or (iii) above; or (v) the Borrower or any Material Subsidiary shall generally not, or shall be unable to, or shall admit in writing its inability to, pay its debts as they become due; or (vi) the Borrower or any Material Subsidiary shall make a general assignment for the benefit of its creditors; or (g) (i) an ERISA Event and/or a Foreign Plan Event shall have occurred; (ii) a trustee shall be appointed by a United States district court to administer any Pension Plan; (iii) the PBGC shall institute proceedings to terminate any Pension Plan; (iv) any Group Member or any of their respective ERISA Affiliates shall have been notified by the sponsor of a Multiemployer Plan that it has incurred or will be assessed Withdrawal Liability to such Multiemployer Plan and such entity does not have reasonable grounds for contesting such Withdrawal Liability or is not contesting such Withdrawal Liability in a timely and appropriate manner; or (v) any other event or condition shall occur or exist with respect to a Plan, a Foreign Benefit Arrangement, or a Foreign Plan; and in each case in clauses (i) through (v) above, such event or condition, together with all other such events or conditions, if any, would reasonably be expected to result in a Material Adverse Effect; or (h) one or more judgments or decrees shall be entered against the Borrower or any Material Subsidiary involving in the aggregate a liability (not paid or fully covered by insurance as to which the relevant insurance company has not disputed coverage) of $75,000,000 or more, and all such judgments or decrees shall not have been vacated, discharged, stayed or bonded pending appeal within 60 consecutive days from the entry thereof; or (i) any of the Security Documents or the Intercreditor Agreements shall cease, for any reason, to be in full force and effect, or any Loan Party shall so assert, or any Lien created 112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25"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by any of the Security Documents on assets that constitute a material portion of the Collateral shall cease to be enforceable and of the same effect and priority purported to be created thereby (and, for the avoidance of doubt, as required by the Intercreditor Agreements), except (i) the release thereof as provided in the applicable Loan Document or Section 10.14 or (ii) as a result of the failure of the Administrative Agent to maintain possession of any stock certificates, promissory notes or other instruments delivered to it under the Guarantee and Collateral Agreement; or (j) the guarantee contained in Article II of the Guarantee and Collateral Agreement shall cease, for any reason, to be in full force and effect or any Loan Party shall so assert; or (k) the subordination provisions contained in any Subordinated Indebtedness with an aggregate principal amount in excess of $75,000,000 shall cease, for any reason, to be in full force and effect, or any Loan Party shall so assert; or (l) a Change of Control shall occur; then, and in any such event, (A) if such event is an Event of Default specified in clause (i) or (ii) of paragraph (f) above with respect to the Borrower, automatically the Commitments shall immediately terminate and the Loans (with accrued interest thereon) and all other amounts owing under this Agreement and the other Loan Documents shall immediately become due and payable, and (B) if such event is any other Event of Default, either or both of the following actions may be taken: with the consent of the Required Lenders, the Administrative Agent may, or upon the request of the Required Lenders, the Administrative Agent shall, by notice to the Borrower, declare the Loans (with accrued interest thereon) and all other amounts owing under this Agreement and the other Loan Documents to be due and payable forthwith, whereupon the same shall immediately become due and payable. Except as expressly provided above in this Section 8, presentment, demand, protest and all other notices of any kind are hereby expressly waived by the Borrower. In addition to any other rights and remedies granted to the Administrative Agent and the Lenders in the Loan Documents, the Administrative Agent on behalf of the Lenders may exercise all rights and remedies of a secured party under the New York Uniform Commercial Code or any other applicable law. Without limiting the generality of the foregoing, the Administrative Agent, without demand of performance or other demand, presentment, protest, advertisement or notice of any kind (except any notice required by law referred to below) to or upon any Loan Party or any other Person (all and each of which demands, defenses, advertisements and notices are hereby waived), may in such circumstances forthwith collect, receive, appropriate and realize upon the Collateral, or any part thereof, or consent to the use by the Loan Parties of any cash collateral arising in respect of the Collateral on such terms as the Administrative Agent deems reasonable, and/or may forthwith sell, lease, assign give an option or options to purchase or otherwise dispose of and deliver, or acquire by credit bid on behalf of the Lenders, the Collateral or any part thereof (or contract to do any of the foregoing), in one or more parcels at public or private sale or sales, at any exchange, broker’s board or office of the Administrative Agent or any Lender or elsewhere, upon such terms and conditions as it may deem advisable and at such prices as it may deem best, for cash or on credit or for future delivery, all without assumption of any credit risk. The Administrative Agent or any Lender shall have the right upon any such public sale or sales, and, to the extent permitted by law, upon any such private sale or sales, to purchase the whole or any part of the Collateral so sold, free of any right or equity of redemption in any Loan Party, which right or equity is hereby waived and released. The Borrower further agrees, at the Administrative Agent’s request, to assemble, or cause the applicable Loan Party to assemble, the Collateral and make it available to the Administrative Agent at places which the Administrative Agent shall reasonably select, whether at the Borrower’s or such Loan Party’s premises or elsewhere. The Administrative Agent shall apply the net proceeds of any action taken by it pursuant to this Section 8, after deducting all reasonable costs and 113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26"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expenses of every kind incurred in connection therewith or incidental to the care or safekeeping of any of the Collateral or in any other way relating to the Collateral or the rights of the Administrative Agent and the Lenders hereunder, including reasonable attorneys’ fees and disbursements, to the payment in whole or in part of the obligations of the Loan Parties under the Loan Documents, in such order as the Administrative Agent may elect, and only after such application and after the payment by the Administrative Agent of any other amount required by any provision of law, including Section 9-615(a)(3) of the New York UCC, need the Administrative Agent account for the surplus, if any, to any Loan Party. To the extent permitted by applicable law, the Borrower on behalf of itself and the other Loan Parties, waives all claims, damages and demands it or any other Loan Party may acquire against the Administrative Agent or any Lender arising out of the exercise by them of any rights hereunder. If any notice of a proposed sale or other disposition of Collateral shall be required by law, such notice shall be deemed reasonable and proper if given at least 10 days before such sale or other disposition. SECTION 9. THE AGENTS 9.1 Appointment. (a) 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provided, however, that the Administrative Agent shall not be required to take any action that (i) the Administrative Agent in good faith believes exposes it to liability unless the Administrative Agent receives an indemnification and is exculpated in a manner satisfactory to it from the Lenders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Lender in violation of any requirement of law relating to bankruptcy, insolvency or reorganization or relief of debtors; provided, further,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(b) Each Lender hereby irrevocably appoints the entity named as Administrative Agent in the heading of this Agreement and its successors and assigns to serve as the administrative agent under the Loan Documents and each Lender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Without limiting the foregoing, each Lender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 114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27"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In performing its functions and duties hereunder and under the other Loan Documents, the Administrative Agent is acting solely on behalf of the Lenders (except in limited circumstances expressly provided for herein relating to the maintenance of the Register), and its duties are entirely mechanical and administrative in nature. Without limiting the generality of the foregoing, the Administrative Agent does not assume and shall not be deemed to have assumed any obligation or duty or any other relationship as the agent, fiduciary or trustee of or for any Lender,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(d) Nothing in this Agreement or any Loan Document shall require the Administrative Agent to account to any Lender for any sum or the profit element of any sum received by the Administrative Agent for its own account. (e) 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 (f) The Arrangers shall have no obligations or duties whatsoever in such capacity under this Agreement or any other Loan Document and shall incur no liability hereunder or thereunder in such capacity, but all such persons shall have the benefit of the indemnities provided for hereunder. (g) In case of the pendency of any proceeding with respect to any Loan Party under any Federal, state or foreign bankruptcy, insolvency, receivership or similar law now or hereafter in effect,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(but not obligated) by intervention in such proceeding or otherwise: (i) 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under Sections 2.12, 2.13, 2.15, 2.17 and 9.3) allowed in such judicial proceeding; and 115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28" descr=""/>
                    <pic:cNvPicPr>
                      <a:picLocks noChangeAspect="1" noChangeArrowheads="1"/>
                    </pic:cNvPicPr>
                  </pic:nvPicPr>
                  <pic:blipFill>
                    <a:blip r:embed="rId1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to collect and receive any monies or other property payable or deliverable on any such claims and to distribute the same; and any custodian, receiver, assignee, trustee, liquidator, sequestrator or other similar official in any such proceeding is hereby authorized by each Lender and each other Secured Party to make such payments to the Administrative Agent and, in the event that the Administrative Agent shall consent to the making of such payments directly to the Lenders or the other Secured Parties, to pay to the Administrative Agent any amount due to it, in its capacity as the Administrative Agent, under the Loan Documents (including under Section 9.3). 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in any such proceeding. (h) The provisions of this Article are solely for the benefit of the Administrative Agent, the Lenders, and, except solely to the extent of the Borrower’s rights to consent pursuant to and subject to the conditions set forth in this Article, none of the Borrower or any Subsidiary, or any of their respective Affiliates, shall have any rights as a third party beneficiary under any such provisions. Each Secured Party, whether or not a party hereto, will be deemed, by its acceptance of the benefits of the Collateral and of the Guarantees of the Obligations provided under the Loan Documents, to have agreed to the provisions of this Article. 9.2 Administrative Agent’s Reliance, Indemnification, Etc.(b) (a) 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or for any failure of any Loan Party to perform its obligations hereunder or thereunder. (b) The Administrative Agent shall be deemed not to have knowledge of any Default unless and until written notice thereof (stating that it is a “notice of default”) is given to the Administrative Agent by the Borrower, a Lender, and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(iv) the sufficiency, validity, enforceability, effectiveness or genuineness of any Loan Document or any other agreement, instrument or document, (v)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116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29" descr=""/>
                    <pic:cNvPicPr>
                      <a:picLocks noChangeAspect="1" noChangeArrowheads="1"/>
                    </pic:cNvPicPr>
                  </pic:nvPicPr>
                  <pic:blipFill>
                    <a:blip r:embed="rId1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satisfactory to the Administrative Agent, (vi) the creation, perfection or priority of Liens on the Collateral or (vii) compliance by Affiliated Lenders with the terms hereof relating to Affiliated Lenders. (c) Without limiting the foregoing, the Administrative Agent (i) may treat the payee of any promissory note as its holder until such promissory note has been assigned in accordance with Section 9.5, (ii) may rely on the Register to the extent set forth in Section 10.6(b),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and shall not be responsible to any Lender for any statements, warranties or representations made by or on behalf of any Loan Party in connection with this Agreement or any other Loan Document, (v) in determining compliance with any condition hereunder to the making of a Loan by its terms must be fulfilled to the satisfaction of a Lender, may presume that such condition is satisfactory to such Lender unless the Administrative Agent shall have received notice to the contrary from such Lender sufficiently in advance of the making of such Loan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 9.3 Posting of Communications.(b) (a) The Borrower agrees that the Administrative Agent may, but shall not be obligated to, make any Communications available to the Lenders by posting the Communications on IntraLinks™, DebtDomain, SyndTrak, ClearPar or any other electronic platform chosen by the Administrative Agent to be its electronic transmission system (the “Approved Electronic Platform”). (b) Although the Approved Electronic Platform and its primary web portal are secured with generally-applicable security procedures and policies implemented or modified by the Administrative Agent from time to time (including, as of the Closing Date, a user ID/password authorization system) and the Approved Electronic Platform is secured through a per-deal authorization method whereby each user may access the Approved Electronic Platform only on a deal-by-deal basis, each of the Lenders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and the Borrower hereby approves distribution of the Communications through the Approved Electronic Platform and understands and assumes the risks of such distribution. (c) 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117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30" descr=""/>
                    <pic:cNvPicPr>
                      <a:picLocks noChangeAspect="1" noChangeArrowheads="1"/>
                    </pic:cNvPicPr>
                  </pic:nvPicPr>
                  <pic:blipFill>
                    <a:blip r:embed="rId1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ARRANGERS OR ANY OF THEIR RESPECTIVE RELATED PARTIES (COLLECTIVELY, “APPLICABLE PARTIES”) HAVE ANY LIABILITY TO ANY LOAN PARTY, ANY LENDER,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 (d) Each Lender agrees that notice to it (as provided in the next sentence) specifying that Communications have been posted to the Approved Electronic Platform shall constitute effective delivery of the Communications to such Lender for purposes of the Loan Documents. Each Lender agrees (i) to notify the Administrative Agent in writing (which could be in the form of electronic communication) from time to time of such Lender’s email address to which the foregoing notice may be sent by electronic transmission and (ii) that the foregoing notice may be sent to such email address. (e) Each of the Lenders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 (f) Nothing herein shall prejudice the right of the Administrative Agent or any Lender to give any notice or other communication pursuant to any Loan Document in any other manner specified in such Loan Document. 9.4 The Administrative Agent Individually. With respect to its Commitment and Loans, the Person serving as the Administrative Agent shall have and may exercise the same rights and powers hereunder and is subject to the same obligations and liabilities as and to the extent set forth herein for any other Lender, as the case may be. The terms “Lenders”, “Required Lenders” and any similar terms shall, unless the context clearly otherwise indicates, include the Administrative Agent in its individual capacity as a Lender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the Borrower, any Subsidiary or any Affiliate of any of the foregoing as if such Person was not acting as the Administrative Agent and without any duty to account therefor to the Lenders. 9.5 Successor Administrative Agent.(b) (a) The Administrative Agent may resign at any time by giving 30 days’ prior written notice thereof to the Lenders and the Borrower,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appoint a successor Administrative Agent, which shall be a bank with an office in New York, New York or an Affiliate of any such bank. In either case, (i) such appointment shall be subject to the prior written approval of the Borrower (which approval may not be unreasonably withheld and shall not be required while an Event of Default has occurred and is continuing) and (ii) in no event shall a successor Administrative Agent be a Disqualified Lender.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118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31" descr=""/>
                    <pic:cNvPicPr>
                      <a:picLocks noChangeAspect="1" noChangeArrowheads="1"/>
                    </pic:cNvPicPr>
                  </pic:nvPicPr>
                  <pic:blipFill>
                    <a:blip r:embed="rId1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 (b) Notwithstanding paragraph (a) of this Section 9.5,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and the Borrower, whereupon, on the date of effectiveness of such resignation stated in such notice, (i) the retiring Administrative Agent shall be discharged from its duties and obligations hereunder and under the other Loan Documents; provided that, solely for purposes of maintaining any security interest granted to the Administrative Agent under any Security Document for the benefit of the Secured Parties, the retiring Administrative Agent shall continue to be vested with such security interest as collateral agent for the benefit of the Secured Parties, and continue to be entitled to the rights set forth in such Security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9.5 (it being understood and agreed that the retiring Administrative Agent shall have no duty or obligation to take any further action under any Security Document, including any action required to maintain the perfection of any such security interest), and (ii) the Required Lenders shall succeed to and become vested with all the rights, powers, privileges and duties of the retiring Administrative Agent; provided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Following the effectiveness of the Administrative Agent’s resignation from its capacity as such, the provisions of this Article and Section 10.3,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proviso under clause (i) above. 9.6 Acknowledgements of Lenders.(b) (a) Each Lender represents that it is engaged in making, acquiring or holding commercial loans in the ordinary course of its business and that it has, independently and without reliance upon the Administrative Agent, the Arrangers or any other Lender, or any of the Related Parties of any of the foregoing, and based on such documents and information as it has deemed appropriate, made its own credit analysis and decision to enter into this Agreement as a Lender, and to make, acquire or hold Loans hereunder. Each Lender also acknowledges that it will, independently and without reliance upon the Administrative Agent, the Arrangers or any other Lender,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 (c) Each Lender, by delivering its signature page to this Agreement on the Closing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119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32" descr=""/>
                    <pic:cNvPicPr>
                      <a:picLocks noChangeAspect="1" noChangeArrowheads="1"/>
                    </pic:cNvPicPr>
                  </pic:nvPicPr>
                  <pic:blipFill>
                    <a:blip r:embed="rId1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delivered to, or be approved by or satisfactory to, the Administrative Agent or the Lenders on the Closing Date. (d) (i)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“Payment”)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9.6(c) shall be conclusive, absent manifest error. (ii) 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“Payment Notice”)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(iii) The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 (iv) Each party’s obligations under this Section 9.6(c) shall survive the resignation or replacement of the Administrative Agent or any transfer of rights or obligations by, or the replacement of, a Lender, the termination of the Commitments or the repayment, satisfaction or discharge of all Obligations under any Loan Document. 9.7 Collateral Matters.(b) (a) Except with respect to the exercise of setoff rights in accordance with Section 9.8 or with respect to a Secured Party’s right to file a proof of claim in an 120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33" descr=""/>
                    <pic:cNvPicPr>
                      <a:picLocks noChangeAspect="1" noChangeArrowheads="1"/>
                    </pic:cNvPicPr>
                  </pic:nvPicPr>
                  <pic:blipFill>
                    <a:blip r:embed="rId1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insolvency proceeding, no Secured Party shall have any right individually to realize upon any of the Collateral or to enforce any Guarantee of the Obligations, it being understood and agreed that all powers, rights and remedies under the Loan Documents may be exercised solely by the Administrative Agent on behalf of the Secured Parties in accordance with the terms thereof. (b) The Secured Parties irrevocably authorize the Administrative Agent, at its option and in its discretion, to subordinate any Lien on any property granted to or held by the Administrative Agent under any Loan Document to the holder of any Lien on such property that is permitted by Section 7.3.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 9.8 Credit Bidding.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9.2 of this Agreement), (iv) 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121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34" descr=""/>
                    <pic:cNvPicPr>
                      <a:picLocks noChangeAspect="1" noChangeArrowheads="1"/>
                    </pic:cNvPicPr>
                  </pic:nvPicPr>
                  <pic:blipFill>
                    <a:blip r:embed="rId1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 9.9 Certain ERISA Matters. (a) 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 (i) such Lender is not using “plan assets” (within the meaning of the Plan Asset Regulations or otherwise) of one or more Benefit Plans with respect to such Lender’s entrance into, participation in, administration of and performance of the Loans, the Commitments, or this Agreement, (ii)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 (iii)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 (iv) such other representation, warranty and covenant as may be agreed in writing between the Administrative Agent, in its sole discretion, and such Lender. (b) In addition, unless sub-clause (i) in the immediately preceding clause (a) is true with respect to a Lender or such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122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35" descr=""/>
                    <pic:cNvPicPr>
                      <a:picLocks noChangeAspect="1" noChangeArrowheads="1"/>
                    </pic:cNvPicPr>
                  </pic:nvPicPr>
                  <pic:blipFill>
                    <a:blip r:embed="rId1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Lender party hereto, for the benefit of the Administrative Agent, and not, for the avoidance of doubt, to or for the benefit of the Borrower or any other Loan Party, that the Administrative Agent is not a fiduciary with respect to the Collateral or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 SECTION 10. MISCELLANEOUS 10.1 Amendments and Waivers. Subject to Sections 2.16(b) through (f), neither this Agreement, any other Loan Document, nor any terms hereof or thereof may be amended, supplemented or modified except in accordance with the provisions of this Section 10.1. The Required Lenders and each Loan Party party to the relevant Loan Document may, or, with the written consent of the Required Lenders, the Administrative Agent and each Loan Party party to the relevant Loan Document may, from time to time, (a) 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(b) waive, on such terms and conditions as the Required Lenders or the Administrative Agent, as the case may be, may specify in such instrument, any of the requirements of this Agreement or the other Loan Documents or any Default or Event of Default and its consequences; provided, however, that no such waiver and no such amendment, supplement or modification shall (i) forgive the principal amount or extend the final scheduled date of maturity of any Loan, extend the scheduled date of any amortization payment in respect of any Term Loan, reduce the stated rate of any interest or fee payable hereunder (except (x) in connection with the waiver of applicability of any post-default increase in interest rates (which waiver shall be effective with the consent of the Majority Facility Lenders of each adversely affected Facility) and (y) that any amendment or modification of defined terms used in the financial covenants in this Agreement shall not constitute a reduction in the rate of interest or fees for purposes of this clause (i)) or extend the scheduled date of any payment thereof, or increase the amount or extend the expiration date of any Lender’s Commitment, in each case without the written consent of each Lender directly affected thereby; (ii) eliminate or reduce the voting rights of any Lender under this Section 10.1 without the written consent of such Lender; (iii) reduce any percentage specified in the definition of “Required Lenders” without the written consent of each Lender, reduce any percentage specified in the definition of “Majority Facility Lenders” without the written consent of each Lender of the applicable Facility or change any other provision of this Agreement or any other Loan Document specifying the number or percentage of Lenders (or Lenders of any Facility) required to waive, amend or otherwise modify any rights thereunder or make any determination or grant any consent thereunder without the written consent of each Lender (or each Lender of the applicable Facility, as applicable), (iv) consent to the assignment or transfer by the Borrower of any of its rights and obligations under this Agreement and the other Loan Documents, release all or substantially all of the Collateral or release all or substantially all of the value of the guarantees provided by the Subsidiary Guarantors taken as a whole, in each case without the written consent of all Lenders; (v) amend, modify or waive any provision of Section 2.17 or Section 6.4 of the Guarantee and Collateral Agreement, in each case without the written consent of each Lender adversely affected thereby; or (vi) amend, modify or waive any provision of Section 9 or any other provision of any Loan Document that affects the Administrative Agent without the written consent of the Administrative Agent. Any such waiver and any such amendment, supplement or modification shall apply equally to each of the Lenders and shall be binding upon the Loan Parties, the Lenders, the Administrative Agent and all future holders of the Loans. In the case of any waiver, the Loan Parties, the Lenders and the Administrative Agent shall be restored to their former position and rights hereunder and under the other Loan Documents, and any Default or Event of Default waived shall 123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36" descr=""/>
                    <pic:cNvPicPr>
                      <a:picLocks noChangeAspect="1" noChangeArrowheads="1"/>
                    </pic:cNvPicPr>
                  </pic:nvPicPr>
                  <pic:blipFill>
                    <a:blip r:embed="rId1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124 4853-9823-7033 v.2 with a copy to: Sullivan &amp; Cromwell LLP 125 Broad Street New York, New York 10004 Attention: Ari B. Blaut Facsimile: (212) 291-9219 E-mail: blauta@sullcrom.com Borrower: Administrative Agent: Rent-A-Center, Inc. 5501 Headquarters Drive Plano, Texas 75024 Attention: Maureen B. Short, Chief Financial Officer Facsimile: (972) 943-0116 E-mail: Maureen.short@rentacenter.com JPMorgan Chase Bank, N.A. Mail Code IL1-0010, L2 Floor JPM Loan &amp; Agency Services 10131 S. Dearborn Street, Floor 04 Chicago, IL 6060360603-5506 Attention: Corina RamosLoan and Agency Servicing Facsimile: (844) 490-5663 be deemed to be cured and not continuing; but no such waiver shall extend to any subsequent or other Default or Event of Default, or impair any right consequent thereon. Notwithstanding the foregoing, this Agreement may be amended (or amended and restated) with the written consent of the Required Lenders, the Administrative Agent and the Borrower (a) to add one or more additional credit facilities to this Agreement and to permit the extensions of credit from time to time outstanding thereunder and the accrued interest and fees in respect thereof to share in the benefits of this Agreement and the other Loan Documents with the Term Loans and the accrued interest and fees in respect thereof and (b) to include appropriately the Lenders holding such credit facilities in any determination of the Required Lenders and Majority Facility Lenders. Furthermore, notwithstanding the foregoing, (i) the Administrative Agent, with the consent of the Borrower, may amend, modify or supplement any Loan Document without the consent of any Lender or the Required Lenders in order to correct, amend or cure any ambiguity, inconsistency or defect or correct any typographical error or other manifest error in any Loan Document and (ii) the Loan Documents may be amended in accordance with Sections 2.24, 2.25, 2.26 and 2.27. 10.2 Notices. All notices, requests and demands to or upon the respective parties hereto to be effective shall be in writing (including by facsimile or e-mail), and, unless otherwise expressly provided herein, shall be deemed to have been duly given or made when delivered, or three Business Days after being deposited in the mail, postage prepaid, or, in the case of facsimile or e-mail notice, when sent (except that, if not given during normal business hours for the recipient, shall be deemed to have been given at the opening of business on the next Business Day for the recipient), addressed as follows in the case of the Borrower and the Administrative Agent, and as set forth in an administrative questionnaire delivered to the Administrative Agent in the case of the Lenders, or to such other address as may be hereafter notified by the respective parties 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37" descr=""/>
                    <pic:cNvPicPr>
                      <a:picLocks noChangeAspect="1" noChangeArrowheads="1"/>
                    </pic:cNvPicPr>
                  </pic:nvPicPr>
                  <pic:blipFill>
                    <a:blip r:embed="rId1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125 4853-9823-7033 v.2 E-mail: corina.c.ramos@chase.com; jpm.agency.cri@jpmorgan.comAgency Withholding Tax Inquiries: Email: agency.tax.reporting@jpmorgan.com Agency Compliance/Financials/Intralinks Email: covenant.compliance@jpmchase.com Notices and other communications to the Lenders hereunder may be delivered or furnished by electronic communications pursuant to procedures approved by the Administrative Agent; provided that the foregoing shall not apply to notices delivered to any Lender pursuant to Section 2 if such Lender has notified the Administrative Agent that it is incapable of receiving notices under such Section by electronic communication. The Administrative Agent or the Borrower may, in its discretion, agree to accept notices and other communications to it hereunder by electronic communications pursuant to procedures approved by it; provided that approval of such procedures may be limited to particular notices or communications. 10.3 No Waiver; Cumulative Remedies.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 10.4 Survival of Representations and Warranties.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 10.5 Payment of Expenses and Taxes; Indemnification; Limitation of Liability. The Borrower agrees (a) to pay or reimburse the Administrative Agent and the Arrangers for all of their respective reasonable and documented out-of-pocket costs and expenses incurred in connection with the syndication of the Initial Term Facility and the development, preparation and execution of, and any amendment, supplement or modification to, this Agreement and the other Loan Documents and any other documents prepared in connection herewith or therewith, and the consummation and administration of the transactions contemplated hereby and thereby, in the case of legal fees and expenses limited to the reasonable and documented fees, disbursements and other charges of one primary counsel to the Administrative Agent and the Arrangers and, if necessary, one local counsel in each applicable jurisdiction and filing and recording fees and expenses, with statements with respect to the foregoing to be submitted to the Borrower prior to the Closing Date (in the case of amounts to be paid on the Closing Date) and from time to time thereafter on a quarterly basis or such other periodic basis as the Administrative Agent shall deem appropriate, (b) to pay or reimburse each Lender and the Administrative Agent for its reasonable and documented costs and out-of-pocket expenses incurred in connection with the enforcement or preservation of any rights under this Agreement, the other Loan Documents and any such other documents, in the case of legal fees and expenses limited to the reasonable and documented fees, disbursements and other charges of one outside counsel to the Administrative Agent and the Lenders as a whole and in the case of a conflict of interest, one additional counsel to the affected Lenders, taken as a whole, (c) to pay, indemnify, and hold each Lender and the Administrative Agent harmless from, any and all recording and filing fees and any and all liabilities with respect to, or resulting from any delay in paying, stamp, excise and other Taxes, if any, that may be payable or determined to be payable in connection with the execution and delivery of, or consummation or administration of any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38" descr=""/>
                    <pic:cNvPicPr>
                      <a:picLocks noChangeAspect="1" noChangeArrowheads="1"/>
                    </pic:cNvPicPr>
                  </pic:nvPicPr>
                  <pic:blipFill>
                    <a:blip r:embed="rId1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transactions contemplated by, or any amendment, supplement or modification of, or any waiver or consent under or in respect of, this Agreement, the other Loan Documents and any such other documents, and (d) to pay, indemnify, and hold each Lender, each Arranger and the Administrative Agent, their respective affiliates, and their respective officers, directors, employees, agents, advisors and controlling persons (each, an “Indemnitee”) harmless from and against any and all other liabilities, obligations, losses, claims, damages, penalties, actions, judgments, suits, costs, expenses or disbursements of any kind or nature whatsoever with respect to the execution, delivery, enforcement, performance and administration of this Agreement, the other Loan Documents and any such other documents, including any claim, litigation, investigation or proceeding regardless of whether any Indemnitee is a party thereto and whether or not the same are brought by the Borrower, its equity holders, affiliates or creditors or any other Person, including any of the foregoing relating to the use of proceeds of the Loans or the violation of, noncompliance with or liability under, any Environmental Law applicable to any Group Member or its operations or properties, and the reasonable and documented fees, disbursements and other charges of legal counsel (limited to reasonable and documented fees, disbursements and other charges of one primary counsel for all Indemnitees, taken as a whole, and, if necessary, one firm of local counsel in each applicable jurisdiction (which may include a single special counsel acting in multiple jurisdictions) for all Indemnitees, taken as a whole (and, in the case of an actual or potential conflict of interest, where an Indemnitee affected by such conflict informs the Borrower of such conflict and thereafter retains its own counsel, of another firm of counsel for all such affected Indemnitees similarly situated and, if necessary, one firm of local counsel in each applicable jurisdiction (which may include a single special counsel acting in multiple jurisdictions) for all such affected Indemnitees similarly situated)) in connection with claims, actions or proceedings by any Indemnitee against any Loan Party under any Loan Document (all the foregoing in this clause (d), collectively, the “Indemnified Liabilities”), provided, that the Borrower shall have no obligation hereunder to any Indemnitee with respect to Indemnified Liabilities to the extent such Indemnified Liabilities are found by a final and nonappealable decision of a court of competent jurisdiction to have resulted from (x) the bad faith, gross negligence or willful misconduct of such Indemnitee (or any of its Affiliates, officers, directors, employees, agents, advisors or controlling persons), (y) a material breach by such Indemnitee of its obligations under the Loan Documents or (z) disputes or proceedings that are brought by an Indemnitee against any other Indemnitee (other than any claims against an Arranger or the Administrative Agent in its capacity or in fulfilling its roles as an Arranger or Administrative Agent hereunder or any similar role with respect to any Facility) to the extent such disputes do not arise from any act or omission of any Loan Party or any of its Affiliates, and provided, further, that this Section 10.5(d) shall not apply with respect to Taxes other than any Taxes that represent losses or damages arising from any non-Tax claim. Except as provided in this Section 10.5, and to the extent permitted by applicable law, the Borrower agrees not to assert and to cause its Subsidiaries not to assert, and hereby waives and agrees to cause its Subsidiaries to waive, all rights for contribution or any other rights of recovery with respect to all claims, demands, penalties, fines, liabilities, settlements, damages, costs and expenses of whatever kind or nature, arising under any Environmental Laws, that any of them has by statute or otherwise against any Indemnitee. To the extent permitted by applicable law (i) the Borrower shall not assert, and the Borrower hereby waives, any claim against the Administrative Agent, any Arranger, and any Lender, and any Related Party of any of the foregoing Persons (each such Person being called a “Lender-Related Person”) for any Liabilities arising from the use by others of information or other materials (including any personal data) obtained through telecommunications, electronic or other information transmission systems (including the Internet), except to the extent such Liabilities are found by a final and nonappealable decision of a court of competent jurisdiction to have resulted from (x) the bad faith, gross negligence or willful misconduct of such Person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126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39" descr=""/>
                    <pic:cNvPicPr>
                      <a:picLocks noChangeAspect="1" noChangeArrowheads="1"/>
                    </pic:cNvPicPr>
                  </pic:nvPicPr>
                  <pic:blipFill>
                    <a:blip r:embed="rId1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instrument contemplated hereby or thereby, the Transactions, any Loan or the use of the proceeds thereof; provided that, nothing in this paragraph shall relieve the Borrower of any obligation it may have to indemnify an Indemnitee, as provided in the foregoing paragraph, against any special, indirect, consequential or punitive damages asserted against such Indemnitee by a third party. All amounts due under this Section 10.5 shall be payable not later than 30 days after receipt of written demand therefor together with reasonably detailed backup documentation. The agreements in this Section 10.5 shall survive the termination of this Agreement and the repayment of the Loans and all other amounts payable hereunder. 10.6 Successors and Assigns; Participations and Assignments. (a) The provisions of this Agreement shall be binding upon and inure to the benefit of the parties hereto and their respective successors and assigns permitted hereby,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10.6. (b) (i) Subject to the conditions set forth in paragraph (b)(ii) below, after the Closing Date any Lender may assign to one or more Eligible Assignees (each, an “Assignee”), all or a portion of its rights and obligations under this Agreement (including all or a portion of its Commitments and the Loans at the time owing to it) with the prior written consent of: (A) the Borrower (such consent not to be unreasonably withheld), provided that no consent of the Borrower shall be required for an assignment to a Lender, an affiliate of a Lender, an Approved Fund (as defined below) or, if a Specified Event of Default has occurred and is continuing, any other Person; and provided, further, that the Borrower shall be deemed to have consented to any such assignment unless the Borrower shall object thereto by written notice to the Administrative Agent within 10 Business Days after having received notice thereof; and (B) the Administrative Agent, provided that no consent of the Administrative Agent shall be required for an assignment of all or any portion of a Term Loan to a Lender, an affiliate of a Lender or an Approved Fund. (ii) Assignments shall be subject to the following additional conditions: (A) except in the case of an assignment to a Lender, an affiliate of a Lender or an Approved Fund or an assignment of the entire remaining amount of the assigning Lender’s Commitments or Loans under any Facility, the amount of the Commitments or Loans of the assigning Lender subject to each such assignment (determined as of the date the Assignment and Assumption with respect to such assignment is delivered to the Administrative Agent) shall not be less than $1,000,000) unless each of the Borrower and the Administrative Agent otherwise consent, provided that (1) no such consent of the Borrower shall be required if a Specified Event of Default has occurred and is continuing and (2) such amounts shall be aggregated in respect of each Lender and its affiliates or Approved Funds, if any; (B) (1) the parties to each assignment shall execute and deliver to the Administrative Agent an Assignment and Assumption, together with a processing 127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40" descr=""/>
                    <pic:cNvPicPr>
                      <a:picLocks noChangeAspect="1" noChangeArrowheads="1"/>
                    </pic:cNvPicPr>
                  </pic:nvPicPr>
                  <pic:blipFill>
                    <a:blip r:embed="rId1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and recordation fee of $3,500 and (2) the assigning Lender shall have paid in full any amounts owing by it to the Administrative Agent; and (C) 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Affiliates and their related parties or their respective securities) will be made available and who may receive such information in accordance with the Assignee’s compliance procedures and applicable laws, including Federal and state securities laws. For the purposes of this Section 10.6, “Approved Fund”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 (iii) 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2.18, 2.19, 2.20 and 10.5).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 (c) of this Section 10.6. (iv) The Administrative Agent, acting for this purpose as an agent of the Borrower, shall maintain at one of its offices a copy of each Assignment and Assumption delivered to it and a register for the recordation of the names and addresses of the Lenders and the principal amount (and stated interest) of the Loans owing to each Lender pursuant to the terms hereof from time to time (the “Register”).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(v) 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10.6 and any written consent to such assignment required by paragraph (b) of this Section 10.6, the Administrative Agent shall accept such Assignment and Assumption and record the information contained therein in the Register. No assignment shall be effective for purposes of this Agreement unless it has been recorded in the Register as provided in this paragraph. (vi) Each assignee, by its execution and delivery of an Assignment and Assumption, shall be deemed to have represented to the assigning Lender and the Administrative Agent that such assignee is an Eligible Assignee. In no event shall the Administrative Agent be 128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41" descr=""/>
                    <pic:cNvPicPr>
                      <a:picLocks noChangeAspect="1" noChangeArrowheads="1"/>
                    </pic:cNvPicPr>
                  </pic:nvPicPr>
                  <pic:blipFill>
                    <a:blip r:embed="rId1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obligated to ascertain, monitor or inquire as to whether any prospective assignee is an Eligible Assignee or have any liability with respect to any assignment made to a Disqualified Lender or any other Person that is not an Eligible Assignee (c) Any Lender may, without the consent of the Borrower or the Administrative Agent, sell participations to one or more Eligible Assignees (a “Participant”) in all or a portion of such Lender’s rights and obligations under this Agreement (including all or a portion of its Commitments and the Loans owing to it); provided that (i) such Lender’s obligations under this Agreement shall remain unchanged, (ii) such Lender shall remain solely responsible to the other parties hereto for the performance of such obligations, and (iii) the Borrower, the Administrative Agent and the other Lenders shall continue to deal solely and directly with such Lender in connection with such Lender’s rights and obligations under this Agreement. Any agreement pursuant to which a Lender sells such a participation shall provide that such Lender shall retain the sole right to enforce this Agreement and to approve any amendment, modification or waiver of any provision of this Agreement; provided that such agreement may provide that such Lender will not, without the consent of the Participant, agree to any amendment, modification or waiver that (i) requires the consent of each Lender directly affected thereby pursuant to the proviso to the second sentence of Section 10.1 and (ii) directly affects such Participant. Each Lender that sells a participation agrees, at the Borrower’s request and expense, to use reasonable efforts to cooperate with the Borrower to effectuate the provisions of Section 2.22 with respect to any Participant. The Borrower agrees that each Participant shall be entitled to the benefits of Sections 2.18, 2.19 and 2.20 (subject to the requirements and limitations therein, including the requirements under Section 2.19(f) (it being understood that the documentation required under Section 2.19(f) shall be delivered to the participating Lender)) to the same extent as if it were a Lender and had acquired its interest by assignment pursuant to paragraph (b) of this Section 10.6; provided that such Participant (i) agrees to be subject to the provisions of Sections 2.18 and 2.19 as if it were an assignee under paragraph (b) of this Section 10.6 and (ii) shall not be entitled to receive any greater payment under Sections 2.18 or 2.19, with respect to any participation, than its participating Lender would have been entitled to receive, except to the extent that such entitlement to receive a greater payment results from an adoption of or any change in any Requirement of Law or in the interpretation or application thereof or compliance by any Lender with any request or directive (whether or not having the force of law) from any central bank or other Governmental Authority made subsequent to the Closing Date that occurs after the Participant acquired the applicable participation. To the extent permitted by law, each Participant also shall be entitled to the benefits of Section 10.7(b) as though it were a Lender, provided such Participant shall be subject to Section 10.7(a)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“Participant Register”); provided that no Lender shall have any obligation to disclose all or any portion of the Participant Register to any Person (including the identity of any Participant or any information relating to a Participant’s interest in any Commitments, Loans or its other obligations under any Loan Document)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(d) Any Lender may at any time pledge or assign a security interest in all or any portion of its rights under this Agreement to secure obligations of such Lender, including any pledge or assignment to secure obligations to a Federal Reserve Bank or any other central banking authority, and 129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42" descr=""/>
                    <pic:cNvPicPr>
                      <a:picLocks noChangeAspect="1" noChangeArrowheads="1"/>
                    </pic:cNvPicPr>
                  </pic:nvPicPr>
                  <pic:blipFill>
                    <a:blip r:embed="rId1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Section 10.6 shall not apply to any such pledge or assignment of a security interest; provided that no such pledge or assignment of a security interest shall release a Lender from any of its obligations hereunder or substitute any such pledgee or Assignee for such Lender as a party hereto. The Borrower, upon receipt of written notice from the relevant Lender, agrees to issue Notes to any Lender requiring Notes to facilitate transactions of the type described in this paragraph (d). (e) Any Lender may, so long as no Default or Event of Default has occurred and is continuing and no proceeds of ABL Loans are used, directly or indirectly, to fund the consideration for any such assignment, at any time assign all or a portion of its rights and obligations with respect to Term Loans under a Facility under this Agreement to the Borrower through, notwithstanding any other provision of this Agreement, privately negotiated transactions or open market purchases on a non pro rata basis; provided that, (A) any Term Loans assigned to the Borrower shall be automatically and permanently cancelled upon the effectiveness of such assignment and will thereafter no longer be outstanding for any purpose hereunder, and such Term Loans may not be resold (it being understood and agreed that any gains or losses by the Borrower upon purchase or acquisition and cancellation of such Term Loans shall not be taken into account in the calculation of Excess Cash Flow, Consolidated Net Income or Consolidated EBITDA) and (B) the Borrower shall promptly provide notice to the Administrative Agent of such assignment of such Term Loans and the Administrative Agent, upon receipt of such notice, shall reflect the cancellation of the applicable Term Loans in the Register. (f) The list of Disqualified Lenders (i) shall be made available to the Lenders by posting on IntraLinks/IntraAgency or another relevant Internet or intranet website, if any, to which each Lender and the Administrative Agent have access (whether a commercial, third-party website or whether sponsored by the Administrative Agent) and (ii) shall be provided to any Lender upon request by such Lender to the Administrative Agent. A Lender may provide the list of Disqualified Lenders to any potential assignee or participant on a confidential basis in accordance with Section 10.15 hereof for the purpose of verifying whether such Person is a Disqualified Lender. (g) (i) If any assignment or participation is made to any Disqualified Lender in violation of this Section 10.6, the Borrower may, at its sole expense and effort, upon notice to the applicable Disqualified Lender and the Administrative Agent, (A) purchase or prepay such Term Loan by paying the lowest of (x) the principal amount thereof and (y) the amount that such Disqualified Lender paid to acquire such Term Loans, in each case plus accrued interest, accrued fees and all other amounts (other than principal amounts) payable to it hereunder and/or (B) require such Disqualified Lender to assign, without recourse (in accordance with and subject to the restrictions contained in this Section 10.6), all of its interest, rights and obligations under this Agreement to one or more Eligible Assignees at the lowest of (x) the principal amount thereof and (y) the amount that such Disqualified Lender paid to acquire such interests, rights and obligations, in each case plus accrued interest, accrued fees and all other amounts (other than principal amounts) payable to it hereunder. (ii) Notwithstanding anything to the contrary contained in this Agreement, Disqualified Lenders (A) will not (x) have the right to receive information, reports or other materials provided to Lenders by the Borrower,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Lender will be deemed to have consented in the same proportion as the Lenders that are not Disqualified Lender consented to such matter, and (y) for purposes of voting 130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43" descr=""/>
                    <pic:cNvPicPr>
                      <a:picLocks noChangeAspect="1" noChangeArrowheads="1"/>
                    </pic:cNvPicPr>
                  </pic:nvPicPr>
                  <pic:blipFill>
                    <a:blip r:embed="rId1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on any Bankruptcy Plan, each Disqualified Lender party hereto hereby agrees (1) not to vote on such Bankruptcy Plan, (2) if such Disqualified Lender does vote on such Bankruptcy Plan notwithstanding the restriction in the foregoing clause (1),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Bankruptcy Plan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clause (2). 10.7 Adjustments; Set-off. (a) Except to the extent that this Agreement or a court order expressly provides for payments to be allocated to a particular Lender or to the Lenders under a particular Facility, if any Lender (a “Benefitted Lender”) shall receive any payment of all or part of the Obligations owing to it (other than in connection with an assignment made pursuant to Section 10.6), or receive any collateral in respect thereof (whether voluntarily or involuntarily, by set-off, pursuant to events or proceedings of the nature referred to in Section 8(f), or otherwise), in a greater proportion than any such payment to or collateral received by any other Lender, if any, in respect of the Obligations owing to such other Lender, such Benefitted Lender shall purchase for cash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provided, however, that if all or any portion of such excess payment or benefits is thereafter recovered from such Benefitted Lender, such purchase shall be rescinded, and the purchase price and benefits returned, to the extent of such recovery, but without interest. (b) In addition to any rights and remedies of the Lenders provided by law, each Lender shall have the right, without notice to the Borrower, any such notice being expressly waived by the Borrower to the extent permitted by applicable law, upon any Obligations becoming due and payable by the Borrower (whether at the stated maturity, by acceleration or otherwise), to apply to the payment of such Obligations, by setoff or otherwise, any and all deposits (general or special, time or demand, provisional or final), in any currency, and any other credits, indebtedness or claims, in any currency, in each case whether direct or indirect, absolute or contingent, matured or unmatured, at any time held or owing by such Lender, any affiliate thereof or any of their respective branches or agencies to or for the credit or the account of the Borrower. Each Lender agrees promptly to notify the Borrower and the Administrative Agent after any such application made by such Lender, provided that the failure to give such notice shall not affect the validity of such application. 10.8 Counterparts; Electronic Execution. This Agreement may be executed by one or more of the parties to this Agreement on any number of separate counterparts, and all of said counterparts taken together shall be deemed to constitute one and the same instrument. Delivery of an executed counterpart of a signature page of (x) this Agreement, (y) any other Loan Document and/or (z) any document, amendment, approval, consent, information, notice (including, for the avoidance of doubt, any notice delivered pursuant to Section 10.2), certificate, request, statement, disclosure or authorization related to this Agreement, any other Loan Document and/or the transactions contemplated hereby and/or thereby (each an “Ancillary Document”)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131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44" descr=""/>
                    <pic:cNvPicPr>
                      <a:picLocks noChangeAspect="1" noChangeArrowheads="1"/>
                    </pic:cNvPicPr>
                  </pic:nvPicPr>
                  <pic:blipFill>
                    <a:blip r:embed="rId1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A set of the copies of this Agreement signed by all the parties shall be lodged with the Borrower and the Administrative Agent. Without limiting the generality of the foregoing, the Borrower and each Loan Party hereby (i) agrees that, for all purposes, including in connection with any workout, restructuring, enforcement of remedies, bankruptcy proceedings or litigation among the Administrative Agent, the Lenders, the Borrower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Loan Party to use any available security measures in connection with the execution, delivery or transmission of any Electronic Signature 10.9 Severability.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10.10 Integration. This Agreement and the other Loan Documents represent the entire agreement of the Borrower,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 10.11 GOVERNING LAW. THIS AGREEMENT AND THE RIGHTS AND OBLIGATIONS OF THE PARTIES UNDER THIS AGREEMENT SHALL BE GOVERNED BY, AND 132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45" descr=""/>
                    <pic:cNvPicPr>
                      <a:picLocks noChangeAspect="1" noChangeArrowheads="1"/>
                    </pic:cNvPicPr>
                  </pic:nvPicPr>
                  <pic:blipFill>
                    <a:blip r:embed="rId1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CONSTRUED AND INTERPRETED IN ACCORDANCE WITH, THE LAW OF THE STATE OF NEW YORK. 10.12 Submission To Jurisdiction; Waivers. Each of the parties hereto hereby irrevocably and unconditionally: (a) submits for itself and its property in any legal action or proceeding relating to this Agreement and the other Loan Documents to which it is a party, or for recognition and enforcement of any judgment in respect thereof,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provided, that nothing contained herein or in any other Loan Document will prevent any Lender or the Administrative Agent from bringing any action to enforce any award or judgment or exercise any right under the Security Documents or against any Collateral or any other property of any Loan Party in any other forum in which jurisdiction can be established; (b)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(c) agrees that service of process in any such action or proceeding may be effected by mailing a copy thereof by registered or certified mail (or any substantially similar form of mail), postage prepaid, in the manner set forth in Section 10.2; (d) agrees that nothing herein shall affect the right to effect service of process in any other manner permitted by law; and (e) waives, to the maximum extent not prohibited by law, any right it may have to claim or recover in any legal action or proceeding referred to in this Section 10.12 any indirect, special, exemplary, punitive or consequential damages. 10.13 Acknowledgements. The Borrower hereby acknowledges and agrees that (a) no fiduciary, advisory or agency relationship between the Loan Parties and the Credit Parties is intended to be or has been created in respect of any of the transactions contemplated by this Agreement or the other Loan Documents, irrespective of whether the Credit Parties have advised or are advising the Loan Parties on other matters, and the relationship between the Credit Parties, on the one hand, and the Loan Parties, on the other hand, in connection herewith and therewith is solely that of creditor and debtor, (b) the Credit Parties, on the one hand, and the Loan Parties, on the other hand, have an arm’s length business relationship that does not directly or indirectly give rise to, nor do the Loan Parties rely on, any fiduciary duty to the Loan Parties or their affiliates on the part of the Credit Parties, (c) the Loan Parties are capable of evaluating and understanding, and the Loan Parties understand and accept, the terms, risks and conditions of the transactions contemplated by this Agreement and the other Loan Documents, (d) the Loan Parties have been advised that the Credit Parties are engaged in a broad range of transactions that may involve interests that differ from the Loan Parties’ interests and that the Credit Parties have no obligation to disclose such interests and transactions to the Loan Parties, (e) the Loan Parties have consulted their own legal, accounting, regulatory and tax advisors to the extent the Loan Parties have deemed appropriate in the negotiation, execution and delivery of this Agreement and the other Loan Documents, (f) each Credit Party has been, is, and will be acting solely as a principal and, except as otherwise expressly agreed in writing by it and the relevant parties, has not been, is not, and will not be 133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6"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46" descr=""/>
                    <pic:cNvPicPr>
                      <a:picLocks noChangeAspect="1" noChangeArrowheads="1"/>
                    </pic:cNvPicPr>
                  </pic:nvPicPr>
                  <pic:blipFill>
                    <a:blip r:embed="rId1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acting as an advisor, agent or fiduciary for the Loan Parties, any of their affiliates or any other Person, (g) none of the Credit Parties has any obligation to the Loan Parties or their affiliates with respect to the transactions contemplated by this Agreement or the other Loan Documents except those obligations expressly set forth herein or therein or in any other express writing executed and delivered by such Credit Party and the Loan Parties or any such affiliate and (h) no joint venture is created hereby or by the other Loan Documents or otherwise exists by virtue of the transactions contemplated hereby among the Credit Parties or among the Loan Parties and the Credit Parties. 10.14 Releases of Guarantees and Liens. (a) Upon any sale, transfer or other Disposition by any Loan Party (other than any such sale, transfer or other Disposition to another Loan Party) of any Collateral in a transaction permitted by this Agreement, including in connection with a Qualified Securitization Transaction, or upon the effectiveness of any written consent to the release of the security interest in any Collateral created under any Security Document pursuant to Section 10.1, the security interests in such Collateral created by the Security Documents shall be automatically released. In connection with any termination or release pursuant to this clause (a), the Administrative Agent shall execute and deliver to any Loan Party, at such Loan Party’s expense, all documents that such Loan Party shall reasonably request to evidence such release. (b) At such time as the Loans and the other obligations (other than indemnification or reimbursement obligations under Section 2.18, 2.19(a), 2.19(d) or 2.20 for which the Borrower has not been notified and contingent indemnification obligations) under the Loan Documents shall have been paid in full and the Commitments have been terminated, the Collateral shall be released from the Liens created by the Security Documents, and the Security Documents and all obligations (other than those expressly stated to survive such termination) of the Administrative Agent and each Loan Party under the Security Documents shall terminate, all without delivery of any instrument or performance of any act by any Person. In connection with any termination or release pursuant to this clause (b), the Administrative Agent shall execute and deliver to any Loan Party, at such Loan Party’s expense, all documents that such Loan Party shall reasonably request to evidence such termination or release. (c) Notwithstanding anything to the contrary contained herein or in any other Loan Document, the Administrative Agent is hereby irrevocably authorized by each Lender (without requirement of notice to or consent of any Lender except as expressly required by Section 10.1) to take any action requested by the Borrower having the effect of releasing any Collateral or guarantee obligations (i) to the extent necessary to permit consummation of any transaction not prohibited by any Loan Document or that has been consented to in accordance with Section 10.1 or (ii) under the circumstances described in paragraphs (a) or (b) above. 10.15 Confidentiality. Each of the Administrative Agent and each Lender agrees to keep confidential all non-public information provided to it by any Loan Party, the Administrative Agent or any Lender pursuant to or in connection with this Agreement; provided that nothing herein shall prevent the Administrative Agent or any Lender from disclosing any such information (a) to the Administrative Agent, any other Lender or any affiliate thereof, (b) subject to an agreement to comply with the provisions of this Section 10.15, to any actual or prospective Transferee or any direct or indirect counterparty to any Swap Agreement (or any professional advisor to such counterparty), (c) to its employees, directors, agents, attorneys, accountants and other professional advisors or those of any of its affiliates, in each case, who are bound to maintain the confidentiality of such information, (d) upon the request or demand of any Governmental Authority or in response to any order or subpoena of any court or other Governmental Authority or as may otherwise be required pursuant to any Requirement of Law, (e) that has been publicly disclosed not in breach of this Section 10.15 or becomes available to the Administrative Agent or such Lender on a non-confidential basis from a source that is not to the Administrative Agent’s or such Lender’s knowledge subject to confidentiality obligations to any Loan 134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7"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47" descr=""/>
                    <pic:cNvPicPr>
                      <a:picLocks noChangeAspect="1" noChangeArrowheads="1"/>
                    </pic:cNvPicPr>
                  </pic:nvPicPr>
                  <pic:blipFill>
                    <a:blip r:embed="rId1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Party, (f) to the National Association of Insurance Commissioners or any similar organization or any nationally recognized rating agency that requires access to information about a Lender’s investment portfolio in connection with ratings issued with respect to such Lender, (g) in connection with the exercise of any remedy hereunder or under any other Loan Document, (h) to data service providers (including league table providers) that serve the lending industry to the extent such information is of the type customarily provided to such providers or (i) if agreed by the Borrower in its sole discretion, to any other Person. Each Lender acknowledges that information furnished to it pursuant to this Agreement or the other Loan Documents may include material non-public information concerning the Borrower and its Affiliates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 All information, including requests for waivers and amendments, furnished by the Borrower or the Administrative Agent pursuant to, or in the course of administering, this Agreement or the other Loan Documents will be syndicate-level information, which may contain material non-public information about the Borrower and its Affiliates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 The Borrower represents and warrants that it and its Subsidiaries either (i) have no registered or publicly traded securities outstanding, or (ii) files its financial statements with the SEC and/or makes its financial statements available to potential holders of its 144A securities, and, accordingly, the Borrower hereby (i) authorizes the Administrative Agent to make the financial statements to be provided under Section 6.1(a) and (b), along with the Loan Documents, available to Public-Siders and (ii) agrees that at the time such financial statements are provided hereunder, they shall already have been made available to holders of its securities. The Borrower will not request that any other material be posted to Public-Siders without expressly representing and warranting to the Administrative Agent in writing that such materials do not constitute material non-public information within the meaning of the federal securities laws or that the Borrower and its Subsidiaries have no outstanding publicly traded securities, including 144A securities. For the avoidance of doubt, the Projections shall not be posted to Public-Siders. The Borrower hereby acknowledges that (a) the Administrative Agent will make available to the Lenders materials and/or information provided by or on behalf of the Loan Parties hereunder (collectively, the “Borrower Materials”) by posting the Borrower Materials on IntraLinks/IntraAgency or another similar electronic system (the “Platform”) and (b) certain of the Lenders may be Public-Siders. If any Borrower Materials are designated by the Loan Parties as “PRIVATE”, such Borrower Materials will not be made available to that portion of the Platform designated “Public Investor,” which is intended to contain only information that is either publicly available or not material information (though it may be sensitive and proprietary) with respect to Borrower, its Subsidiaries or their securities for purposes of federal and state securities laws. The Administrative Agent shall be entitled to treat any Borrower Materials that are not marked “PRIVATE” or “CONFIDENTIAL” as not containing any material non-public information with respect to the Borrower, its Subsidiaries or their securities for purposes of federal and state securities laws. 135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8"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48" descr=""/>
                    <pic:cNvPicPr>
                      <a:picLocks noChangeAspect="1" noChangeArrowheads="1"/>
                    </pic:cNvPicPr>
                  </pic:nvPicPr>
                  <pic:blipFill>
                    <a:blip r:embed="rId1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10.16 WAIVERS OF JURY TRIAL. THE BORROWER, THE ADMINISTRATIVE AGENT AND THE LENDERS HEREBY IRREVOCABLY AND UNCONDITIONALLY WAIVE TRIAL BY JURY IN ANY LEGAL ACTION OR PROCEEDING RELATING TO THIS AGREEMENT OR ANY OTHER LOAN DOCUMENT AND FOR ANY COUNTERCLAIM THEREIN. 10.17 USA Patriot Act. Each Lender hereby notifies the Borrower that pursuant to the requirements of the USA Patriot Act (Title III of Pub. L. 107-56 (signed into law October 26, 2001)) (the “Patriot Act”), it is required to obtain, verify and record information that identifies the Borrower, which information includes the name and address of the Borrower and other information that will allow such Lender to identify the Borrower in accordance with the Patriot Act. 10.18 Intercreditor Agreements. Each Lender hereby authorizes and directs the Administrative Agent (a) to enter into the Intercreditor Agreements on its behalf, perform the Intercreditor Agreements on its behalf and take any actions thereunder as determined by the Administrative Agent to be necessary or advisable to protect the interest of the Lenders, and each Lender agrees to be bound by the terms of the Intercreditor Agreements and (b) to enter into any other intercreditor agreement reasonably satisfactory to the Administrative Agent on its behalf, perform such intercreditor agreement on its behalf and take any actions thereunder as determined by the Administrative Agent to be necessary or advisable to protect the interests of the Lenders, in each case with respect to this clause (b) which intercreditor agreement is expressly required under this Agreement or the Administrative Agent deems necessary or advisable to protect the interests of the Lenders, and each Lender agrees to be bound by the terms of such intercreditor agreement. Each Lender acknowledges that the ABL/Fixed Asset Intercreditor Agreement governs, among other things, Lien priorities and rights of the Lenders and the ABL Secured Parties (as defined in the ABL/Fixed Asset Intercreditor Agreement) with respect to the Collateral, including the ABL Priority Collateral. 10.19 Acknowledgement and Consent to Bail-In of Affected Financial Institutions.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 (a) the application of any Write-Down and Conversion Powers by the applicable Resolution Authority to any such liabilities arising hereunder which may be payable to it by any party hereto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 136 4853-9823-7033 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9"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49" descr=""/>
                    <pic:cNvPicPr>
                      <a:picLocks noChangeAspect="1" noChangeArrowheads="1"/>
                    </pic:cNvPicPr>
                  </pic:nvPicPr>
                  <pic:blipFill>
                    <a:blip r:embed="rId1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the variation of the terms of such liability in connection with the exercise of the Write-Down and Conversion Powers of the applicable Resolution Authority. 10.20 Acknowledgement Regarding Any Supported QFCs. To the extent that the Loan Documents provide support, through a guarantee or otherwise, for hedging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[Remainder of this page intentionally left blank. Signature pages follow.] 137 4853-9823-7033 v.2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31.1</w: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Mitchell E. Fadel, certify that: </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I have reviewed this Quarterly Report on Form 10-Q of Upbound Group, Inc.;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3, 2023 </w:t>
      </w:r>
    </w:p>
    <w:p>
      <w:pPr>
        <w:pStyle w:val="TextBody"/>
        <w:bidi w:val="0"/>
        <w:spacing w:lineRule="auto" w:line="288" w:before="0" w:after="0"/>
        <w:jc w:val="left"/>
        <w:rPr/>
      </w:pPr>
      <w:r>
        <w:rPr>
          <w:rFonts w:ascii="Times New Roman;sans-serif" w:hAnsi="Times New Roman;sans-serif"/>
          <w:b w:val="false"/>
          <w:color w:val="000000"/>
          <w:sz w:val="20"/>
          <w:u w:val="single"/>
        </w:rPr>
        <w:t>/s/ Mitchell E. Fadel</w:t>
      </w: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Mitchell E. Fadel</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31.2</w:t>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Fahmi W. Karam, certify that: </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I have reviewed this Quarterly Report on Form 10-Q of Upbound Group, Inc.;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3, 2023 </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Fahmi W. Karam</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Fahmi W. Karam</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 Chief Financial Officer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32.1</w:t>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CERTIFICATION PURSUANT TO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18 U.S.C. SECTION 1350,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AS ADOPTED PURSUANT TO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SECTION 906 OF THE SARBANES-OXLEY ACT OF 2002</w:t>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4"/>
        </w:rPr>
        <w:t>In connection with the Quarterly Report on Form 10-Q of Upbound Group, Inc. (the "</w:t>
      </w:r>
      <w:r>
        <w:rPr>
          <w:rFonts w:ascii="Times New Roman;sans-serif" w:hAnsi="Times New Roman;sans-serif"/>
          <w:b/>
          <w:i/>
          <w:color w:val="000000"/>
          <w:sz w:val="24"/>
        </w:rPr>
        <w:t>Company</w:t>
      </w:r>
      <w:r>
        <w:rPr>
          <w:rFonts w:ascii="Times New Roman;sans-serif" w:hAnsi="Times New Roman;sans-serif"/>
          <w:b w:val="false"/>
          <w:color w:val="000000"/>
          <w:sz w:val="24"/>
        </w:rPr>
        <w:t>") for the period ended June 30, 2023, as filed with the Securities and Exchange Commission on the date hereof (the "</w:t>
      </w:r>
      <w:r>
        <w:rPr>
          <w:rFonts w:ascii="Times New Roman;sans-serif" w:hAnsi="Times New Roman;sans-serif"/>
          <w:b/>
          <w:i/>
          <w:color w:val="000000"/>
          <w:sz w:val="24"/>
        </w:rPr>
        <w:t>Report</w:t>
      </w:r>
      <w:r>
        <w:rPr>
          <w:rFonts w:ascii="Times New Roman;sans-serif" w:hAnsi="Times New Roman;sans-serif"/>
          <w:b w:val="false"/>
          <w:color w:val="000000"/>
          <w:sz w:val="24"/>
        </w:rPr>
        <w:t xml:space="preserve">"), I, Mitchell E. Fadel, Chief Executive Officer and Director of the Company, hereby certify, pursuant to 18 U.S.C. Section 1350, as adopted pursuant to Section 906 of the Sarbanes-Oxley Act of 2002, that, to the best of my knowledge: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 xml:space="preserve">(1) </w:t>
      </w:r>
      <w:r>
        <w:rPr>
          <w:color w:val="000000"/>
        </w:rPr>
        <w:t>    </w:t>
      </w:r>
      <w:r>
        <w:rPr>
          <w:rFonts w:ascii="Times New Roman;sans-serif" w:hAnsi="Times New Roman;sans-serif"/>
          <w:b w:val="false"/>
          <w:color w:val="000000"/>
          <w:sz w:val="24"/>
        </w:rPr>
        <w:t xml:space="preserve">The Report fully complies with the requirements of Section 13(a) or 15(d) of the Securities Exchange Act of 1934; and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 xml:space="preserve">(2) </w:t>
      </w:r>
      <w:r>
        <w:rPr>
          <w:color w:val="000000"/>
        </w:rPr>
        <w:t>    </w:t>
      </w:r>
      <w:r>
        <w:rPr>
          <w:rFonts w:ascii="Times New Roman;sans-serif" w:hAnsi="Times New Roman;sans-serif"/>
          <w:b w:val="false"/>
          <w:color w:val="000000"/>
          <w:sz w:val="24"/>
        </w:rPr>
        <w:t xml:space="preserve">The information contained in the Report fairly presents, in all material respects, the financial condition and results of operations of the Company. </w:t>
      </w:r>
    </w:p>
    <w:p>
      <w:pPr>
        <w:pStyle w:val="TextBody"/>
        <w:bidi w:val="0"/>
        <w:spacing w:before="0" w:after="0"/>
        <w:ind w:left="0" w:right="0" w:hanging="72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u w:val="single"/>
        </w:rPr>
        <w:t>/s/ Mitchell E. Fadel</w:t>
      </w:r>
      <w:r>
        <w:rPr>
          <w:color w:val="000000"/>
        </w:rPr>
        <w:t>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Mitchell E. Fadel</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Chief Executive Officer and Director</w:t>
      </w:r>
    </w:p>
    <w:p>
      <w:pPr>
        <w:pStyle w:val="TextBody"/>
        <w:bidi w:val="0"/>
        <w:spacing w:before="0" w:after="0"/>
        <w:ind w:left="0" w:right="0" w:firstLine="630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Dated: August 3, 2023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A signed original of this written statement required by Section 906 has been provided to Upbound Group, Inc. and will be retained by Upbound Group, Inc. and furnished to the Securities and Exchange Commission or its staff upon request.</w:t>
      </w:r>
      <w:r>
        <w:rPr>
          <w:color w:val="000000"/>
        </w:rPr>
        <w:t xml:space="preserve"> </w:t>
      </w:r>
      <w:r>
        <w:rPr>
          <w:rFonts w:ascii="Times New Roman;sans-serif" w:hAnsi="Times New Roman;sans-serif"/>
          <w:b w:val="false"/>
          <w:color w:val="000000"/>
          <w:sz w:val="24"/>
        </w:rPr>
        <w:t>The foregoing certification is being furnished solely pursuant to 18 U.S.C. Section 1350 and is not being filed as part of the Report or as a separate disclosure document.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32.2</w:t>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CERTIFICATION PURSUANT TO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18 U.S.C. SECTION 1350,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AS ADOPTED PURSUANT TO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SECTION 906 OF THE SARBANES-OXLEY ACT OF 2002</w:t>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4"/>
        </w:rPr>
        <w:t>In connection with the Quarterly Report on Form 10-Q of Upbound Group, Inc. (the "</w:t>
      </w:r>
      <w:r>
        <w:rPr>
          <w:rFonts w:ascii="Times New Roman;sans-serif" w:hAnsi="Times New Roman;sans-serif"/>
          <w:b/>
          <w:i/>
          <w:color w:val="000000"/>
          <w:sz w:val="24"/>
        </w:rPr>
        <w:t>Company</w:t>
      </w:r>
      <w:r>
        <w:rPr>
          <w:rFonts w:ascii="Times New Roman;sans-serif" w:hAnsi="Times New Roman;sans-serif"/>
          <w:b w:val="false"/>
          <w:color w:val="000000"/>
          <w:sz w:val="24"/>
        </w:rPr>
        <w:t>") for the period ended June 30, 2023, as filed with the Securities and Exchange Commission on the date hereof (the "</w:t>
      </w:r>
      <w:r>
        <w:rPr>
          <w:rFonts w:ascii="Times New Roman;sans-serif" w:hAnsi="Times New Roman;sans-serif"/>
          <w:b/>
          <w:i/>
          <w:color w:val="000000"/>
          <w:sz w:val="24"/>
        </w:rPr>
        <w:t>Report</w:t>
      </w:r>
      <w:r>
        <w:rPr>
          <w:rFonts w:ascii="Times New Roman;sans-serif" w:hAnsi="Times New Roman;sans-serif"/>
          <w:b w:val="false"/>
          <w:color w:val="000000"/>
          <w:sz w:val="24"/>
        </w:rPr>
        <w:t xml:space="preserve">"), I, Fahmi W. Karam, Chief Financial Officer of the Company, hereby certify, pursuant to 18 U.S.C. Section 1350, as adopted pursuant to Section 906 of the Sarbanes-Oxley Act of 2002, that, to the best of my knowledge: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 xml:space="preserve">(1) </w:t>
      </w:r>
      <w:r>
        <w:rPr>
          <w:color w:val="000000"/>
        </w:rPr>
        <w:t>    </w:t>
      </w:r>
      <w:r>
        <w:rPr>
          <w:rFonts w:ascii="Times New Roman;sans-serif" w:hAnsi="Times New Roman;sans-serif"/>
          <w:b w:val="false"/>
          <w:color w:val="000000"/>
          <w:sz w:val="24"/>
        </w:rPr>
        <w:t xml:space="preserve">The Report fully complies with the requirements of Section 13(a) or 15(d) of the Securities Exchange Act of 1934; and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 xml:space="preserve">(2) </w:t>
      </w:r>
      <w:r>
        <w:rPr>
          <w:color w:val="000000"/>
        </w:rPr>
        <w:t>    </w:t>
      </w:r>
      <w:r>
        <w:rPr>
          <w:rFonts w:ascii="Times New Roman;sans-serif" w:hAnsi="Times New Roman;sans-serif"/>
          <w:b w:val="false"/>
          <w:color w:val="000000"/>
          <w:sz w:val="24"/>
        </w:rPr>
        <w:t xml:space="preserve">The information contained in the Report fairly presents, in all material respects, the financial condition and results of operations of the Company. </w:t>
      </w:r>
    </w:p>
    <w:p>
      <w:pPr>
        <w:pStyle w:val="TextBody"/>
        <w:bidi w:val="0"/>
        <w:spacing w:before="0" w:after="0"/>
        <w:ind w:left="0" w:right="0" w:hanging="72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u w:val="single"/>
        </w:rPr>
        <w:t>/s/ Fahmi W. Karam</w:t>
      </w:r>
      <w:r>
        <w:rPr>
          <w:color w:val="000000"/>
        </w:rPr>
        <w:t>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Fahmi W. Karam</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Executive Vice President, Chief Financial Officer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Dated: August 3, 2023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A signed original of this written statement required by Section 906 has been provided to Upbound Group, Inc. and will be retained by Upbound Group, Inc. and furnished to the Securities and Exchange Commission or its staff upon request.</w:t>
      </w:r>
      <w:r>
        <w:rPr>
          <w:color w:val="000000"/>
        </w:rPr>
        <w:t xml:space="preserve"> </w:t>
      </w:r>
      <w:r>
        <w:rPr>
          <w:rFonts w:ascii="Times New Roman;sans-serif" w:hAnsi="Times New Roman;sans-serif"/>
          <w:b w:val="false"/>
          <w:color w:val="000000"/>
          <w:sz w:val="24"/>
        </w:rPr>
        <w:t>The foregoing certification is being furnished solely pursuant to 18 U.S.C. Section 1350 and is not being filed as part of the Report or as a separate disclosure document.</w:t>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933036/000095013402016210/d02215exv3w1.txt" TargetMode="External"/><Relationship Id="rId3" Type="http://schemas.openxmlformats.org/officeDocument/2006/relationships/hyperlink" Target="http://www.sec.gov/Archives/edgar/data/933036/000095013404010948/d17068exv3w2.txt" TargetMode="External"/><Relationship Id="rId4" Type="http://schemas.openxmlformats.org/officeDocument/2006/relationships/hyperlink" Target="http://www.sec.gov/Archives/edgar/data/933036/000095013402016210/d02215exv3w1.txt" TargetMode="External"/><Relationship Id="rId5" Type="http://schemas.openxmlformats.org/officeDocument/2006/relationships/hyperlink" Target="http://www.sec.gov/Archives/edgar/data/933036/000095013404010948/d17068exv3w2.txt" TargetMode="External"/><Relationship Id="rId6" Type="http://schemas.openxmlformats.org/officeDocument/2006/relationships/hyperlink" Target="http://www.sec.gov/Archives/edgar/data/933036/000110465921078652/tm2119045d1_ex3-1.htm" TargetMode="External"/><Relationship Id="rId7" Type="http://schemas.openxmlformats.org/officeDocument/2006/relationships/hyperlink" Target="http://www.sec.gov/Archives/edgar/data/933036/000095013402016210/d02215exv3w1.txt" TargetMode="External"/><Relationship Id="rId8" Type="http://schemas.openxmlformats.org/officeDocument/2006/relationships/hyperlink" Target="http://www.sec.gov/Archives/edgar/data/933036/000110465921078652/tm2119045d1_ex3-1.htm" TargetMode="External"/><Relationship Id="rId9" Type="http://schemas.openxmlformats.org/officeDocument/2006/relationships/hyperlink" Target="http://www.sec.gov/Archives/edgar/data/933036/000093303623000044/ex-31_certificateofamendme.htm" TargetMode="External"/><Relationship Id="rId10" Type="http://schemas.openxmlformats.org/officeDocument/2006/relationships/hyperlink" Target="http://www.sec.gov/Archives/edgar/data/933036/000095013402016210/d02215exv3w1.txt" TargetMode="External"/><Relationship Id="rId11" Type="http://schemas.openxmlformats.org/officeDocument/2006/relationships/hyperlink" Target="http://www.sec.gov/Archives/edgar/data/933036/000093303623000044/ex-31_certificateofamendme.htm" TargetMode="External"/><Relationship Id="rId12" Type="http://schemas.openxmlformats.org/officeDocument/2006/relationships/hyperlink" Target="http://www.sec.gov/Archives/edgar/data/933036/000093303623000044/ex-31_certificateofamendme.htm" TargetMode="External"/><Relationship Id="rId13" Type="http://schemas.openxmlformats.org/officeDocument/2006/relationships/hyperlink" Target="http://www.sec.gov/Archives/edgar/data/933036/000093303623000044/ex-31_certificateofamendme.htm" TargetMode="External"/><Relationship Id="rId14" Type="http://schemas.openxmlformats.org/officeDocument/2006/relationships/hyperlink" Target="http://www.sec.gov/Archives/edgar/data/933036/000093303623000044/ex-32rentxaxcenterxbylaw.htm" TargetMode="External"/><Relationship Id="rId15" Type="http://schemas.openxmlformats.org/officeDocument/2006/relationships/hyperlink" Target="http://www.sec.gov/Archives/edgar/data/933036/000095013402016210/d02215exv3w1.txt" TargetMode="External"/><Relationship Id="rId16" Type="http://schemas.openxmlformats.org/officeDocument/2006/relationships/hyperlink" Target="http://www.sec.gov/Archives/edgar/data/933036/000093303623000044/ex-32rentxaxcenterxbylaw.htm" TargetMode="External"/><Relationship Id="rId17" Type="http://schemas.openxmlformats.org/officeDocument/2006/relationships/hyperlink" Target="http://www.sec.gov/Archives/edgar/data/933036/000093303617000022/exhibit31march282017america.htm" TargetMode="External"/><Relationship Id="rId18" Type="http://schemas.openxmlformats.org/officeDocument/2006/relationships/hyperlink" Target="http://www.sec.gov/Archives/edgar/data/933036/000095013402016210/d02215exv3w1.txt" TargetMode="External"/><Relationship Id="rId19" Type="http://schemas.openxmlformats.org/officeDocument/2006/relationships/hyperlink" Target="http://www.sec.gov/Archives/edgar/data/933036/000093303617000022/exhibit31march282017america.htm" TargetMode="External"/><Relationship Id="rId20" Type="http://schemas.openxmlformats.org/officeDocument/2006/relationships/hyperlink" Target="http://www.sec.gov/Archives/edgar/data/933036/000110465923068936/tm2316186d1_ex4-6.htm" TargetMode="External"/><Relationship Id="rId21" Type="http://schemas.openxmlformats.org/officeDocument/2006/relationships/hyperlink" Target="http://www.sec.gov/Archives/edgar/data/933036/000110465923068936/tm2316186d1_ex4-6.htm" TargetMode="External"/><Relationship Id="rId22" Type="http://schemas.openxmlformats.org/officeDocument/2006/relationships/hyperlink" Target="http://www.sec.gov/Archives/edgar/data/933036/000110465923068936/tm2316186d1_ex4-6.htm" TargetMode="External"/><Relationship Id="rId23" Type="http://schemas.openxmlformats.org/officeDocument/2006/relationships/hyperlink" Target="http://www.sec.gov/Archives/edgar/data/933036/000110465923068936/tm2316186d1_ex4-6.htm" TargetMode="External"/><Relationship Id="rId24" Type="http://schemas.openxmlformats.org/officeDocument/2006/relationships/hyperlink" Target="http://www.sec.gov/Archives/edgar/data/933036/000110465923068936/tm2316186d1_ex4-6.htm" TargetMode="External"/><Relationship Id="rId25" Type="http://schemas.openxmlformats.org/officeDocument/2006/relationships/hyperlink" Target="http://www.sec.gov/Archives/edgar/data/933036/000110465923068936/tm2316186d1_ex4-6.htm" TargetMode="External"/><Relationship Id="rId26" Type="http://schemas.openxmlformats.org/officeDocument/2006/relationships/hyperlink" Target="http://www.sec.gov/Archives/edgar/data/933036/000110465923068936/tm2316186d1_ex4-6.htm" TargetMode="External"/><Relationship Id="rId27" Type="http://schemas.openxmlformats.org/officeDocument/2006/relationships/hyperlink" Target="http://www.sec.gov/Archives/edgar/data/933036/000110465923068936/tm2316186d1_ex4-6.htm" TargetMode="External"/><Relationship Id="rId28" Type="http://schemas.openxmlformats.org/officeDocument/2006/relationships/hyperlink" Target="http://www.sec.gov/Archives/edgar/data/933036/000110465923068936/tm2316186d1_ex4-6.htm" TargetMode="External"/><Relationship Id="rId29" Type="http://schemas.openxmlformats.org/officeDocument/2006/relationships/hyperlink" Target="http://www.sec.gov/Archives/edgar/data/933036/000110465923068936/tm2316186d1_ex4-6.htm" TargetMode="External"/><Relationship Id="rId30" Type="http://schemas.openxmlformats.org/officeDocument/2006/relationships/hyperlink" Target="http://www.sec.gov/Archives/edgar/data/933036/000110465923068936/tm2316186d1_ex4-6.htm" TargetMode="External"/><Relationship Id="rId31" Type="http://schemas.openxmlformats.org/officeDocument/2006/relationships/hyperlink" Target="http://www.sec.gov/Archives/edgar/data/933036/000110465923068936/tm2316186d1_ex4-6.htm" TargetMode="External"/><Relationship Id="rId32" Type="http://schemas.openxmlformats.org/officeDocument/2006/relationships/hyperlink" Target="http://www.sec.gov/Archives/edgar/data/933036/000110465923068936/tm2316186d1_ex4-6.htm" TargetMode="External"/><Relationship Id="rId33" Type="http://schemas.openxmlformats.org/officeDocument/2006/relationships/hyperlink" Target="http://www.sec.gov/Archives/edgar/data/933036/000110465923068936/tm2316186d1_ex4-6.htm" TargetMode="External"/><Relationship Id="rId34" Type="http://schemas.openxmlformats.org/officeDocument/2006/relationships/hyperlink" Target="http://www.sec.gov/Archives/edgar/data/933036/000110465923068936/tm2316186d1_ex4-6.htm" TargetMode="External"/><Relationship Id="rId35" Type="http://schemas.openxmlformats.org/officeDocument/2006/relationships/hyperlink" Target="http://www.sec.gov/Archives/edgar/data/933036/000110465923068936/tm2316186d1_ex4-6.htm" TargetMode="External"/><Relationship Id="rId36" Type="http://schemas.openxmlformats.org/officeDocument/2006/relationships/hyperlink" Target="http://www.sec.gov/Archives/edgar/data/933036/000110465923068936/tm2316186d1_ex4-6.htm" TargetMode="External"/><Relationship Id="rId37" Type="http://schemas.openxmlformats.org/officeDocument/2006/relationships/hyperlink" Target="http://www.sec.gov/Archives/edgar/data/933036/000110465921024846/tm216741d1_ex4-1.htm" TargetMode="External"/><Relationship Id="rId38" Type="http://schemas.openxmlformats.org/officeDocument/2006/relationships/hyperlink" Target="http://www.sec.gov/Archives/edgar/data/933036/000093303621000049/ex-43_q42020.htm" TargetMode="External"/><Relationship Id="rId39" Type="http://schemas.openxmlformats.org/officeDocument/2006/relationships/hyperlink" Target="http://www.sec.gov/Archives/edgar/data/933036/000095013402016210/d02215exv3w1.txt" TargetMode="External"/><Relationship Id="rId40" Type="http://schemas.openxmlformats.org/officeDocument/2006/relationships/hyperlink" Target="http://www.sec.gov/Archives/edgar/data/933036/000093303621000049/ex-43_q42020.htm" TargetMode="External"/><Relationship Id="rId41" Type="http://schemas.openxmlformats.org/officeDocument/2006/relationships/image" Target="media/image1.jpeg"/><Relationship Id="rId42" Type="http://schemas.openxmlformats.org/officeDocument/2006/relationships/image" Target="media/image2.jpeg"/><Relationship Id="rId43" Type="http://schemas.openxmlformats.org/officeDocument/2006/relationships/image" Target="media/image3.jpeg"/><Relationship Id="rId44" Type="http://schemas.openxmlformats.org/officeDocument/2006/relationships/image" Target="media/image4.jpeg"/><Relationship Id="rId45" Type="http://schemas.openxmlformats.org/officeDocument/2006/relationships/image" Target="media/image5.jpeg"/><Relationship Id="rId46" Type="http://schemas.openxmlformats.org/officeDocument/2006/relationships/image" Target="media/image6.jpeg"/><Relationship Id="rId47" Type="http://schemas.openxmlformats.org/officeDocument/2006/relationships/image" Target="media/image7.jpeg"/><Relationship Id="rId48" Type="http://schemas.openxmlformats.org/officeDocument/2006/relationships/image" Target="media/image8.jpeg"/><Relationship Id="rId49" Type="http://schemas.openxmlformats.org/officeDocument/2006/relationships/image" Target="media/image9.jpeg"/><Relationship Id="rId50" Type="http://schemas.openxmlformats.org/officeDocument/2006/relationships/image" Target="media/image10.jpeg"/><Relationship Id="rId51" Type="http://schemas.openxmlformats.org/officeDocument/2006/relationships/image" Target="media/image11.jpeg"/><Relationship Id="rId52" Type="http://schemas.openxmlformats.org/officeDocument/2006/relationships/image" Target="media/image12.jpeg"/><Relationship Id="rId53" Type="http://schemas.openxmlformats.org/officeDocument/2006/relationships/image" Target="media/image13.jpeg"/><Relationship Id="rId54" Type="http://schemas.openxmlformats.org/officeDocument/2006/relationships/image" Target="media/image14.jpeg"/><Relationship Id="rId55" Type="http://schemas.openxmlformats.org/officeDocument/2006/relationships/image" Target="media/image15.jpeg"/><Relationship Id="rId56" Type="http://schemas.openxmlformats.org/officeDocument/2006/relationships/image" Target="media/image16.jpeg"/><Relationship Id="rId57" Type="http://schemas.openxmlformats.org/officeDocument/2006/relationships/image" Target="media/image17.jpeg"/><Relationship Id="rId58" Type="http://schemas.openxmlformats.org/officeDocument/2006/relationships/image" Target="media/image18.jpeg"/><Relationship Id="rId59" Type="http://schemas.openxmlformats.org/officeDocument/2006/relationships/image" Target="media/image19.jpeg"/><Relationship Id="rId60" Type="http://schemas.openxmlformats.org/officeDocument/2006/relationships/image" Target="media/image20.jpeg"/><Relationship Id="rId61" Type="http://schemas.openxmlformats.org/officeDocument/2006/relationships/image" Target="media/image21.jpeg"/><Relationship Id="rId62" Type="http://schemas.openxmlformats.org/officeDocument/2006/relationships/image" Target="media/image22.jpeg"/><Relationship Id="rId63" Type="http://schemas.openxmlformats.org/officeDocument/2006/relationships/image" Target="media/image23.jpeg"/><Relationship Id="rId64" Type="http://schemas.openxmlformats.org/officeDocument/2006/relationships/image" Target="media/image24.jpeg"/><Relationship Id="rId65" Type="http://schemas.openxmlformats.org/officeDocument/2006/relationships/image" Target="media/image25.jpeg"/><Relationship Id="rId66" Type="http://schemas.openxmlformats.org/officeDocument/2006/relationships/image" Target="media/image26.jpeg"/><Relationship Id="rId67" Type="http://schemas.openxmlformats.org/officeDocument/2006/relationships/image" Target="media/image27.jpeg"/><Relationship Id="rId68" Type="http://schemas.openxmlformats.org/officeDocument/2006/relationships/image" Target="media/image28.jpeg"/><Relationship Id="rId69" Type="http://schemas.openxmlformats.org/officeDocument/2006/relationships/image" Target="media/image29.jpeg"/><Relationship Id="rId70" Type="http://schemas.openxmlformats.org/officeDocument/2006/relationships/image" Target="media/image30.jpeg"/><Relationship Id="rId71" Type="http://schemas.openxmlformats.org/officeDocument/2006/relationships/image" Target="media/image31.jpeg"/><Relationship Id="rId72" Type="http://schemas.openxmlformats.org/officeDocument/2006/relationships/image" Target="media/image32.jpeg"/><Relationship Id="rId73" Type="http://schemas.openxmlformats.org/officeDocument/2006/relationships/image" Target="media/image33.jpeg"/><Relationship Id="rId74" Type="http://schemas.openxmlformats.org/officeDocument/2006/relationships/image" Target="media/image34.jpeg"/><Relationship Id="rId75" Type="http://schemas.openxmlformats.org/officeDocument/2006/relationships/image" Target="media/image35.jpeg"/><Relationship Id="rId76" Type="http://schemas.openxmlformats.org/officeDocument/2006/relationships/image" Target="media/image36.jpeg"/><Relationship Id="rId77" Type="http://schemas.openxmlformats.org/officeDocument/2006/relationships/image" Target="media/image37.jpeg"/><Relationship Id="rId78" Type="http://schemas.openxmlformats.org/officeDocument/2006/relationships/image" Target="media/image38.jpeg"/><Relationship Id="rId79" Type="http://schemas.openxmlformats.org/officeDocument/2006/relationships/image" Target="media/image39.jpeg"/><Relationship Id="rId80" Type="http://schemas.openxmlformats.org/officeDocument/2006/relationships/image" Target="media/image40.jpeg"/><Relationship Id="rId81" Type="http://schemas.openxmlformats.org/officeDocument/2006/relationships/image" Target="media/image41.jpeg"/><Relationship Id="rId82" Type="http://schemas.openxmlformats.org/officeDocument/2006/relationships/image" Target="media/image42.jpeg"/><Relationship Id="rId83" Type="http://schemas.openxmlformats.org/officeDocument/2006/relationships/image" Target="media/image43.jpeg"/><Relationship Id="rId84" Type="http://schemas.openxmlformats.org/officeDocument/2006/relationships/image" Target="media/image44.jpeg"/><Relationship Id="rId85" Type="http://schemas.openxmlformats.org/officeDocument/2006/relationships/image" Target="media/image45.jpeg"/><Relationship Id="rId86" Type="http://schemas.openxmlformats.org/officeDocument/2006/relationships/image" Target="media/image46.jpeg"/><Relationship Id="rId87" Type="http://schemas.openxmlformats.org/officeDocument/2006/relationships/image" Target="media/image47.jpeg"/><Relationship Id="rId88" Type="http://schemas.openxmlformats.org/officeDocument/2006/relationships/image" Target="media/image48.jpeg"/><Relationship Id="rId89" Type="http://schemas.openxmlformats.org/officeDocument/2006/relationships/image" Target="media/image49.jpeg"/><Relationship Id="rId90" Type="http://schemas.openxmlformats.org/officeDocument/2006/relationships/image" Target="media/image50.jpeg"/><Relationship Id="rId91" Type="http://schemas.openxmlformats.org/officeDocument/2006/relationships/image" Target="media/image51.jpeg"/><Relationship Id="rId92" Type="http://schemas.openxmlformats.org/officeDocument/2006/relationships/image" Target="media/image52.jpeg"/><Relationship Id="rId93" Type="http://schemas.openxmlformats.org/officeDocument/2006/relationships/image" Target="media/image53.jpeg"/><Relationship Id="rId94" Type="http://schemas.openxmlformats.org/officeDocument/2006/relationships/image" Target="media/image54.jpeg"/><Relationship Id="rId95" Type="http://schemas.openxmlformats.org/officeDocument/2006/relationships/image" Target="media/image55.jpeg"/><Relationship Id="rId96" Type="http://schemas.openxmlformats.org/officeDocument/2006/relationships/image" Target="media/image56.jpeg"/><Relationship Id="rId97" Type="http://schemas.openxmlformats.org/officeDocument/2006/relationships/image" Target="media/image57.jpeg"/><Relationship Id="rId98" Type="http://schemas.openxmlformats.org/officeDocument/2006/relationships/image" Target="media/image58.jpeg"/><Relationship Id="rId99" Type="http://schemas.openxmlformats.org/officeDocument/2006/relationships/image" Target="media/image59.jpeg"/><Relationship Id="rId100" Type="http://schemas.openxmlformats.org/officeDocument/2006/relationships/image" Target="media/image60.jpeg"/><Relationship Id="rId101" Type="http://schemas.openxmlformats.org/officeDocument/2006/relationships/image" Target="media/image61.jpeg"/><Relationship Id="rId102" Type="http://schemas.openxmlformats.org/officeDocument/2006/relationships/image" Target="media/image62.jpeg"/><Relationship Id="rId103" Type="http://schemas.openxmlformats.org/officeDocument/2006/relationships/image" Target="media/image63.jpeg"/><Relationship Id="rId104" Type="http://schemas.openxmlformats.org/officeDocument/2006/relationships/image" Target="media/image64.jpeg"/><Relationship Id="rId105" Type="http://schemas.openxmlformats.org/officeDocument/2006/relationships/image" Target="media/image65.jpeg"/><Relationship Id="rId106" Type="http://schemas.openxmlformats.org/officeDocument/2006/relationships/image" Target="media/image66.jpeg"/><Relationship Id="rId107" Type="http://schemas.openxmlformats.org/officeDocument/2006/relationships/image" Target="media/image67.jpeg"/><Relationship Id="rId108" Type="http://schemas.openxmlformats.org/officeDocument/2006/relationships/image" Target="media/image68.jpeg"/><Relationship Id="rId109" Type="http://schemas.openxmlformats.org/officeDocument/2006/relationships/image" Target="media/image69.jpeg"/><Relationship Id="rId110" Type="http://schemas.openxmlformats.org/officeDocument/2006/relationships/image" Target="media/image70.jpeg"/><Relationship Id="rId111" Type="http://schemas.openxmlformats.org/officeDocument/2006/relationships/image" Target="media/image71.jpeg"/><Relationship Id="rId112" Type="http://schemas.openxmlformats.org/officeDocument/2006/relationships/image" Target="media/image72.jpeg"/><Relationship Id="rId113" Type="http://schemas.openxmlformats.org/officeDocument/2006/relationships/image" Target="media/image73.jpeg"/><Relationship Id="rId114" Type="http://schemas.openxmlformats.org/officeDocument/2006/relationships/image" Target="media/image74.jpeg"/><Relationship Id="rId115" Type="http://schemas.openxmlformats.org/officeDocument/2006/relationships/image" Target="media/image75.jpeg"/><Relationship Id="rId116" Type="http://schemas.openxmlformats.org/officeDocument/2006/relationships/image" Target="media/image76.jpeg"/><Relationship Id="rId117" Type="http://schemas.openxmlformats.org/officeDocument/2006/relationships/image" Target="media/image77.jpeg"/><Relationship Id="rId118" Type="http://schemas.openxmlformats.org/officeDocument/2006/relationships/image" Target="media/image78.jpeg"/><Relationship Id="rId119" Type="http://schemas.openxmlformats.org/officeDocument/2006/relationships/image" Target="media/image79.jpeg"/><Relationship Id="rId120" Type="http://schemas.openxmlformats.org/officeDocument/2006/relationships/image" Target="media/image80.jpeg"/><Relationship Id="rId121" Type="http://schemas.openxmlformats.org/officeDocument/2006/relationships/image" Target="media/image81.jpeg"/><Relationship Id="rId122" Type="http://schemas.openxmlformats.org/officeDocument/2006/relationships/image" Target="media/image82.jpeg"/><Relationship Id="rId123" Type="http://schemas.openxmlformats.org/officeDocument/2006/relationships/image" Target="media/image83.jpeg"/><Relationship Id="rId124" Type="http://schemas.openxmlformats.org/officeDocument/2006/relationships/image" Target="media/image84.jpeg"/><Relationship Id="rId125" Type="http://schemas.openxmlformats.org/officeDocument/2006/relationships/image" Target="media/image85.jpeg"/><Relationship Id="rId126" Type="http://schemas.openxmlformats.org/officeDocument/2006/relationships/image" Target="media/image86.jpeg"/><Relationship Id="rId127" Type="http://schemas.openxmlformats.org/officeDocument/2006/relationships/image" Target="media/image87.jpeg"/><Relationship Id="rId128" Type="http://schemas.openxmlformats.org/officeDocument/2006/relationships/image" Target="media/image88.jpeg"/><Relationship Id="rId129" Type="http://schemas.openxmlformats.org/officeDocument/2006/relationships/image" Target="media/image89.jpeg"/><Relationship Id="rId130" Type="http://schemas.openxmlformats.org/officeDocument/2006/relationships/image" Target="media/image90.jpeg"/><Relationship Id="rId131" Type="http://schemas.openxmlformats.org/officeDocument/2006/relationships/image" Target="media/image91.jpeg"/><Relationship Id="rId132" Type="http://schemas.openxmlformats.org/officeDocument/2006/relationships/image" Target="media/image92.jpeg"/><Relationship Id="rId133" Type="http://schemas.openxmlformats.org/officeDocument/2006/relationships/image" Target="media/image93.jpeg"/><Relationship Id="rId134" Type="http://schemas.openxmlformats.org/officeDocument/2006/relationships/image" Target="media/image94.jpeg"/><Relationship Id="rId135" Type="http://schemas.openxmlformats.org/officeDocument/2006/relationships/image" Target="media/image95.jpeg"/><Relationship Id="rId136" Type="http://schemas.openxmlformats.org/officeDocument/2006/relationships/image" Target="media/image96.jpeg"/><Relationship Id="rId137" Type="http://schemas.openxmlformats.org/officeDocument/2006/relationships/image" Target="media/image97.jpeg"/><Relationship Id="rId138" Type="http://schemas.openxmlformats.org/officeDocument/2006/relationships/image" Target="media/image98.jpeg"/><Relationship Id="rId139" Type="http://schemas.openxmlformats.org/officeDocument/2006/relationships/image" Target="media/image99.jpeg"/><Relationship Id="rId140" Type="http://schemas.openxmlformats.org/officeDocument/2006/relationships/image" Target="media/image100.jpeg"/><Relationship Id="rId141" Type="http://schemas.openxmlformats.org/officeDocument/2006/relationships/image" Target="media/image101.jpeg"/><Relationship Id="rId142" Type="http://schemas.openxmlformats.org/officeDocument/2006/relationships/image" Target="media/image102.jpeg"/><Relationship Id="rId143" Type="http://schemas.openxmlformats.org/officeDocument/2006/relationships/image" Target="media/image103.jpeg"/><Relationship Id="rId144" Type="http://schemas.openxmlformats.org/officeDocument/2006/relationships/image" Target="media/image104.jpeg"/><Relationship Id="rId145" Type="http://schemas.openxmlformats.org/officeDocument/2006/relationships/image" Target="media/image105.jpeg"/><Relationship Id="rId146" Type="http://schemas.openxmlformats.org/officeDocument/2006/relationships/image" Target="media/image106.jpeg"/><Relationship Id="rId147" Type="http://schemas.openxmlformats.org/officeDocument/2006/relationships/image" Target="media/image107.jpeg"/><Relationship Id="rId148" Type="http://schemas.openxmlformats.org/officeDocument/2006/relationships/image" Target="media/image108.jpeg"/><Relationship Id="rId149" Type="http://schemas.openxmlformats.org/officeDocument/2006/relationships/image" Target="media/image109.jpeg"/><Relationship Id="rId150" Type="http://schemas.openxmlformats.org/officeDocument/2006/relationships/image" Target="media/image110.jpeg"/><Relationship Id="rId151" Type="http://schemas.openxmlformats.org/officeDocument/2006/relationships/image" Target="media/image111.jpeg"/><Relationship Id="rId152" Type="http://schemas.openxmlformats.org/officeDocument/2006/relationships/image" Target="media/image112.jpeg"/><Relationship Id="rId153" Type="http://schemas.openxmlformats.org/officeDocument/2006/relationships/image" Target="media/image113.jpeg"/><Relationship Id="rId154" Type="http://schemas.openxmlformats.org/officeDocument/2006/relationships/image" Target="media/image114.jpeg"/><Relationship Id="rId155" Type="http://schemas.openxmlformats.org/officeDocument/2006/relationships/image" Target="media/image115.jpeg"/><Relationship Id="rId156" Type="http://schemas.openxmlformats.org/officeDocument/2006/relationships/image" Target="media/image116.jpeg"/><Relationship Id="rId157" Type="http://schemas.openxmlformats.org/officeDocument/2006/relationships/image" Target="media/image117.jpeg"/><Relationship Id="rId158" Type="http://schemas.openxmlformats.org/officeDocument/2006/relationships/image" Target="media/image118.jpeg"/><Relationship Id="rId159" Type="http://schemas.openxmlformats.org/officeDocument/2006/relationships/image" Target="media/image119.jpeg"/><Relationship Id="rId160" Type="http://schemas.openxmlformats.org/officeDocument/2006/relationships/image" Target="media/image120.jpeg"/><Relationship Id="rId161" Type="http://schemas.openxmlformats.org/officeDocument/2006/relationships/image" Target="media/image121.jpeg"/><Relationship Id="rId162" Type="http://schemas.openxmlformats.org/officeDocument/2006/relationships/image" Target="media/image122.jpeg"/><Relationship Id="rId163" Type="http://schemas.openxmlformats.org/officeDocument/2006/relationships/image" Target="media/image123.jpeg"/><Relationship Id="rId164" Type="http://schemas.openxmlformats.org/officeDocument/2006/relationships/image" Target="media/image124.jpeg"/><Relationship Id="rId165" Type="http://schemas.openxmlformats.org/officeDocument/2006/relationships/image" Target="media/image125.jpeg"/><Relationship Id="rId166" Type="http://schemas.openxmlformats.org/officeDocument/2006/relationships/image" Target="media/image126.jpeg"/><Relationship Id="rId167" Type="http://schemas.openxmlformats.org/officeDocument/2006/relationships/image" Target="media/image127.jpeg"/><Relationship Id="rId168" Type="http://schemas.openxmlformats.org/officeDocument/2006/relationships/image" Target="media/image128.jpeg"/><Relationship Id="rId169" Type="http://schemas.openxmlformats.org/officeDocument/2006/relationships/image" Target="media/image129.jpeg"/><Relationship Id="rId170" Type="http://schemas.openxmlformats.org/officeDocument/2006/relationships/image" Target="media/image130.jpeg"/><Relationship Id="rId171" Type="http://schemas.openxmlformats.org/officeDocument/2006/relationships/image" Target="media/image131.jpeg"/><Relationship Id="rId172" Type="http://schemas.openxmlformats.org/officeDocument/2006/relationships/image" Target="media/image132.jpeg"/><Relationship Id="rId173" Type="http://schemas.openxmlformats.org/officeDocument/2006/relationships/image" Target="media/image133.jpeg"/><Relationship Id="rId174" Type="http://schemas.openxmlformats.org/officeDocument/2006/relationships/image" Target="media/image134.jpeg"/><Relationship Id="rId175" Type="http://schemas.openxmlformats.org/officeDocument/2006/relationships/image" Target="media/image135.jpeg"/><Relationship Id="rId176" Type="http://schemas.openxmlformats.org/officeDocument/2006/relationships/image" Target="media/image136.jpeg"/><Relationship Id="rId177" Type="http://schemas.openxmlformats.org/officeDocument/2006/relationships/image" Target="media/image137.jpeg"/><Relationship Id="rId178" Type="http://schemas.openxmlformats.org/officeDocument/2006/relationships/image" Target="media/image138.jpeg"/><Relationship Id="rId179" Type="http://schemas.openxmlformats.org/officeDocument/2006/relationships/image" Target="media/image139.jpeg"/><Relationship Id="rId180" Type="http://schemas.openxmlformats.org/officeDocument/2006/relationships/image" Target="media/image140.jpeg"/><Relationship Id="rId181" Type="http://schemas.openxmlformats.org/officeDocument/2006/relationships/image" Target="media/image141.jpeg"/><Relationship Id="rId182" Type="http://schemas.openxmlformats.org/officeDocument/2006/relationships/image" Target="media/image142.jpeg"/><Relationship Id="rId183" Type="http://schemas.openxmlformats.org/officeDocument/2006/relationships/image" Target="media/image143.jpeg"/><Relationship Id="rId184" Type="http://schemas.openxmlformats.org/officeDocument/2006/relationships/image" Target="media/image144.jpeg"/><Relationship Id="rId185" Type="http://schemas.openxmlformats.org/officeDocument/2006/relationships/image" Target="media/image145.jpeg"/><Relationship Id="rId186" Type="http://schemas.openxmlformats.org/officeDocument/2006/relationships/image" Target="media/image146.jpeg"/><Relationship Id="rId187" Type="http://schemas.openxmlformats.org/officeDocument/2006/relationships/image" Target="media/image147.jpeg"/><Relationship Id="rId188" Type="http://schemas.openxmlformats.org/officeDocument/2006/relationships/image" Target="media/image148.jpeg"/><Relationship Id="rId189" Type="http://schemas.openxmlformats.org/officeDocument/2006/relationships/image" Target="media/image149.jpeg"/><Relationship Id="rId190" Type="http://schemas.openxmlformats.org/officeDocument/2006/relationships/fontTable" Target="fontTable.xml"/><Relationship Id="rId19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110105</Words>
  <Characters>592866</Characters>
  <CharactersWithSpaces>701820</CharactersWithSpaces>
  <Paragraphs>3321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rcii-secondamendmentexec</dc:title>
</cp:coreProperties>
</file>