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ind w:left="2140"/>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7"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35" w:lineRule="exact"/>
        <w:rPr>
          <w:sz w:val="24"/>
          <w:szCs w:val="24"/>
          <w:color w:val="auto"/>
        </w:rPr>
      </w:pPr>
    </w:p>
    <w:p>
      <w:pPr>
        <w:ind w:left="420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001-38047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Upbound Group,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30" w:right="339" w:bottom="1440" w:gutter="0" w:footer="0" w:header="0"/>
        </w:sectPr>
      </w:pPr>
    </w:p>
    <w:p>
      <w:pPr>
        <w:spacing w:after="0" w:line="30"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45-0491516</w:t>
      </w:r>
    </w:p>
    <w:p>
      <w:pPr>
        <w:spacing w:after="0" w:line="50" w:lineRule="exact"/>
        <w:rPr>
          <w:sz w:val="24"/>
          <w:szCs w:val="24"/>
          <w:color w:val="auto"/>
        </w:rPr>
      </w:pPr>
    </w:p>
    <w:p>
      <w:pPr>
        <w:sectPr>
          <w:pgSz w:w="11900" w:h="16838" w:orient="portrait"/>
          <w:cols w:equalWidth="0" w:num="2">
            <w:col w:w="7300" w:space="720"/>
            <w:col w:w="3220"/>
          </w:cols>
          <w:pgMar w:left="320" w:top="1030" w:right="33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44"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3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38" w:lineRule="exact"/>
        <w:rPr>
          <w:sz w:val="24"/>
          <w:szCs w:val="24"/>
          <w:color w:val="auto"/>
        </w:rPr>
      </w:pPr>
    </w:p>
    <w:p>
      <w:pPr>
        <w:sectPr>
          <w:pgSz w:w="11900" w:h="16838" w:orient="portrait"/>
          <w:cols w:equalWidth="0" w:num="2">
            <w:col w:w="7160" w:space="720"/>
            <w:col w:w="3360"/>
          </w:cols>
          <w:pgMar w:left="320" w:top="1030"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5501 Headquarters Drive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Plano, Texas 75024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of registrant’s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972-801-1100</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1030" w:right="339" w:bottom="1440" w:gutter="0" w:footer="0" w:header="0"/>
          <w:type w:val="continuous"/>
        </w:sectPr>
      </w:pPr>
    </w:p>
    <w:p>
      <w:pPr>
        <w:spacing w:after="0" w:line="50" w:lineRule="exact"/>
        <w:rPr>
          <w:sz w:val="24"/>
          <w:szCs w:val="24"/>
          <w:color w:val="auto"/>
        </w:rPr>
      </w:pPr>
    </w:p>
    <w:p>
      <w:pPr>
        <w:jc w:val="center"/>
        <w:ind w:left="2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220"/>
        <w:spacing w:after="0"/>
        <w:rPr>
          <w:sz w:val="20"/>
          <w:szCs w:val="20"/>
          <w:color w:val="auto"/>
        </w:rPr>
      </w:pPr>
      <w:r>
        <w:rPr>
          <w:rFonts w:ascii="Arial" w:cs="Arial" w:eastAsia="Arial" w:hAnsi="Arial"/>
          <w:sz w:val="16"/>
          <w:szCs w:val="16"/>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Trading Symbol</w:t>
      </w:r>
    </w:p>
    <w:p>
      <w:pPr>
        <w:spacing w:after="0" w:line="50"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UPBD</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5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The Nasdaq Stock Market</w:t>
      </w:r>
    </w:p>
    <w:p>
      <w:pPr>
        <w:spacing w:after="0" w:line="94" w:lineRule="exact"/>
        <w:rPr>
          <w:sz w:val="24"/>
          <w:szCs w:val="24"/>
          <w:color w:val="auto"/>
        </w:rPr>
      </w:pPr>
    </w:p>
    <w:p>
      <w:pPr>
        <w:sectPr>
          <w:pgSz w:w="11900" w:h="16838" w:orient="portrait"/>
          <w:cols w:equalWidth="0" w:num="3">
            <w:col w:w="4260" w:space="720"/>
            <w:col w:w="1620" w:space="720"/>
            <w:col w:w="3920"/>
          </w:cols>
          <w:pgMar w:left="320" w:top="1030" w:right="339" w:bottom="1440" w:gutter="0" w:footer="0" w:header="0"/>
          <w:type w:val="continuous"/>
        </w:sectPr>
      </w:pPr>
    </w:p>
    <w:p>
      <w:pPr>
        <w:ind w:right="38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 w:lineRule="exact"/>
        <w:rPr>
          <w:sz w:val="24"/>
          <w:szCs w:val="24"/>
          <w:color w:val="auto"/>
        </w:rPr>
      </w:pPr>
    </w:p>
    <w:p>
      <w:pPr>
        <w:ind w:right="40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 w:lineRule="exact"/>
        <w:rPr>
          <w:sz w:val="24"/>
          <w:szCs w:val="24"/>
          <w:color w:val="auto"/>
        </w:rPr>
      </w:pPr>
    </w:p>
    <w:p>
      <w:pPr>
        <w:ind w:right="120"/>
        <w:spacing w:after="0" w:line="25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25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ind w:left="2260"/>
              <w:spacing w:after="0"/>
              <w:rPr>
                <w:sz w:val="20"/>
                <w:szCs w:val="20"/>
                <w:color w:val="auto"/>
              </w:rPr>
            </w:pPr>
            <w:r>
              <w:rPr>
                <w:rFonts w:ascii="Arial" w:cs="Arial" w:eastAsia="Arial" w:hAnsi="Arial"/>
                <w:sz w:val="16"/>
                <w:szCs w:val="16"/>
                <w:color w:val="auto"/>
              </w:rPr>
              <w:t>Accelerated filer</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54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ind w:left="2260"/>
              <w:spacing w:after="0"/>
              <w:rPr>
                <w:sz w:val="20"/>
                <w:szCs w:val="20"/>
                <w:color w:val="auto"/>
              </w:rPr>
            </w:pPr>
            <w:r>
              <w:rPr>
                <w:rFonts w:ascii="Arial" w:cs="Arial" w:eastAsia="Arial" w:hAnsi="Arial"/>
                <w:sz w:val="16"/>
                <w:szCs w:val="16"/>
                <w:color w:val="auto"/>
              </w:rPr>
              <w:t>Smaller reporting company</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5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60" w:type="dxa"/>
            <w:vAlign w:val="bottom"/>
          </w:tcPr>
          <w:p>
            <w:pPr>
              <w:spacing w:after="0"/>
              <w:rPr>
                <w:sz w:val="23"/>
                <w:szCs w:val="23"/>
                <w:color w:val="auto"/>
              </w:rPr>
            </w:pPr>
          </w:p>
        </w:tc>
        <w:tc>
          <w:tcPr>
            <w:tcW w:w="760" w:type="dxa"/>
            <w:vAlign w:val="bottom"/>
          </w:tcPr>
          <w:p>
            <w:pPr>
              <w:spacing w:after="0"/>
              <w:rPr>
                <w:sz w:val="23"/>
                <w:szCs w:val="23"/>
                <w:color w:val="auto"/>
              </w:rPr>
            </w:pPr>
          </w:p>
        </w:tc>
      </w:tr>
    </w:tbl>
    <w:p>
      <w:pPr>
        <w:ind w:left="20"/>
        <w:spacing w:after="0" w:line="217"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w:t>
      </w:r>
    </w:p>
    <w:p>
      <w:pPr>
        <w:ind w:left="20"/>
        <w:spacing w:after="0" w:line="184" w:lineRule="exact"/>
        <w:tabs>
          <w:tab w:leader="none" w:pos="10800" w:val="left"/>
        </w:tabs>
        <w:rPr>
          <w:sz w:val="20"/>
          <w:szCs w:val="20"/>
          <w:color w:val="auto"/>
        </w:rPr>
      </w:pPr>
      <w:r>
        <w:rPr>
          <w:rFonts w:ascii="Arial" w:cs="Arial" w:eastAsia="Arial" w:hAnsi="Arial"/>
          <w:sz w:val="16"/>
          <w:szCs w:val="16"/>
          <w:color w:val="auto"/>
        </w:rPr>
        <w:t>financial accounting standards provided pursuant to Section 13(a) of the Exchange Act.</w:t>
      </w:r>
      <w:r>
        <w:rPr>
          <w:sz w:val="20"/>
          <w:szCs w:val="20"/>
          <w:color w:val="auto"/>
        </w:rPr>
        <w:tab/>
      </w:r>
      <w:r>
        <w:rPr>
          <w:rFonts w:ascii="MS PGothic" w:cs="MS PGothic" w:eastAsia="MS PGothic" w:hAnsi="MS PGothic"/>
          <w:sz w:val="14"/>
          <w:szCs w:val="14"/>
          <w:color w:val="auto"/>
        </w:rPr>
        <w:t>☐</w:t>
      </w:r>
    </w:p>
    <w:p>
      <w:pPr>
        <w:spacing w:after="0" w:line="10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p>
      <w:pPr>
        <w:ind w:right="300"/>
        <w:spacing w:after="0" w:line="211"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5" w:lineRule="exact"/>
        <w:rPr>
          <w:sz w:val="24"/>
          <w:szCs w:val="24"/>
          <w:color w:val="auto"/>
        </w:rPr>
      </w:pPr>
    </w:p>
    <w:p>
      <w:pPr>
        <w:ind w:right="400"/>
        <w:spacing w:after="0" w:line="211" w:lineRule="exact"/>
        <w:rPr>
          <w:sz w:val="20"/>
          <w:szCs w:val="20"/>
          <w:color w:val="auto"/>
        </w:rPr>
      </w:pPr>
      <w:r>
        <w:rPr>
          <w:rFonts w:ascii="Arial" w:cs="Arial" w:eastAsia="Arial" w:hAnsi="Arial"/>
          <w:sz w:val="16"/>
          <w:szCs w:val="16"/>
          <w:color w:val="auto"/>
        </w:rPr>
        <w:t xml:space="preserve">Indicate by check mark whether any of these error corrections are restatements that require a recovery analysis of incentive-based compensation received by any of the registrant's executive officers during the relevant recovery period pursuant to §240 10D-1(b). </w:t>
      </w:r>
      <w:r>
        <w:rPr>
          <w:rFonts w:ascii="MS PGothic" w:cs="MS PGothic" w:eastAsia="MS PGothic" w:hAnsi="MS PGothic"/>
          <w:sz w:val="16"/>
          <w:szCs w:val="16"/>
          <w:color w:val="auto"/>
        </w:rPr>
        <w: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7740" w:type="dxa"/>
            <w:vAlign w:val="bottom"/>
          </w:tcPr>
          <w:p>
            <w:pPr>
              <w:spacing w:after="0"/>
              <w:rPr>
                <w:sz w:val="20"/>
                <w:szCs w:val="20"/>
                <w:color w:val="auto"/>
              </w:rPr>
            </w:pPr>
            <w:r>
              <w:rPr>
                <w:rFonts w:ascii="Arial" w:cs="Arial" w:eastAsia="Arial" w:hAnsi="Arial"/>
                <w:sz w:val="16"/>
                <w:szCs w:val="16"/>
                <w:color w:val="auto"/>
                <w:w w:val="94"/>
              </w:rPr>
              <w:t>Indicate the number of shares outstanding of each of the issuer’s classes of common stock, as of October 24, 2023:</w:t>
            </w:r>
          </w:p>
        </w:tc>
        <w:tc>
          <w:tcPr>
            <w:tcW w:w="3500" w:type="dxa"/>
            <w:vAlign w:val="bottom"/>
          </w:tcPr>
          <w:p>
            <w:pPr>
              <w:spacing w:after="0"/>
              <w:rPr>
                <w:sz w:val="17"/>
                <w:szCs w:val="17"/>
                <w:color w:val="auto"/>
              </w:rPr>
            </w:pPr>
          </w:p>
        </w:tc>
      </w:tr>
      <w:tr>
        <w:trPr>
          <w:trHeight w:val="243"/>
        </w:trPr>
        <w:tc>
          <w:tcPr>
            <w:tcW w:w="7740" w:type="dxa"/>
            <w:vAlign w:val="bottom"/>
          </w:tcPr>
          <w:p>
            <w:pPr>
              <w:jc w:val="center"/>
              <w:ind w:right="2099"/>
              <w:spacing w:after="0"/>
              <w:rPr>
                <w:sz w:val="20"/>
                <w:szCs w:val="20"/>
                <w:color w:val="auto"/>
              </w:rPr>
            </w:pPr>
            <w:r>
              <w:rPr>
                <w:rFonts w:ascii="Arial" w:cs="Arial" w:eastAsia="Arial" w:hAnsi="Arial"/>
                <w:sz w:val="16"/>
                <w:szCs w:val="16"/>
                <w:color w:val="auto"/>
                <w:w w:val="89"/>
              </w:rPr>
              <w:t>Class</w:t>
            </w:r>
          </w:p>
        </w:tc>
        <w:tc>
          <w:tcPr>
            <w:tcW w:w="3500" w:type="dxa"/>
            <w:vAlign w:val="bottom"/>
          </w:tcPr>
          <w:p>
            <w:pPr>
              <w:jc w:val="center"/>
              <w:ind w:right="2019"/>
              <w:spacing w:after="0"/>
              <w:rPr>
                <w:sz w:val="20"/>
                <w:szCs w:val="20"/>
                <w:color w:val="auto"/>
              </w:rPr>
            </w:pPr>
            <w:r>
              <w:rPr>
                <w:rFonts w:ascii="Arial" w:cs="Arial" w:eastAsia="Arial" w:hAnsi="Arial"/>
                <w:sz w:val="16"/>
                <w:szCs w:val="16"/>
                <w:color w:val="auto"/>
                <w:w w:val="92"/>
              </w:rPr>
              <w:t>Outstanding</w:t>
            </w:r>
          </w:p>
        </w:tc>
      </w:tr>
      <w:tr>
        <w:trPr>
          <w:trHeight w:val="216"/>
        </w:trPr>
        <w:tc>
          <w:tcPr>
            <w:tcW w:w="7740" w:type="dxa"/>
            <w:vAlign w:val="bottom"/>
          </w:tcPr>
          <w:p>
            <w:pPr>
              <w:jc w:val="center"/>
              <w:ind w:right="2099"/>
              <w:spacing w:after="0"/>
              <w:rPr>
                <w:sz w:val="20"/>
                <w:szCs w:val="20"/>
                <w:color w:val="auto"/>
              </w:rPr>
            </w:pPr>
            <w:r>
              <w:rPr>
                <w:rFonts w:ascii="Arial" w:cs="Arial" w:eastAsia="Arial" w:hAnsi="Arial"/>
                <w:sz w:val="16"/>
                <w:szCs w:val="16"/>
                <w:color w:val="auto"/>
                <w:w w:val="92"/>
              </w:rPr>
              <w:t>Common stock, $.01 par value</w:t>
            </w:r>
          </w:p>
        </w:tc>
        <w:tc>
          <w:tcPr>
            <w:tcW w:w="3500" w:type="dxa"/>
            <w:vAlign w:val="bottom"/>
          </w:tcPr>
          <w:p>
            <w:pPr>
              <w:jc w:val="right"/>
              <w:ind w:right="2359"/>
              <w:spacing w:after="0"/>
              <w:rPr>
                <w:sz w:val="20"/>
                <w:szCs w:val="20"/>
                <w:color w:val="auto"/>
              </w:rPr>
            </w:pPr>
            <w:r>
              <w:rPr>
                <w:rFonts w:ascii="Arial" w:cs="Arial" w:eastAsia="Arial" w:hAnsi="Arial"/>
                <w:sz w:val="16"/>
                <w:szCs w:val="16"/>
                <w:color w:val="auto"/>
              </w:rPr>
              <w:t>54,294,852</w:t>
            </w:r>
          </w:p>
        </w:tc>
      </w:tr>
      <w:tr>
        <w:trPr>
          <w:trHeight w:val="1336"/>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9440" w:type="dxa"/>
            <w:vAlign w:val="bottom"/>
            <w:gridSpan w:val="3"/>
          </w:tcPr>
          <w:p>
            <w:pPr>
              <w:ind w:left="3740"/>
              <w:spacing w:after="0"/>
              <w:rPr>
                <w:sz w:val="20"/>
                <w:szCs w:val="20"/>
                <w:color w:val="auto"/>
              </w:rPr>
            </w:pPr>
            <w:r>
              <w:rPr>
                <w:rFonts w:ascii="Arial" w:cs="Arial" w:eastAsia="Arial" w:hAnsi="Arial"/>
                <w:sz w:val="18"/>
                <w:szCs w:val="18"/>
                <w:b w:val="1"/>
                <w:bCs w:val="1"/>
                <w:color w:val="auto"/>
              </w:rPr>
              <w:t>TABLE OF CONTENTS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3"/>
        </w:trPr>
        <w:tc>
          <w:tcPr>
            <w:tcW w:w="9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780" w:type="dxa"/>
            <w:vAlign w:val="bottom"/>
          </w:tcPr>
          <w:p>
            <w:pPr>
              <w:spacing w:after="0"/>
              <w:rPr>
                <w:sz w:val="24"/>
                <w:szCs w:val="24"/>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6"/>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440" w:type="dxa"/>
            <w:vAlign w:val="bottom"/>
            <w:gridSpan w:val="3"/>
            <w:vMerge w:val="restart"/>
          </w:tcPr>
          <w:p>
            <w:pPr>
              <w:ind w:left="200"/>
              <w:spacing w:after="0"/>
              <w:rPr>
                <w:sz w:val="20"/>
                <w:szCs w:val="20"/>
                <w:color w:val="auto"/>
              </w:rPr>
            </w:pPr>
            <w:r>
              <w:rPr>
                <w:rFonts w:ascii="Arial" w:cs="Arial" w:eastAsia="Arial" w:hAnsi="Arial"/>
                <w:sz w:val="18"/>
                <w:szCs w:val="18"/>
                <w:b w:val="1"/>
                <w:bCs w:val="1"/>
                <w:color w:val="auto"/>
              </w:rPr>
              <w:t>FINANCIAL INFORMATION</w:t>
            </w: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00" w:type="dxa"/>
            <w:vAlign w:val="bottom"/>
            <w:vMerge w:val="continue"/>
          </w:tcPr>
          <w:p>
            <w:pPr>
              <w:spacing w:after="0"/>
              <w:rPr>
                <w:sz w:val="18"/>
                <w:szCs w:val="18"/>
                <w:color w:val="auto"/>
              </w:rPr>
            </w:pPr>
          </w:p>
        </w:tc>
        <w:tc>
          <w:tcPr>
            <w:tcW w:w="9440" w:type="dxa"/>
            <w:vAlign w:val="bottom"/>
            <w:gridSpan w:val="3"/>
            <w:vMerge w:val="continue"/>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440" w:type="dxa"/>
            <w:vAlign w:val="bottom"/>
            <w:gridSpan w:val="3"/>
          </w:tcPr>
          <w:p>
            <w:pPr>
              <w:ind w:left="200"/>
              <w:spacing w:after="0"/>
              <w:rPr>
                <w:sz w:val="20"/>
                <w:szCs w:val="20"/>
                <w:color w:val="auto"/>
              </w:rPr>
            </w:pPr>
            <w:r>
              <w:rPr>
                <w:rFonts w:ascii="Arial" w:cs="Arial" w:eastAsia="Arial" w:hAnsi="Arial"/>
                <w:sz w:val="18"/>
                <w:szCs w:val="18"/>
                <w:color w:val="auto"/>
              </w:rPr>
              <w:t>Condensed Consolidated Financial Statements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900" w:type="dxa"/>
            <w:vAlign w:val="bottom"/>
          </w:tcPr>
          <w:p>
            <w:pPr>
              <w:spacing w:after="0"/>
              <w:rPr>
                <w:sz w:val="21"/>
                <w:szCs w:val="21"/>
                <w:color w:val="auto"/>
              </w:rPr>
            </w:pPr>
          </w:p>
        </w:tc>
        <w:tc>
          <w:tcPr>
            <w:tcW w:w="9440" w:type="dxa"/>
            <w:vAlign w:val="bottom"/>
            <w:gridSpan w:val="3"/>
          </w:tcPr>
          <w:p>
            <w:pPr>
              <w:ind w:left="200"/>
              <w:spacing w:after="0"/>
              <w:rPr>
                <w:sz w:val="20"/>
                <w:szCs w:val="20"/>
                <w:color w:val="auto"/>
              </w:rPr>
            </w:pPr>
            <w:r>
              <w:rPr>
                <w:rFonts w:ascii="Arial" w:cs="Arial" w:eastAsia="Arial" w:hAnsi="Arial"/>
                <w:sz w:val="18"/>
                <w:szCs w:val="18"/>
                <w:color w:val="auto"/>
                <w:w w:val="90"/>
              </w:rPr>
              <w:t>Condensed Consolidated Statements of Operations for the three-month and nine-month periods ended September 30, 2023 and</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2022</w:t>
            </w:r>
          </w:p>
        </w:tc>
        <w:tc>
          <w:tcPr>
            <w:tcW w:w="19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2"/>
        </w:trPr>
        <w:tc>
          <w:tcPr>
            <w:tcW w:w="900" w:type="dxa"/>
            <w:vAlign w:val="bottom"/>
          </w:tcPr>
          <w:p>
            <w:pPr>
              <w:spacing w:after="0"/>
              <w:rPr>
                <w:sz w:val="21"/>
                <w:szCs w:val="21"/>
                <w:color w:val="auto"/>
              </w:rPr>
            </w:pPr>
          </w:p>
        </w:tc>
        <w:tc>
          <w:tcPr>
            <w:tcW w:w="9440" w:type="dxa"/>
            <w:vAlign w:val="bottom"/>
            <w:gridSpan w:val="3"/>
          </w:tcPr>
          <w:p>
            <w:pPr>
              <w:ind w:left="200"/>
              <w:spacing w:after="0"/>
              <w:rPr>
                <w:sz w:val="20"/>
                <w:szCs w:val="20"/>
                <w:color w:val="auto"/>
              </w:rPr>
            </w:pPr>
            <w:r>
              <w:rPr>
                <w:rFonts w:ascii="Arial" w:cs="Arial" w:eastAsia="Arial" w:hAnsi="Arial"/>
                <w:sz w:val="18"/>
                <w:szCs w:val="18"/>
                <w:color w:val="auto"/>
                <w:w w:val="94"/>
              </w:rPr>
              <w:t>Condensed Consolidated Statements of Comprehensive Income (Loss) for the three-month and nine-month periods ended</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440" w:type="dxa"/>
            <w:vAlign w:val="bottom"/>
            <w:gridSpan w:val="3"/>
          </w:tcPr>
          <w:p>
            <w:pPr>
              <w:ind w:left="200"/>
              <w:spacing w:after="0"/>
              <w:rPr>
                <w:sz w:val="20"/>
                <w:szCs w:val="20"/>
                <w:color w:val="auto"/>
              </w:rPr>
            </w:pPr>
            <w:r>
              <w:rPr>
                <w:rFonts w:ascii="Arial" w:cs="Arial" w:eastAsia="Arial" w:hAnsi="Arial"/>
                <w:sz w:val="18"/>
                <w:szCs w:val="18"/>
                <w:color w:val="auto"/>
              </w:rPr>
              <w:t>September 30, 2023 and 2022</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gridSpan w:val="3"/>
          </w:tcPr>
          <w:p>
            <w:pPr>
              <w:ind w:left="200"/>
              <w:spacing w:after="0"/>
              <w:rPr>
                <w:sz w:val="20"/>
                <w:szCs w:val="20"/>
                <w:color w:val="auto"/>
              </w:rPr>
            </w:pPr>
            <w:r>
              <w:rPr>
                <w:rFonts w:ascii="Arial" w:cs="Arial" w:eastAsia="Arial" w:hAnsi="Arial"/>
                <w:sz w:val="18"/>
                <w:szCs w:val="18"/>
                <w:color w:val="auto"/>
              </w:rPr>
              <w:t>Condensed Consolidated Balance Sheets as of September 30, 2023 and December 31, 2022</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4"/>
        </w:trPr>
        <w:tc>
          <w:tcPr>
            <w:tcW w:w="900" w:type="dxa"/>
            <w:vAlign w:val="bottom"/>
          </w:tcPr>
          <w:p>
            <w:pPr>
              <w:spacing w:after="0"/>
              <w:rPr>
                <w:sz w:val="24"/>
                <w:szCs w:val="24"/>
                <w:color w:val="auto"/>
              </w:rPr>
            </w:pPr>
          </w:p>
        </w:tc>
        <w:tc>
          <w:tcPr>
            <w:tcW w:w="9440" w:type="dxa"/>
            <w:vAlign w:val="bottom"/>
            <w:gridSpan w:val="3"/>
          </w:tcPr>
          <w:p>
            <w:pPr>
              <w:ind w:left="200"/>
              <w:spacing w:after="0"/>
              <w:rPr>
                <w:sz w:val="20"/>
                <w:szCs w:val="20"/>
                <w:color w:val="auto"/>
              </w:rPr>
            </w:pPr>
            <w:r>
              <w:rPr>
                <w:rFonts w:ascii="Arial" w:cs="Arial" w:eastAsia="Arial" w:hAnsi="Arial"/>
                <w:sz w:val="18"/>
                <w:szCs w:val="18"/>
                <w:color w:val="auto"/>
                <w:w w:val="91"/>
              </w:rPr>
              <w:t>Condensed Consolidated Statements of Stockholders' Equity for the nine-month periods ending September 30, 2023 and 2022</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gridSpan w:val="3"/>
          </w:tcPr>
          <w:p>
            <w:pPr>
              <w:ind w:left="200"/>
              <w:spacing w:after="0"/>
              <w:rPr>
                <w:sz w:val="20"/>
                <w:szCs w:val="20"/>
                <w:color w:val="auto"/>
              </w:rPr>
            </w:pPr>
            <w:r>
              <w:rPr>
                <w:rFonts w:ascii="Arial" w:cs="Arial" w:eastAsia="Arial" w:hAnsi="Arial"/>
                <w:sz w:val="18"/>
                <w:szCs w:val="18"/>
                <w:color w:val="auto"/>
                <w:w w:val="98"/>
              </w:rPr>
              <w:t>Condensed Consolidated Statements of Cash Flows for the nine-month periods ended September 30, 2023 and 2022</w:t>
            </w: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gridSpan w:val="3"/>
          </w:tcPr>
          <w:p>
            <w:pPr>
              <w:ind w:left="200"/>
              <w:spacing w:after="0"/>
              <w:rPr>
                <w:sz w:val="20"/>
                <w:szCs w:val="20"/>
                <w:color w:val="auto"/>
              </w:rPr>
            </w:pPr>
            <w:r>
              <w:rPr>
                <w:rFonts w:ascii="Arial" w:cs="Arial" w:eastAsia="Arial" w:hAnsi="Arial"/>
                <w:sz w:val="18"/>
                <w:szCs w:val="18"/>
                <w:color w:val="auto"/>
              </w:rPr>
              <w:t>Notes to Condensed Consolidated Financial Statements</w:t>
            </w: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440" w:type="dxa"/>
            <w:vAlign w:val="bottom"/>
            <w:gridSpan w:val="3"/>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440" w:type="dxa"/>
            <w:vAlign w:val="bottom"/>
            <w:gridSpan w:val="3"/>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84"/>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440" w:type="dxa"/>
            <w:vAlign w:val="bottom"/>
            <w:gridSpan w:val="3"/>
          </w:tcPr>
          <w:p>
            <w:pPr>
              <w:ind w:left="200"/>
              <w:spacing w:after="0"/>
              <w:rPr>
                <w:sz w:val="20"/>
                <w:szCs w:val="20"/>
                <w:color w:val="auto"/>
              </w:rPr>
            </w:pPr>
            <w:r>
              <w:rPr>
                <w:rFonts w:ascii="Arial" w:cs="Arial" w:eastAsia="Arial" w:hAnsi="Arial"/>
                <w:sz w:val="18"/>
                <w:szCs w:val="18"/>
                <w:color w:val="auto"/>
              </w:rPr>
              <w:t>Controls and Procedures</w:t>
            </w: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440" w:type="dxa"/>
            <w:vAlign w:val="bottom"/>
            <w:gridSpan w:val="3"/>
          </w:tcPr>
          <w:p>
            <w:pPr>
              <w:ind w:left="200"/>
              <w:spacing w:after="0"/>
              <w:rPr>
                <w:sz w:val="20"/>
                <w:szCs w:val="20"/>
                <w:color w:val="auto"/>
              </w:rPr>
            </w:pPr>
            <w:r>
              <w:rPr>
                <w:rFonts w:ascii="Arial" w:cs="Arial" w:eastAsia="Arial" w:hAnsi="Arial"/>
                <w:sz w:val="18"/>
                <w:szCs w:val="18"/>
                <w:b w:val="1"/>
                <w:bCs w:val="1"/>
                <w:color w:val="auto"/>
              </w:rPr>
              <w:t>OTHER INFORMATION</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440" w:type="dxa"/>
            <w:vAlign w:val="bottom"/>
            <w:gridSpan w:val="3"/>
          </w:tcPr>
          <w:p>
            <w:pPr>
              <w:ind w:left="200"/>
              <w:spacing w:after="0"/>
              <w:rPr>
                <w:sz w:val="20"/>
                <w:szCs w:val="20"/>
                <w:color w:val="auto"/>
              </w:rPr>
            </w:pPr>
            <w:r>
              <w:rPr>
                <w:rFonts w:ascii="Arial" w:cs="Arial" w:eastAsia="Arial" w:hAnsi="Arial"/>
                <w:sz w:val="18"/>
                <w:szCs w:val="18"/>
                <w:color w:val="auto"/>
              </w:rPr>
              <w:t>Legal Proceedings</w:t>
            </w: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440" w:type="dxa"/>
            <w:vAlign w:val="bottom"/>
            <w:gridSpan w:val="3"/>
          </w:tcPr>
          <w:p>
            <w:pPr>
              <w:ind w:left="200"/>
              <w:spacing w:after="0"/>
              <w:rPr>
                <w:sz w:val="20"/>
                <w:szCs w:val="20"/>
                <w:color w:val="auto"/>
              </w:rPr>
            </w:pPr>
            <w:r>
              <w:rPr>
                <w:rFonts w:ascii="Arial" w:cs="Arial" w:eastAsia="Arial" w:hAnsi="Arial"/>
                <w:sz w:val="18"/>
                <w:szCs w:val="18"/>
                <w:color w:val="auto"/>
              </w:rPr>
              <w:t>Risk Factors</w:t>
            </w: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440" w:type="dxa"/>
            <w:vAlign w:val="bottom"/>
            <w:gridSpan w:val="3"/>
          </w:tcPr>
          <w:p>
            <w:pPr>
              <w:ind w:left="200"/>
              <w:spacing w:after="0"/>
              <w:rPr>
                <w:sz w:val="20"/>
                <w:szCs w:val="20"/>
                <w:color w:val="auto"/>
              </w:rPr>
            </w:pPr>
            <w:r>
              <w:rPr>
                <w:rFonts w:ascii="Arial" w:cs="Arial" w:eastAsia="Arial" w:hAnsi="Arial"/>
                <w:sz w:val="18"/>
                <w:szCs w:val="18"/>
                <w:color w:val="auto"/>
              </w:rPr>
              <w:t>Unregistered Sales of Equity Securities and Use of Proceeds</w:t>
            </w: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84"/>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440" w:type="dxa"/>
            <w:vAlign w:val="bottom"/>
            <w:gridSpan w:val="3"/>
          </w:tcPr>
          <w:p>
            <w:pPr>
              <w:ind w:left="200"/>
              <w:spacing w:after="0"/>
              <w:rPr>
                <w:sz w:val="20"/>
                <w:szCs w:val="20"/>
                <w:color w:val="auto"/>
              </w:rPr>
            </w:pPr>
            <w:r>
              <w:rPr>
                <w:rFonts w:ascii="Arial" w:cs="Arial" w:eastAsia="Arial" w:hAnsi="Arial"/>
                <w:sz w:val="18"/>
                <w:szCs w:val="18"/>
                <w:color w:val="auto"/>
              </w:rPr>
              <w:t>Defaults Upon Senior Securities</w:t>
            </w: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440" w:type="dxa"/>
            <w:vAlign w:val="bottom"/>
            <w:gridSpan w:val="3"/>
          </w:tcPr>
          <w:p>
            <w:pPr>
              <w:ind w:left="200"/>
              <w:spacing w:after="0"/>
              <w:rPr>
                <w:sz w:val="20"/>
                <w:szCs w:val="20"/>
                <w:color w:val="auto"/>
              </w:rPr>
            </w:pPr>
            <w:r>
              <w:rPr>
                <w:rFonts w:ascii="Arial" w:cs="Arial" w:eastAsia="Arial" w:hAnsi="Arial"/>
                <w:sz w:val="18"/>
                <w:szCs w:val="18"/>
                <w:color w:val="auto"/>
              </w:rPr>
              <w:t>Mine Safety Disclosures</w:t>
            </w: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440" w:type="dxa"/>
            <w:vAlign w:val="bottom"/>
            <w:gridSpan w:val="3"/>
          </w:tcPr>
          <w:p>
            <w:pPr>
              <w:ind w:left="200"/>
              <w:spacing w:after="0"/>
              <w:rPr>
                <w:sz w:val="20"/>
                <w:szCs w:val="20"/>
                <w:color w:val="auto"/>
              </w:rPr>
            </w:pPr>
            <w:r>
              <w:rPr>
                <w:rFonts w:ascii="Arial" w:cs="Arial" w:eastAsia="Arial" w:hAnsi="Arial"/>
                <w:sz w:val="18"/>
                <w:szCs w:val="18"/>
                <w:color w:val="auto"/>
              </w:rPr>
              <w:t>Other Information</w:t>
            </w: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84"/>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440" w:type="dxa"/>
            <w:vAlign w:val="bottom"/>
            <w:gridSpan w:val="3"/>
          </w:tcPr>
          <w:p>
            <w:pPr>
              <w:ind w:left="200"/>
              <w:spacing w:after="0"/>
              <w:rPr>
                <w:sz w:val="20"/>
                <w:szCs w:val="20"/>
                <w:color w:val="auto"/>
              </w:rPr>
            </w:pPr>
            <w:r>
              <w:rPr>
                <w:rFonts w:ascii="Arial" w:cs="Arial" w:eastAsia="Arial" w:hAnsi="Arial"/>
                <w:sz w:val="18"/>
                <w:szCs w:val="18"/>
                <w:color w:val="auto"/>
              </w:rPr>
              <w:t>Exhibits</w:t>
            </w: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1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1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UPBOUND GROUP, INC. AND SUBSIDIARIES</w:t>
      </w:r>
    </w:p>
    <w:p>
      <w:pPr>
        <w:spacing w:after="0" w:line="117" w:lineRule="exact"/>
        <w:rPr>
          <w:sz w:val="20"/>
          <w:szCs w:val="20"/>
          <w:color w:val="auto"/>
        </w:rPr>
      </w:pPr>
    </w:p>
    <w:p>
      <w:pPr>
        <w:jc w:val="right"/>
        <w:ind w:right="29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931" w:right="339" w:bottom="1440" w:gutter="0" w:footer="0" w:header="0"/>
        </w:sectPr>
      </w:pPr>
    </w:p>
    <w:p>
      <w:pPr>
        <w:spacing w:after="0" w:line="216" w:lineRule="exact"/>
        <w:rPr>
          <w:sz w:val="20"/>
          <w:szCs w:val="20"/>
          <w:color w:val="auto"/>
        </w:rPr>
      </w:pPr>
    </w:p>
    <w:p>
      <w:pPr>
        <w:jc w:val="center"/>
        <w:ind w:left="568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39370</wp:posOffset>
            </wp:positionV>
            <wp:extent cx="18256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47" w:lineRule="exact"/>
        <w:rPr>
          <w:sz w:val="20"/>
          <w:szCs w:val="20"/>
          <w:color w:val="auto"/>
        </w:rPr>
      </w:pPr>
    </w:p>
    <w:p>
      <w:pPr>
        <w:ind w:left="5960"/>
        <w:spacing w:after="0"/>
        <w:tabs>
          <w:tab w:leader="none" w:pos="742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36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39370</wp:posOffset>
            </wp:positionV>
            <wp:extent cx="1817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47" w:lineRule="exact"/>
        <w:rPr>
          <w:sz w:val="20"/>
          <w:szCs w:val="20"/>
          <w:color w:val="auto"/>
        </w:rPr>
      </w:pPr>
    </w:p>
    <w:p>
      <w:pPr>
        <w:ind w:left="180"/>
        <w:spacing w:after="0"/>
        <w:tabs>
          <w:tab w:leader="none" w:pos="164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31" w:lineRule="exact"/>
        <w:rPr>
          <w:sz w:val="20"/>
          <w:szCs w:val="20"/>
          <w:color w:val="auto"/>
        </w:rPr>
      </w:pPr>
    </w:p>
    <w:p>
      <w:pPr>
        <w:sectPr>
          <w:pgSz w:w="11900" w:h="16838" w:orient="portrait"/>
          <w:cols w:equalWidth="0" w:num="2">
            <w:col w:w="8020" w:space="720"/>
            <w:col w:w="2500"/>
          </w:cols>
          <w:pgMar w:left="320" w:top="931"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54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4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Store</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Rentals and fees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806,766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2,421,039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2,569,804</w:t>
            </w:r>
          </w:p>
        </w:tc>
        <w:tc>
          <w:tcPr>
            <w:tcW w:w="0" w:type="dxa"/>
            <w:vAlign w:val="bottom"/>
          </w:tcPr>
          <w:p>
            <w:pPr>
              <w:spacing w:after="0"/>
              <w:rPr>
                <w:sz w:val="1"/>
                <w:szCs w:val="1"/>
                <w:color w:val="auto"/>
              </w:rPr>
            </w:pPr>
          </w:p>
        </w:tc>
      </w:tr>
      <w:tr>
        <w:trPr>
          <w:trHeight w:val="229"/>
        </w:trPr>
        <w:tc>
          <w:tcPr>
            <w:tcW w:w="5400" w:type="dxa"/>
            <w:vAlign w:val="bottom"/>
          </w:tcPr>
          <w:p>
            <w:pPr>
              <w:ind w:left="680"/>
              <w:spacing w:after="0"/>
              <w:rPr>
                <w:sz w:val="20"/>
                <w:szCs w:val="20"/>
                <w:color w:val="auto"/>
              </w:rPr>
            </w:pPr>
            <w:r>
              <w:rPr>
                <w:rFonts w:ascii="Arial" w:cs="Arial" w:eastAsia="Arial" w:hAnsi="Arial"/>
                <w:sz w:val="18"/>
                <w:szCs w:val="18"/>
                <w:color w:val="auto"/>
              </w:rPr>
              <w:t>Merchandise sales</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127,564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147,616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415,256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541,265</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Installment sales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52,355</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store revenues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2,885,908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3,167,122</w:t>
            </w: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Franchise</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Merchandise sales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67,849</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Royalty income and fees</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19,962</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revenues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979,098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1,023,957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2,974,322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3,254,933</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Store</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680"/>
              <w:spacing w:after="0"/>
              <w:rPr>
                <w:sz w:val="20"/>
                <w:szCs w:val="20"/>
                <w:color w:val="auto"/>
              </w:rPr>
            </w:pPr>
            <w:r>
              <w:rPr>
                <w:rFonts w:ascii="Arial" w:cs="Arial" w:eastAsia="Arial" w:hAnsi="Arial"/>
                <w:sz w:val="18"/>
                <w:szCs w:val="18"/>
                <w:color w:val="auto"/>
              </w:rPr>
              <w:t>Cost of rentals and fees</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296,820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310,079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885,662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968,655</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Cost of merchandise sold</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615,543</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Cost of installment sales</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18,379</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cost of store revenues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1,394,900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1,602,577</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Franchise cost of merchandise sold</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68,183</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 cost of revenues</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481,932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518,422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1,464,666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1,670,760</w:t>
            </w:r>
          </w:p>
        </w:tc>
        <w:tc>
          <w:tcPr>
            <w:tcW w:w="0" w:type="dxa"/>
            <w:vAlign w:val="bottom"/>
          </w:tcPr>
          <w:p>
            <w:pPr>
              <w:spacing w:after="0"/>
              <w:rPr>
                <w:sz w:val="1"/>
                <w:szCs w:val="1"/>
                <w:color w:val="auto"/>
              </w:rPr>
            </w:pPr>
          </w:p>
        </w:tc>
      </w:tr>
      <w:tr>
        <w:trPr>
          <w:trHeight w:val="223"/>
        </w:trPr>
        <w:tc>
          <w:tcPr>
            <w:tcW w:w="5400" w:type="dxa"/>
            <w:vAlign w:val="bottom"/>
          </w:tcPr>
          <w:p>
            <w:pPr>
              <w:ind w:left="680"/>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497,166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505,535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1,509,656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1,584,173</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Store expenses</w:t>
            </w: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Labor</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486,751</w:t>
            </w:r>
          </w:p>
        </w:tc>
        <w:tc>
          <w:tcPr>
            <w:tcW w:w="0" w:type="dxa"/>
            <w:vAlign w:val="bottom"/>
          </w:tcPr>
          <w:p>
            <w:pPr>
              <w:spacing w:after="0"/>
              <w:rPr>
                <w:sz w:val="1"/>
                <w:szCs w:val="1"/>
                <w:color w:val="auto"/>
              </w:rPr>
            </w:pPr>
          </w:p>
        </w:tc>
      </w:tr>
      <w:tr>
        <w:trPr>
          <w:trHeight w:val="229"/>
        </w:trPr>
        <w:tc>
          <w:tcPr>
            <w:tcW w:w="5400" w:type="dxa"/>
            <w:vAlign w:val="bottom"/>
          </w:tcPr>
          <w:p>
            <w:pPr>
              <w:ind w:left="680"/>
              <w:spacing w:after="0"/>
              <w:rPr>
                <w:sz w:val="20"/>
                <w:szCs w:val="20"/>
                <w:color w:val="auto"/>
              </w:rPr>
            </w:pPr>
            <w:r>
              <w:rPr>
                <w:rFonts w:ascii="Arial" w:cs="Arial" w:eastAsia="Arial" w:hAnsi="Arial"/>
                <w:sz w:val="18"/>
                <w:szCs w:val="18"/>
                <w:color w:val="auto"/>
              </w:rPr>
              <w:t>Other store expenses</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191,455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197,847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569,267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624,306</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141,273</w:t>
            </w: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40,208</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185,435</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439,114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468,458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1,402,686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1,477,973</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106,200</w:t>
            </w:r>
          </w:p>
        </w:tc>
        <w:tc>
          <w:tcPr>
            <w:tcW w:w="0" w:type="dxa"/>
            <w:vAlign w:val="bottom"/>
          </w:tcPr>
          <w:p>
            <w:pPr>
              <w:spacing w:after="0"/>
              <w:rPr>
                <w:sz w:val="1"/>
                <w:szCs w:val="1"/>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84,233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61,018</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3"/>
        </w:trPr>
        <w:tc>
          <w:tcPr>
            <w:tcW w:w="5400" w:type="dxa"/>
            <w:vAlign w:val="bottom"/>
          </w:tcPr>
          <w:p>
            <w:pPr>
              <w:ind w:left="680"/>
              <w:spacing w:after="0"/>
              <w:rPr>
                <w:sz w:val="20"/>
                <w:szCs w:val="20"/>
                <w:color w:val="auto"/>
              </w:rPr>
            </w:pPr>
            <w:r>
              <w:rPr>
                <w:rFonts w:ascii="Arial" w:cs="Arial" w:eastAsia="Arial" w:hAnsi="Arial"/>
                <w:sz w:val="18"/>
                <w:szCs w:val="18"/>
                <w:color w:val="auto"/>
              </w:rPr>
              <w:t>Earnings before income taxes</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45,535</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35,825</w:t>
            </w:r>
          </w:p>
        </w:tc>
        <w:tc>
          <w:tcPr>
            <w:tcW w:w="0" w:type="dxa"/>
            <w:vAlign w:val="bottom"/>
          </w:tcPr>
          <w:p>
            <w:pPr>
              <w:spacing w:after="0"/>
              <w:rPr>
                <w:sz w:val="1"/>
                <w:szCs w:val="1"/>
                <w:color w:val="auto"/>
              </w:rPr>
            </w:pPr>
          </w:p>
        </w:tc>
      </w:tr>
      <w:tr>
        <w:trPr>
          <w:trHeight w:val="223"/>
        </w:trPr>
        <w:tc>
          <w:tcPr>
            <w:tcW w:w="5400" w:type="dxa"/>
            <w:vAlign w:val="bottom"/>
          </w:tcPr>
          <w:p>
            <w:pPr>
              <w:ind w:left="680"/>
              <w:spacing w:after="0"/>
              <w:rPr>
                <w:sz w:val="20"/>
                <w:szCs w:val="20"/>
                <w:color w:val="auto"/>
              </w:rPr>
            </w:pPr>
            <w:r>
              <w:rPr>
                <w:rFonts w:ascii="Arial" w:cs="Arial" w:eastAsia="Arial" w:hAnsi="Arial"/>
                <w:sz w:val="18"/>
                <w:szCs w:val="18"/>
                <w:color w:val="auto"/>
              </w:rPr>
              <w:t>Net earnings (loss)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9,710</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(loss) per common share</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vMerge w:val="continue"/>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 (LOSS)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364" w:right="339" w:bottom="1440" w:gutter="0" w:footer="0" w:header="0"/>
        </w:sectPr>
      </w:pPr>
    </w:p>
    <w:p>
      <w:pPr>
        <w:spacing w:after="0" w:line="216" w:lineRule="exact"/>
        <w:rPr>
          <w:sz w:val="20"/>
          <w:szCs w:val="20"/>
          <w:color w:val="auto"/>
        </w:rPr>
      </w:pPr>
    </w:p>
    <w:p>
      <w:pPr>
        <w:jc w:val="center"/>
        <w:ind w:left="572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39370</wp:posOffset>
            </wp:positionV>
            <wp:extent cx="1825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47" w:lineRule="exact"/>
        <w:rPr>
          <w:sz w:val="20"/>
          <w:szCs w:val="20"/>
          <w:color w:val="auto"/>
        </w:rPr>
      </w:pPr>
    </w:p>
    <w:p>
      <w:pPr>
        <w:ind w:left="5960"/>
        <w:spacing w:after="0"/>
        <w:tabs>
          <w:tab w:leader="none" w:pos="746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3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39370</wp:posOffset>
            </wp:positionV>
            <wp:extent cx="1800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47" w:lineRule="exact"/>
        <w:rPr>
          <w:sz w:val="20"/>
          <w:szCs w:val="20"/>
          <w:color w:val="auto"/>
        </w:rPr>
      </w:pPr>
    </w:p>
    <w:p>
      <w:pPr>
        <w:ind w:left="200"/>
        <w:spacing w:after="0"/>
        <w:tabs>
          <w:tab w:leader="none" w:pos="166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31" w:lineRule="exact"/>
        <w:rPr>
          <w:sz w:val="20"/>
          <w:szCs w:val="20"/>
          <w:color w:val="auto"/>
        </w:rPr>
      </w:pPr>
    </w:p>
    <w:p>
      <w:pPr>
        <w:sectPr>
          <w:pgSz w:w="11900" w:h="16838" w:orient="portrait"/>
          <w:cols w:equalWidth="0" w:num="2">
            <w:col w:w="8020" w:space="720"/>
            <w:col w:w="250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54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3"/>
              </w:rPr>
              <w:t>4,363</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9,710</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4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Foreign currency translation adjustments, net of tax of $(725) and</w:t>
            </w: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$(163), $1,202 and $(14) for the three and nine months</w:t>
            </w:r>
          </w:p>
        </w:tc>
        <w:tc>
          <w:tcPr>
            <w:tcW w:w="4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center"/>
              <w:ind w:left="250"/>
              <w:spacing w:after="0"/>
              <w:rPr>
                <w:sz w:val="20"/>
                <w:szCs w:val="20"/>
                <w:color w:val="auto"/>
              </w:rPr>
            </w:pPr>
            <w:r>
              <w:rPr>
                <w:rFonts w:ascii="Arial" w:cs="Arial" w:eastAsia="Arial" w:hAnsi="Arial"/>
                <w:sz w:val="18"/>
                <w:szCs w:val="18"/>
                <w:color w:val="auto"/>
                <w:w w:val="91"/>
              </w:rPr>
              <w:t>(2,729)</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ended September 30, 2023 and 2022, respectively</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other comprehensive (loss) income</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1"/>
              </w:rPr>
              <w:t>(2,729)</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Comprehensive income (loss)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270"/>
              <w:spacing w:after="0"/>
              <w:rPr>
                <w:sz w:val="20"/>
                <w:szCs w:val="20"/>
                <w:color w:val="auto"/>
              </w:rPr>
            </w:pPr>
            <w:r>
              <w:rPr>
                <w:rFonts w:ascii="Arial" w:cs="Arial" w:eastAsia="Arial" w:hAnsi="Arial"/>
                <w:sz w:val="18"/>
                <w:szCs w:val="18"/>
                <w:color w:val="auto"/>
                <w:w w:val="93"/>
              </w:rPr>
              <w:t>1,634</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(6,393)</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26"/>
        </w:trPr>
        <w:tc>
          <w:tcPr>
            <w:tcW w:w="79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par value data)</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79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ASSETS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105,726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144,141</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Receivables, net of allowance for doubtful accounts of $13,120 and $13,214 in 2023 and 2022, respectively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111,865</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55,671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46,070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merchandise, net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On rent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968,965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989,869</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Held for rent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134,959</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Merchandise held for installment sale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Property assets, net of accumulated depreciation of $627,488 and $576,675 in 2023 and 2022, respectively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295,371</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295,879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302,311</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82,886</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289,750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289,750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359,409</w:t>
            </w:r>
          </w:p>
        </w:tc>
        <w:tc>
          <w:tcPr>
            <w:tcW w:w="0" w:type="dxa"/>
            <w:vAlign w:val="bottom"/>
          </w:tcPr>
          <w:p>
            <w:pPr>
              <w:spacing w:after="0"/>
              <w:rPr>
                <w:sz w:val="1"/>
                <w:szCs w:val="1"/>
                <w:color w:val="auto"/>
              </w:rPr>
            </w:pPr>
          </w:p>
        </w:tc>
      </w:tr>
      <w:tr>
        <w:trPr>
          <w:trHeight w:val="223"/>
        </w:trPr>
        <w:tc>
          <w:tcPr>
            <w:tcW w:w="794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2,626,075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2,763,619</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Accounts payable – trade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132,379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155,449</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320,624</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299,509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305,556</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87,986</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Senior debt, net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799,973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930,902</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net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437,956</w:t>
            </w:r>
          </w:p>
        </w:tc>
        <w:tc>
          <w:tcPr>
            <w:tcW w:w="0" w:type="dxa"/>
            <w:vAlign w:val="bottom"/>
          </w:tcPr>
          <w:p>
            <w:pPr>
              <w:spacing w:after="0"/>
              <w:rPr>
                <w:sz w:val="1"/>
                <w:szCs w:val="1"/>
                <w:color w:val="auto"/>
              </w:rPr>
            </w:pPr>
          </w:p>
        </w:tc>
      </w:tr>
      <w:tr>
        <w:trPr>
          <w:trHeight w:val="223"/>
        </w:trPr>
        <w:tc>
          <w:tcPr>
            <w:tcW w:w="794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2,028,830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2,238,473</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940" w:type="dxa"/>
            <w:vAlign w:val="bottom"/>
          </w:tcPr>
          <w:p>
            <w:pPr>
              <w:ind w:left="20"/>
              <w:spacing w:after="0" w:line="189" w:lineRule="exact"/>
              <w:rPr>
                <w:sz w:val="20"/>
                <w:szCs w:val="20"/>
                <w:color w:val="auto"/>
              </w:rPr>
            </w:pPr>
            <w:r>
              <w:rPr>
                <w:rFonts w:ascii="Arial" w:cs="Arial" w:eastAsia="Arial" w:hAnsi="Arial"/>
                <w:sz w:val="18"/>
                <w:szCs w:val="18"/>
                <w:color w:val="auto"/>
                <w:w w:val="89"/>
              </w:rPr>
              <w:t>Common stock, $0.01 par value; 250,000,000 shares authorized; 125,354,405 and 125,028,169 shares issued</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in September 30, 2023 and December 31, 2022, respectively</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1,443,667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1,298,094</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1,026,309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1,077,189</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Treasury stock at cost, 70,270,920 and 69,354,651 shares in September 30, 2023 and December 31, 2022</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(1,867,733)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(1,840,591)</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(10,626)</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525,146</w:t>
            </w:r>
          </w:p>
        </w:tc>
        <w:tc>
          <w:tcPr>
            <w:tcW w:w="0" w:type="dxa"/>
            <w:vAlign w:val="bottom"/>
          </w:tcPr>
          <w:p>
            <w:pPr>
              <w:spacing w:after="0"/>
              <w:rPr>
                <w:sz w:val="1"/>
                <w:szCs w:val="1"/>
                <w:color w:val="auto"/>
              </w:rPr>
            </w:pPr>
          </w:p>
        </w:tc>
      </w:tr>
      <w:tr>
        <w:trPr>
          <w:trHeight w:val="223"/>
        </w:trPr>
        <w:tc>
          <w:tcPr>
            <w:tcW w:w="7940" w:type="dxa"/>
            <w:vAlign w:val="bottom"/>
          </w:tcPr>
          <w:p>
            <w:pPr>
              <w:ind w:left="100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2,626,075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2,763,619</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02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980" w:type="dxa"/>
            <w:vAlign w:val="bottom"/>
          </w:tcPr>
          <w:p>
            <w:pPr>
              <w:spacing w:after="0"/>
              <w:rPr>
                <w:sz w:val="9"/>
                <w:szCs w:val="9"/>
                <w:color w:val="auto"/>
              </w:rPr>
            </w:pPr>
          </w:p>
        </w:tc>
        <w:tc>
          <w:tcPr>
            <w:tcW w:w="202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vMerge w:val="restart"/>
          </w:tcPr>
          <w:p>
            <w:pPr>
              <w:jc w:val="center"/>
              <w:ind w:right="300"/>
              <w:spacing w:after="0" w:line="125"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9"/>
                <w:szCs w:val="9"/>
                <w:color w:val="auto"/>
              </w:rPr>
            </w:pPr>
          </w:p>
        </w:tc>
        <w:tc>
          <w:tcPr>
            <w:tcW w:w="1040" w:type="dxa"/>
            <w:vAlign w:val="bottom"/>
            <w:gridSpan w:val="2"/>
            <w:vMerge w:val="restart"/>
          </w:tcPr>
          <w:p>
            <w:pPr>
              <w:ind w:left="100"/>
              <w:spacing w:after="0" w:line="125" w:lineRule="exact"/>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9"/>
                <w:szCs w:val="9"/>
                <w:color w:val="auto"/>
              </w:rPr>
            </w:pPr>
          </w:p>
        </w:tc>
        <w:tc>
          <w:tcPr>
            <w:tcW w:w="1120" w:type="dxa"/>
            <w:vAlign w:val="bottom"/>
            <w:gridSpan w:val="2"/>
            <w:vMerge w:val="restart"/>
          </w:tcPr>
          <w:p>
            <w:pPr>
              <w:ind w:left="120"/>
              <w:spacing w:after="0" w:line="125" w:lineRule="exact"/>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9"/>
                <w:szCs w:val="9"/>
                <w:color w:val="auto"/>
              </w:rPr>
            </w:pPr>
          </w:p>
        </w:tc>
        <w:tc>
          <w:tcPr>
            <w:tcW w:w="1260" w:type="dxa"/>
            <w:vAlign w:val="bottom"/>
            <w:gridSpan w:val="2"/>
            <w:vMerge w:val="restart"/>
          </w:tcPr>
          <w:p>
            <w:pPr>
              <w:jc w:val="center"/>
              <w:ind w:right="220"/>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 Income</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1,077,189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(1,840,591)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525,146</w:t>
            </w:r>
          </w:p>
        </w:tc>
        <w:tc>
          <w:tcPr>
            <w:tcW w:w="0" w:type="dxa"/>
            <w:vAlign w:val="bottom"/>
          </w:tcPr>
          <w:p>
            <w:pPr>
              <w:spacing w:after="0"/>
              <w:rPr>
                <w:sz w:val="1"/>
                <w:szCs w:val="1"/>
                <w:color w:val="auto"/>
              </w:rPr>
            </w:pPr>
          </w:p>
        </w:tc>
      </w:tr>
      <w:tr>
        <w:trPr>
          <w:trHeight w:val="229"/>
        </w:trPr>
        <w:tc>
          <w:tcPr>
            <w:tcW w:w="298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47,330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47,330</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175"/>
        </w:trPr>
        <w:tc>
          <w:tcPr>
            <w:tcW w:w="29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Vesting of restricted share units, net of</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shares withheld for employee taxes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980" w:type="dxa"/>
            <w:vAlign w:val="bottom"/>
          </w:tcPr>
          <w:p>
            <w:pPr>
              <w:ind w:left="140"/>
              <w:spacing w:after="0" w:line="176" w:lineRule="exact"/>
              <w:rPr>
                <w:sz w:val="20"/>
                <w:szCs w:val="20"/>
                <w:color w:val="auto"/>
              </w:rPr>
            </w:pPr>
            <w:r>
              <w:rPr>
                <w:rFonts w:ascii="Arial" w:cs="Arial" w:eastAsia="Arial" w:hAnsi="Arial"/>
                <w:sz w:val="18"/>
                <w:szCs w:val="18"/>
                <w:color w:val="auto"/>
                <w:w w:val="93"/>
              </w:rPr>
              <w:t>Tax effect of stock awards vested and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140"/>
              <w:spacing w:after="0"/>
              <w:rPr>
                <w:sz w:val="20"/>
                <w:szCs w:val="20"/>
                <w:color w:val="auto"/>
              </w:rPr>
            </w:pPr>
            <w:r>
              <w:rPr>
                <w:rFonts w:ascii="Arial" w:cs="Arial" w:eastAsia="Arial" w:hAnsi="Arial"/>
                <w:sz w:val="18"/>
                <w:szCs w:val="18"/>
                <w:color w:val="auto"/>
              </w:rPr>
              <w:t>options exercised</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115,681</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Arial" w:cs="Arial" w:eastAsia="Arial" w:hAnsi="Arial"/>
                <w:sz w:val="18"/>
                <w:szCs w:val="18"/>
                <w:color w:val="auto"/>
              </w:rPr>
              <w:t>Dividends declared</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(19,068)</w:t>
            </w:r>
          </w:p>
        </w:tc>
        <w:tc>
          <w:tcPr>
            <w:tcW w:w="0" w:type="dxa"/>
            <w:vAlign w:val="bottom"/>
          </w:tcPr>
          <w:p>
            <w:pPr>
              <w:spacing w:after="0"/>
              <w:rPr>
                <w:sz w:val="1"/>
                <w:szCs w:val="1"/>
                <w:color w:val="auto"/>
              </w:rPr>
            </w:pPr>
          </w:p>
        </w:tc>
      </w:tr>
      <w:tr>
        <w:trPr>
          <w:trHeight w:val="223"/>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1,411,892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1,105,451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(1,840,591)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670,342</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(45,618)</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175"/>
        </w:trPr>
        <w:tc>
          <w:tcPr>
            <w:tcW w:w="29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Vesting of restricted share units, net of</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shares withheld for employee taxes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15,425</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declared</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(19,072)</w:t>
            </w: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125,308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1,427,687</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1,040,761</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(1,840,591)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(3,377)</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625,593</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Earnings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Arial" w:cs="Arial" w:eastAsia="Arial" w:hAnsi="Arial"/>
                <w:sz w:val="18"/>
                <w:szCs w:val="18"/>
                <w:color w:val="auto"/>
              </w:rPr>
              <w:t>Other comprehensive loss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treasury stock</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(27,151)</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175"/>
        </w:trPr>
        <w:tc>
          <w:tcPr>
            <w:tcW w:w="29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Vesting of restricted share units, net of</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shares withheld for employee taxes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980" w:type="dxa"/>
            <w:vAlign w:val="bottom"/>
          </w:tcPr>
          <w:p>
            <w:pPr>
              <w:ind w:left="140"/>
              <w:spacing w:after="0" w:line="176" w:lineRule="exact"/>
              <w:rPr>
                <w:sz w:val="20"/>
                <w:szCs w:val="20"/>
                <w:color w:val="auto"/>
              </w:rPr>
            </w:pPr>
            <w:r>
              <w:rPr>
                <w:rFonts w:ascii="Arial" w:cs="Arial" w:eastAsia="Arial" w:hAnsi="Arial"/>
                <w:sz w:val="18"/>
                <w:szCs w:val="18"/>
                <w:color w:val="auto"/>
                <w:w w:val="93"/>
              </w:rPr>
              <w:t>Tax effect of stock awards vested and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140"/>
              <w:spacing w:after="0"/>
              <w:rPr>
                <w:sz w:val="20"/>
                <w:szCs w:val="20"/>
                <w:color w:val="auto"/>
              </w:rPr>
            </w:pPr>
            <w:r>
              <w:rPr>
                <w:rFonts w:ascii="Arial" w:cs="Arial" w:eastAsia="Arial" w:hAnsi="Arial"/>
                <w:sz w:val="18"/>
                <w:szCs w:val="18"/>
                <w:color w:val="auto"/>
              </w:rPr>
              <w:t>options exercised</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15,618</w:t>
            </w:r>
          </w:p>
        </w:tc>
        <w:tc>
          <w:tcPr>
            <w:tcW w:w="0" w:type="dxa"/>
            <w:vAlign w:val="bottom"/>
          </w:tcPr>
          <w:p>
            <w:pPr>
              <w:spacing w:after="0"/>
              <w:rPr>
                <w:sz w:val="1"/>
                <w:szCs w:val="1"/>
                <w:color w:val="auto"/>
              </w:rPr>
            </w:pPr>
          </w:p>
        </w:tc>
      </w:tr>
      <w:tr>
        <w:trPr>
          <w:trHeight w:val="229"/>
        </w:trPr>
        <w:tc>
          <w:tcPr>
            <w:tcW w:w="2980" w:type="dxa"/>
            <w:vAlign w:val="bottom"/>
          </w:tcPr>
          <w:p>
            <w:pPr>
              <w:ind w:left="140"/>
              <w:spacing w:after="0"/>
              <w:rPr>
                <w:sz w:val="20"/>
                <w:szCs w:val="20"/>
                <w:color w:val="auto"/>
              </w:rPr>
            </w:pPr>
            <w:r>
              <w:rPr>
                <w:rFonts w:ascii="Arial" w:cs="Arial" w:eastAsia="Arial" w:hAnsi="Arial"/>
                <w:sz w:val="18"/>
                <w:szCs w:val="18"/>
                <w:color w:val="auto"/>
              </w:rPr>
              <w:t>Dividends declared</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(18,815)</w:t>
            </w:r>
          </w:p>
        </w:tc>
        <w:tc>
          <w:tcPr>
            <w:tcW w:w="0" w:type="dxa"/>
            <w:vAlign w:val="bottom"/>
          </w:tcPr>
          <w:p>
            <w:pPr>
              <w:spacing w:after="0"/>
              <w:rPr>
                <w:sz w:val="1"/>
                <w:szCs w:val="1"/>
                <w:color w:val="auto"/>
              </w:rPr>
            </w:pPr>
          </w:p>
        </w:tc>
      </w:tr>
      <w:tr>
        <w:trPr>
          <w:trHeight w:val="223"/>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1,443,667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1,026,309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(1,867,733)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4"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00" w:type="dxa"/>
            <w:vAlign w:val="bottom"/>
          </w:tcPr>
          <w:p>
            <w:pPr>
              <w:spacing w:after="0"/>
              <w:rPr>
                <w:sz w:val="16"/>
                <w:szCs w:val="16"/>
                <w:color w:val="auto"/>
              </w:rPr>
            </w:pPr>
          </w:p>
        </w:tc>
        <w:tc>
          <w:tcPr>
            <w:tcW w:w="200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vMerge w:val="restart"/>
          </w:tcPr>
          <w:p>
            <w:pPr>
              <w:jc w:val="center"/>
              <w:ind w:right="300"/>
              <w:spacing w:after="0" w:line="145"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line="20" w:lineRule="exact"/>
              <w:rPr>
                <w:sz w:val="1"/>
                <w:szCs w:val="1"/>
                <w:color w:val="auto"/>
              </w:rPr>
            </w:pPr>
          </w:p>
        </w:tc>
        <w:tc>
          <w:tcPr>
            <w:tcW w:w="1060" w:type="dxa"/>
            <w:vAlign w:val="bottom"/>
            <w:gridSpan w:val="2"/>
            <w:vMerge w:val="restart"/>
          </w:tcPr>
          <w:p>
            <w:pPr>
              <w:ind w:left="100"/>
              <w:spacing w:after="0" w:line="145" w:lineRule="exact"/>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line="20" w:lineRule="exact"/>
              <w:rPr>
                <w:sz w:val="1"/>
                <w:szCs w:val="1"/>
                <w:color w:val="auto"/>
              </w:rPr>
            </w:pPr>
          </w:p>
        </w:tc>
        <w:tc>
          <w:tcPr>
            <w:tcW w:w="1120" w:type="dxa"/>
            <w:vAlign w:val="bottom"/>
            <w:gridSpan w:val="2"/>
            <w:vMerge w:val="restart"/>
          </w:tcPr>
          <w:p>
            <w:pPr>
              <w:ind w:left="120"/>
              <w:spacing w:after="0" w:line="145" w:lineRule="exact"/>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line="20" w:lineRule="exact"/>
              <w:rPr>
                <w:sz w:val="1"/>
                <w:szCs w:val="1"/>
                <w:color w:val="auto"/>
              </w:rPr>
            </w:pPr>
          </w:p>
        </w:tc>
        <w:tc>
          <w:tcPr>
            <w:tcW w:w="1260" w:type="dxa"/>
            <w:vAlign w:val="bottom"/>
            <w:gridSpan w:val="2"/>
            <w:vMerge w:val="restart"/>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3000" w:type="dxa"/>
            <w:vAlign w:val="bottom"/>
          </w:tcPr>
          <w:p>
            <w:pPr>
              <w:spacing w:after="0"/>
              <w:rPr>
                <w:sz w:val="8"/>
                <w:szCs w:val="8"/>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8"/>
                <w:szCs w:val="8"/>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0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7"/>
                <w:szCs w:val="17"/>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 Income</w:t>
            </w: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1,146,509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1,143,647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(1,765,574)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513,276</w:t>
            </w:r>
          </w:p>
        </w:tc>
        <w:tc>
          <w:tcPr>
            <w:tcW w:w="0" w:type="dxa"/>
            <w:vAlign w:val="bottom"/>
          </w:tcPr>
          <w:p>
            <w:pPr>
              <w:spacing w:after="0"/>
              <w:rPr>
                <w:sz w:val="1"/>
                <w:szCs w:val="1"/>
                <w:color w:val="auto"/>
              </w:rPr>
            </w:pPr>
          </w:p>
        </w:tc>
      </w:tr>
      <w:tr>
        <w:trPr>
          <w:trHeight w:val="230"/>
        </w:trPr>
        <w:tc>
          <w:tcPr>
            <w:tcW w:w="300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29"/>
        </w:trPr>
        <w:tc>
          <w:tcPr>
            <w:tcW w:w="300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Vesting of restricted share units, net of</w:t>
            </w: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withheld for employee taxes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000" w:type="dxa"/>
            <w:vAlign w:val="bottom"/>
          </w:tcPr>
          <w:p>
            <w:pPr>
              <w:ind w:left="140"/>
              <w:spacing w:after="0" w:line="176" w:lineRule="exact"/>
              <w:rPr>
                <w:sz w:val="20"/>
                <w:szCs w:val="20"/>
                <w:color w:val="auto"/>
              </w:rPr>
            </w:pPr>
            <w:r>
              <w:rPr>
                <w:rFonts w:ascii="Arial" w:cs="Arial" w:eastAsia="Arial" w:hAnsi="Arial"/>
                <w:sz w:val="18"/>
                <w:szCs w:val="18"/>
                <w:color w:val="auto"/>
                <w:w w:val="93"/>
              </w:rPr>
              <w:t>Tax effect of stock awards vested and</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40"/>
              <w:spacing w:after="0"/>
              <w:rPr>
                <w:sz w:val="20"/>
                <w:szCs w:val="20"/>
                <w:color w:val="auto"/>
              </w:rPr>
            </w:pPr>
            <w:r>
              <w:rPr>
                <w:rFonts w:ascii="Arial" w:cs="Arial" w:eastAsia="Arial" w:hAnsi="Arial"/>
                <w:sz w:val="18"/>
                <w:szCs w:val="18"/>
                <w:color w:val="auto"/>
              </w:rPr>
              <w:t>options exercised</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(8,466)</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41,410</w:t>
            </w:r>
          </w:p>
        </w:tc>
        <w:tc>
          <w:tcPr>
            <w:tcW w:w="0" w:type="dxa"/>
            <w:vAlign w:val="bottom"/>
          </w:tcPr>
          <w:p>
            <w:pPr>
              <w:spacing w:after="0"/>
              <w:rPr>
                <w:sz w:val="1"/>
                <w:szCs w:val="1"/>
                <w:color w:val="auto"/>
              </w:rPr>
            </w:pPr>
          </w:p>
        </w:tc>
      </w:tr>
      <w:tr>
        <w:trPr>
          <w:trHeight w:val="229"/>
        </w:trPr>
        <w:tc>
          <w:tcPr>
            <w:tcW w:w="3000" w:type="dxa"/>
            <w:vAlign w:val="bottom"/>
          </w:tcPr>
          <w:p>
            <w:pPr>
              <w:ind w:left="140"/>
              <w:spacing w:after="0"/>
              <w:rPr>
                <w:sz w:val="20"/>
                <w:szCs w:val="20"/>
                <w:color w:val="auto"/>
              </w:rPr>
            </w:pPr>
            <w:r>
              <w:rPr>
                <w:rFonts w:ascii="Arial" w:cs="Arial" w:eastAsia="Arial" w:hAnsi="Arial"/>
                <w:sz w:val="18"/>
                <w:szCs w:val="18"/>
                <w:color w:val="auto"/>
              </w:rPr>
              <w:t>Dividends declared</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(20,063)</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1,179,925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1,119,347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(1,765,574)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523,058</w:t>
            </w:r>
          </w:p>
        </w:tc>
        <w:tc>
          <w:tcPr>
            <w:tcW w:w="0" w:type="dxa"/>
            <w:vAlign w:val="bottom"/>
          </w:tcPr>
          <w:p>
            <w:pPr>
              <w:spacing w:after="0"/>
              <w:rPr>
                <w:sz w:val="1"/>
                <w:szCs w:val="1"/>
                <w:color w:val="auto"/>
              </w:rPr>
            </w:pPr>
          </w:p>
        </w:tc>
      </w:tr>
      <w:tr>
        <w:trPr>
          <w:trHeight w:val="229"/>
        </w:trPr>
        <w:tc>
          <w:tcPr>
            <w:tcW w:w="300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19,725</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300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Vesting of restricted share units, net of</w:t>
            </w: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withheld for employee taxes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000" w:type="dxa"/>
            <w:vAlign w:val="bottom"/>
          </w:tcPr>
          <w:p>
            <w:pPr>
              <w:ind w:left="140"/>
              <w:spacing w:after="0" w:line="176" w:lineRule="exact"/>
              <w:rPr>
                <w:sz w:val="20"/>
                <w:szCs w:val="20"/>
                <w:color w:val="auto"/>
              </w:rPr>
            </w:pPr>
            <w:r>
              <w:rPr>
                <w:rFonts w:ascii="Arial" w:cs="Arial" w:eastAsia="Arial" w:hAnsi="Arial"/>
                <w:sz w:val="18"/>
                <w:szCs w:val="18"/>
                <w:color w:val="auto"/>
                <w:w w:val="93"/>
              </w:rPr>
              <w:t>Tax effect of stock awards vested and</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40"/>
              <w:spacing w:after="0"/>
              <w:rPr>
                <w:sz w:val="20"/>
                <w:szCs w:val="20"/>
                <w:color w:val="auto"/>
              </w:rPr>
            </w:pPr>
            <w:r>
              <w:rPr>
                <w:rFonts w:ascii="Arial" w:cs="Arial" w:eastAsia="Arial" w:hAnsi="Arial"/>
                <w:sz w:val="18"/>
                <w:szCs w:val="18"/>
                <w:color w:val="auto"/>
              </w:rPr>
              <w:t>options exercised</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36,438</w:t>
            </w:r>
          </w:p>
        </w:tc>
        <w:tc>
          <w:tcPr>
            <w:tcW w:w="0" w:type="dxa"/>
            <w:vAlign w:val="bottom"/>
          </w:tcPr>
          <w:p>
            <w:pPr>
              <w:spacing w:after="0"/>
              <w:rPr>
                <w:sz w:val="1"/>
                <w:szCs w:val="1"/>
                <w:color w:val="auto"/>
              </w:rPr>
            </w:pPr>
          </w:p>
        </w:tc>
      </w:tr>
      <w:tr>
        <w:trPr>
          <w:trHeight w:val="230"/>
        </w:trPr>
        <w:tc>
          <w:tcPr>
            <w:tcW w:w="3000" w:type="dxa"/>
            <w:vAlign w:val="bottom"/>
          </w:tcPr>
          <w:p>
            <w:pPr>
              <w:ind w:left="140"/>
              <w:spacing w:after="0"/>
              <w:rPr>
                <w:sz w:val="20"/>
                <w:szCs w:val="20"/>
                <w:color w:val="auto"/>
              </w:rPr>
            </w:pPr>
            <w:r>
              <w:rPr>
                <w:rFonts w:ascii="Arial" w:cs="Arial" w:eastAsia="Arial" w:hAnsi="Arial"/>
                <w:sz w:val="18"/>
                <w:szCs w:val="18"/>
                <w:color w:val="auto"/>
              </w:rPr>
              <w:t>Dividends declared</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(20,104)</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124,981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1,216,176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1,118,968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(1,765,574)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558,834</w:t>
            </w:r>
          </w:p>
        </w:tc>
        <w:tc>
          <w:tcPr>
            <w:tcW w:w="0" w:type="dxa"/>
            <w:vAlign w:val="bottom"/>
          </w:tcPr>
          <w:p>
            <w:pPr>
              <w:spacing w:after="0"/>
              <w:rPr>
                <w:sz w:val="1"/>
                <w:szCs w:val="1"/>
                <w:color w:val="auto"/>
              </w:rPr>
            </w:pPr>
          </w:p>
        </w:tc>
      </w:tr>
      <w:tr>
        <w:trPr>
          <w:trHeight w:val="229"/>
        </w:trPr>
        <w:tc>
          <w:tcPr>
            <w:tcW w:w="300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(5,778)</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30"/>
        </w:trPr>
        <w:tc>
          <w:tcPr>
            <w:tcW w:w="3000" w:type="dxa"/>
            <w:vAlign w:val="bottom"/>
          </w:tcPr>
          <w:p>
            <w:pPr>
              <w:ind w:left="140"/>
              <w:spacing w:after="0"/>
              <w:rPr>
                <w:sz w:val="20"/>
                <w:szCs w:val="20"/>
                <w:color w:val="auto"/>
              </w:rPr>
            </w:pPr>
            <w:r>
              <w:rPr>
                <w:rFonts w:ascii="Arial" w:cs="Arial" w:eastAsia="Arial" w:hAnsi="Arial"/>
                <w:sz w:val="18"/>
                <w:szCs w:val="18"/>
                <w:color w:val="auto"/>
              </w:rPr>
              <w:t>Purchase of treasury stock</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(29,797)</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175"/>
        </w:trPr>
        <w:tc>
          <w:tcPr>
            <w:tcW w:w="3000" w:type="dxa"/>
            <w:vAlign w:val="bottom"/>
          </w:tcPr>
          <w:p>
            <w:pPr>
              <w:ind w:left="140"/>
              <w:spacing w:after="0" w:line="176" w:lineRule="exact"/>
              <w:rPr>
                <w:sz w:val="20"/>
                <w:szCs w:val="20"/>
                <w:color w:val="auto"/>
              </w:rPr>
            </w:pPr>
            <w:r>
              <w:rPr>
                <w:rFonts w:ascii="Arial" w:cs="Arial" w:eastAsia="Arial" w:hAnsi="Arial"/>
                <w:sz w:val="18"/>
                <w:szCs w:val="18"/>
                <w:color w:val="auto"/>
                <w:w w:val="92"/>
              </w:rPr>
              <w:t>Vesting of restricted share units, net of</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40"/>
              <w:spacing w:after="0"/>
              <w:rPr>
                <w:sz w:val="20"/>
                <w:szCs w:val="20"/>
                <w:color w:val="auto"/>
              </w:rPr>
            </w:pPr>
            <w:r>
              <w:rPr>
                <w:rFonts w:ascii="Arial" w:cs="Arial" w:eastAsia="Arial" w:hAnsi="Arial"/>
                <w:sz w:val="18"/>
                <w:szCs w:val="18"/>
                <w:color w:val="auto"/>
              </w:rPr>
              <w:t>shares withheld for employee taxes</w:t>
            </w: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Tax effect of stock awards vested and</w:t>
            </w: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exercised</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30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44,773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44,773</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declared</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(19,673)</w:t>
            </w:r>
          </w:p>
        </w:tc>
        <w:tc>
          <w:tcPr>
            <w:tcW w:w="0" w:type="dxa"/>
            <w:vAlign w:val="bottom"/>
          </w:tcPr>
          <w:p>
            <w:pPr>
              <w:spacing w:after="0"/>
              <w:rPr>
                <w:sz w:val="1"/>
                <w:szCs w:val="1"/>
                <w:color w:val="auto"/>
              </w:rPr>
            </w:pPr>
          </w:p>
        </w:tc>
      </w:tr>
      <w:tr>
        <w:trPr>
          <w:trHeight w:val="224"/>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125,019</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1,261,323</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1,093,517</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(1,795,358)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(12,422)</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548,163</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4"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
        </w:trPr>
        <w:tc>
          <w:tcPr>
            <w:tcW w:w="8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163"/>
        </w:trPr>
        <w:tc>
          <w:tcPr>
            <w:tcW w:w="8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6"/>
        </w:trPr>
        <w:tc>
          <w:tcPr>
            <w:tcW w:w="8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60" w:type="dxa"/>
            <w:vAlign w:val="bottom"/>
          </w:tcPr>
          <w:p>
            <w:pPr>
              <w:ind w:left="360"/>
              <w:spacing w:after="0"/>
              <w:rPr>
                <w:sz w:val="20"/>
                <w:szCs w:val="20"/>
                <w:color w:val="auto"/>
              </w:rPr>
            </w:pPr>
            <w:r>
              <w:rPr>
                <w:rFonts w:ascii="Arial" w:cs="Arial" w:eastAsia="Arial" w:hAnsi="Arial"/>
                <w:sz w:val="18"/>
                <w:szCs w:val="18"/>
                <w:color w:val="auto"/>
              </w:rPr>
              <w:t>Net earnings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9,710</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Depreciation of rental merchandise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859,001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937,728</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Bad debt expense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18,100</w:t>
            </w:r>
          </w:p>
        </w:tc>
      </w:tr>
      <w:tr>
        <w:trPr>
          <w:trHeight w:val="230"/>
        </w:trPr>
        <w:tc>
          <w:tcPr>
            <w:tcW w:w="8160" w:type="dxa"/>
            <w:vAlign w:val="bottom"/>
          </w:tcPr>
          <w:p>
            <w:pPr>
              <w:ind w:left="68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146,724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122,621</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of property assets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51,384</w:t>
            </w:r>
          </w:p>
        </w:tc>
      </w:tr>
      <w:tr>
        <w:trPr>
          <w:trHeight w:val="230"/>
        </w:trPr>
        <w:tc>
          <w:tcPr>
            <w:tcW w:w="8160" w:type="dxa"/>
            <w:vAlign w:val="bottom"/>
          </w:tcPr>
          <w:p>
            <w:pPr>
              <w:ind w:left="680"/>
              <w:spacing w:after="0"/>
              <w:rPr>
                <w:sz w:val="20"/>
                <w:szCs w:val="20"/>
                <w:color w:val="auto"/>
              </w:rPr>
            </w:pPr>
            <w:r>
              <w:rPr>
                <w:rFonts w:ascii="Arial" w:cs="Arial" w:eastAsia="Arial" w:hAnsi="Arial"/>
                <w:sz w:val="18"/>
                <w:szCs w:val="18"/>
                <w:color w:val="auto"/>
              </w:rPr>
              <w:t>Loss on sale or disposal of property assets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5,979</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Amortization of intangibles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51,382</w:t>
            </w:r>
          </w:p>
        </w:tc>
      </w:tr>
      <w:tr>
        <w:trPr>
          <w:trHeight w:val="229"/>
        </w:trPr>
        <w:tc>
          <w:tcPr>
            <w:tcW w:w="8160" w:type="dxa"/>
            <w:vAlign w:val="bottom"/>
          </w:tcPr>
          <w:p>
            <w:pPr>
              <w:ind w:left="680"/>
              <w:spacing w:after="0"/>
              <w:rPr>
                <w:sz w:val="20"/>
                <w:szCs w:val="20"/>
                <w:color w:val="auto"/>
              </w:rPr>
            </w:pPr>
            <w:r>
              <w:rPr>
                <w:rFonts w:ascii="Arial" w:cs="Arial" w:eastAsia="Arial" w:hAnsi="Arial"/>
                <w:sz w:val="18"/>
                <w:szCs w:val="18"/>
                <w:color w:val="auto"/>
              </w:rPr>
              <w:t>Amortization of financing fees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4,798</w:t>
            </w:r>
          </w:p>
        </w:tc>
      </w:tr>
      <w:tr>
        <w:trPr>
          <w:trHeight w:val="230"/>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(21,025)</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 net of acquired assets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Rental merchandise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(824,151)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(704,191)</w:t>
            </w:r>
          </w:p>
        </w:tc>
      </w:tr>
      <w:tr>
        <w:trPr>
          <w:trHeight w:val="230"/>
        </w:trPr>
        <w:tc>
          <w:tcPr>
            <w:tcW w:w="8160" w:type="dxa"/>
            <w:vAlign w:val="bottom"/>
          </w:tcPr>
          <w:p>
            <w:pPr>
              <w:ind w:left="68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(4,951)</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w:t>
            </w:r>
          </w:p>
        </w:tc>
      </w:tr>
      <w:tr>
        <w:trPr>
          <w:trHeight w:val="230"/>
        </w:trPr>
        <w:tc>
          <w:tcPr>
            <w:tcW w:w="8160" w:type="dxa"/>
            <w:vAlign w:val="bottom"/>
          </w:tcPr>
          <w:p>
            <w:pPr>
              <w:ind w:left="680"/>
              <w:spacing w:after="0"/>
              <w:rPr>
                <w:sz w:val="20"/>
                <w:szCs w:val="20"/>
                <w:color w:val="auto"/>
              </w:rPr>
            </w:pPr>
            <w:r>
              <w:rPr>
                <w:rFonts w:ascii="Arial" w:cs="Arial" w:eastAsia="Arial" w:hAnsi="Arial"/>
                <w:sz w:val="18"/>
                <w:szCs w:val="18"/>
                <w:color w:val="auto"/>
              </w:rPr>
              <w:t>Operating lease right-of-use assets and lease liabilities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(2,047)</w:t>
            </w:r>
          </w:p>
        </w:tc>
      </w:tr>
      <w:tr>
        <w:trPr>
          <w:trHeight w:val="229"/>
        </w:trPr>
        <w:tc>
          <w:tcPr>
            <w:tcW w:w="8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 – trade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r>
      <w:tr>
        <w:trPr>
          <w:trHeight w:val="229"/>
        </w:trPr>
        <w:tc>
          <w:tcPr>
            <w:tcW w:w="81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(53,682)</w:t>
            </w:r>
          </w:p>
        </w:tc>
      </w:tr>
      <w:tr>
        <w:trPr>
          <w:trHeight w:val="223"/>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412,083</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property assets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(49,436)</w:t>
            </w: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Proceeds from sale of property assets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 of businesses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223"/>
        </w:trPr>
        <w:tc>
          <w:tcPr>
            <w:tcW w:w="8160" w:type="dxa"/>
            <w:vAlign w:val="bottom"/>
          </w:tcPr>
          <w:p>
            <w:pPr>
              <w:ind w:left="8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(36,191)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(50,176)</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Share repurchases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(29,797)</w:t>
            </w:r>
          </w:p>
        </w:tc>
      </w:tr>
      <w:tr>
        <w:trPr>
          <w:trHeight w:val="229"/>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stock options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Shares withheld for payment of employee tax withholdings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(9,477)</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debt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Repayments of debt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(134,229)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(296,563)</w:t>
            </w:r>
          </w:p>
        </w:tc>
      </w:tr>
      <w:tr>
        <w:trPr>
          <w:trHeight w:val="229"/>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(60,410)</w:t>
            </w:r>
          </w:p>
        </w:tc>
      </w:tr>
      <w:tr>
        <w:trPr>
          <w:trHeight w:val="223"/>
        </w:trPr>
        <w:tc>
          <w:tcPr>
            <w:tcW w:w="8160" w:type="dxa"/>
            <w:vAlign w:val="bottom"/>
          </w:tcPr>
          <w:p>
            <w:pPr>
              <w:ind w:left="88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(223,758)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(304,527)</w:t>
            </w:r>
          </w:p>
        </w:tc>
      </w:tr>
      <w:tr>
        <w:trPr>
          <w:trHeight w:val="230"/>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8160" w:type="dxa"/>
            <w:vAlign w:val="bottom"/>
          </w:tcPr>
          <w:p>
            <w:pPr>
              <w:ind w:left="880"/>
              <w:spacing w:after="0"/>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(38,415)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57,294</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108,333</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105,726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165,627</w:t>
            </w:r>
          </w:p>
        </w:tc>
      </w:tr>
      <w:tr>
        <w:trPr>
          <w:trHeight w:val="20"/>
        </w:trPr>
        <w:tc>
          <w:tcPr>
            <w:tcW w:w="8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 w:name="page9"/>
    <w:bookmarkEnd w:id="8"/>
    <w:p>
      <w:pPr>
        <w:jc w:val="center"/>
        <w:spacing w:after="0" w:line="266" w:lineRule="auto"/>
        <w:rPr>
          <w:sz w:val="20"/>
          <w:szCs w:val="20"/>
          <w:color w:val="auto"/>
        </w:rPr>
      </w:pPr>
      <w:r>
        <w:rPr>
          <w:rFonts w:ascii="Arial" w:cs="Arial" w:eastAsia="Arial" w:hAnsi="Arial"/>
          <w:sz w:val="18"/>
          <w:szCs w:val="18"/>
          <w:b w:val="1"/>
          <w:bCs w:val="1"/>
          <w:color w:val="auto"/>
        </w:rPr>
        <w:t>UPBOUND GROUP, INC. AND SUBSIDIARIES NOTES TO CONDENSED CONSOLIDATED FINANCIAL STATEMENTS (Unaudited)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interim condensed consolidated financial statements of Upbound Group, Inc. included herein have been prepared by us pursuant to the rules and regulations of the Securities and Exchange Commission (the “SEC”). Certain information and footnote disclosures normally included in financial statements prepared in accordance with U.S. generally accepted accounting principles (“GAAP”) have been condensed or omitted pursuant to the SEC’s rules and regulations, although we believe the disclosures are adequate to make the information presented not misleading. We suggest these financial statements be read in conjunction with the financial statements and notes included in our Annual Report on Form 10-K for the year ended December 31, 2022. In our opinion, the accompanying unaudited interim financial statements contain all adjustments, consisting only of those of a normal recurring nature, necessary to present fairly our results of operations and cash flows for the periods presented. The results of operations for the periods presented are not necessarily indicative of the results to be expected for the full 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condensed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including those related to recent macroeconomic trends or other factors, may affect certain estimates and assumptions inherent in the financial reporting process, which may impact reported amounts of assets and liabilities in future periods and cause actual results to differ from those estimates.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Nature of Operations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financial statements included herein include the accounts of Upbound Group, Inc. and its direct and indirect subsidiaries. All intercompany accounts and transactions have been eliminated. Unless the context indicates otherwise, references to “Upbound Group, Inc.” refer only to Upbound Group, Inc., the parent, and references to the “Company”, “we,” “us” and “our” refer to the consolidated business operations of Upbound Group and any or all of its direct and indirect subsidiaries. We report four operating segments: Rent-A-Center, Acima, Mexico, and Franchising.</w:t>
      </w:r>
    </w:p>
    <w:p>
      <w:pPr>
        <w:spacing w:after="0" w:line="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Rent-A-Center segment consists of company-owned lease-to-own stores in the United States and Puerto Rico that lease household durable goods to customers on a lease-to-own basis. We also offer merchandise on an installment sales basis in certain of our stores under the names “Get It Now” and “Home Choice.” Our Rent-A-Center segment operates through our company-owned stores and e-commerce platform through rentacenter.com.</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Acima segment, which operates in the United States and Puerto Rico, and includes the operations of Acima Holdings and certain locations previously operating under our Preferred Lease brand, generally offers the lease-to-own transaction to consumers who do not qualify for financing from the traditional retailer through staffed or unstaffed kiosks located within such retailer’s locations, or other virtual options. Virtual locations employ a virtual solution where customers, either directly or with the assistance of a representative of the third-party retailer, initiate the lease-to-own transaction online in the retailers’ locations using our virtual solutions.</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Mexico segment consists of our company-owned lease-to-own stores in Mexico that lease household durable goods to customers on a lease-to-own basis.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Rent-A-Center Franchising International, Inc., an indirect wholly-owned subsidiary of Upbound Group, Inc., is a franchisor of lease-to-own stores. Our Franchising segment’s primary source of revenue is the sale of rental merchandise to its franchisees, who in turn offer the merchandise to the general public for rent or purchase under a lease-to-own transaction. The balance of our Franchising segment’s revenue is generated primarily from royalties based on franchisees’ monthly gross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line="275" w:lineRule="auto"/>
        <w:rPr>
          <w:sz w:val="20"/>
          <w:szCs w:val="20"/>
          <w:color w:val="auto"/>
        </w:rPr>
      </w:pPr>
      <w:r>
        <w:rPr>
          <w:rFonts w:ascii="Arial" w:cs="Arial" w:eastAsia="Arial" w:hAnsi="Arial"/>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disaggregate our revenue for the periods ended September 30, 2023 and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0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2"/>
              </w:rPr>
              <w:t>Three Months Ended September 30, 2023</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Rent-A-Center</w:t>
            </w:r>
          </w:p>
        </w:tc>
        <w:tc>
          <w:tcPr>
            <w:tcW w:w="30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Acima</w:t>
            </w:r>
          </w:p>
        </w:tc>
        <w:tc>
          <w:tcPr>
            <w:tcW w:w="28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22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4"/>
                <w:szCs w:val="24"/>
                <w:color w:val="auto"/>
              </w:rPr>
            </w:pP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6"/>
        </w:trPr>
        <w:tc>
          <w:tcPr>
            <w:tcW w:w="40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40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Rentals and fees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413,051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375,202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18,513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806,766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Merchandise sales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127,564</w:t>
            </w: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Installment sales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13,444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Arial" w:cs="Arial" w:eastAsia="Arial" w:hAnsi="Arial"/>
                <w:sz w:val="18"/>
                <w:szCs w:val="18"/>
                <w:color w:val="auto"/>
              </w:rPr>
              <w:t>Total store revenues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453,632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475,216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949,203</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Merchandise sales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24,082</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and fees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453,632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475,216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19,642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30,608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979,098</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0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93"/>
              </w:rPr>
              <w:t>Nine Months Ended September 30, 2023</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0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Rent-A-Center</w:t>
            </w:r>
          </w:p>
        </w:tc>
        <w:tc>
          <w:tcPr>
            <w:tcW w:w="30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Acima</w:t>
            </w:r>
          </w:p>
        </w:tc>
        <w:tc>
          <w:tcPr>
            <w:tcW w:w="28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22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4"/>
                <w:szCs w:val="24"/>
                <w:color w:val="auto"/>
              </w:rPr>
            </w:pP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6"/>
        </w:trPr>
        <w:tc>
          <w:tcPr>
            <w:tcW w:w="40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40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Rentals and fees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1,260,745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1,107,943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52,351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2,421,039</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Merchandise sales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415,256</w:t>
            </w: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Installment sales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45,191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45,191</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Arial" w:cs="Arial" w:eastAsia="Arial" w:hAnsi="Arial"/>
                <w:sz w:val="18"/>
                <w:szCs w:val="18"/>
                <w:color w:val="auto"/>
              </w:rPr>
              <w:t>Total store revenues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1,404,831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1,423,421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55,526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2,885,908</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Merchandise sales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69,778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69,778</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and fees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18,636</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1,404,831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1,423,421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55,526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90,544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2,974,322</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6"/>
        </w:trPr>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0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2"/>
              </w:rPr>
              <w:t>Three Months Ended September 30, 2022</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Rent-A-Center</w:t>
            </w:r>
          </w:p>
        </w:tc>
        <w:tc>
          <w:tcPr>
            <w:tcW w:w="30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Acima</w:t>
            </w:r>
          </w:p>
        </w:tc>
        <w:tc>
          <w:tcPr>
            <w:tcW w:w="28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22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4"/>
                <w:szCs w:val="24"/>
                <w:color w:val="auto"/>
              </w:rPr>
            </w:pP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5"/>
        </w:trPr>
        <w:tc>
          <w:tcPr>
            <w:tcW w:w="40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40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Rentals and fees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426,805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387,488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15,166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829,459</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Merchandise sales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147,616</w:t>
            </w: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Installment sales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16,718</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Arial" w:cs="Arial" w:eastAsia="Arial" w:hAnsi="Arial"/>
                <w:sz w:val="18"/>
                <w:szCs w:val="18"/>
                <w:color w:val="auto"/>
              </w:rPr>
              <w:t>Total store revenues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473,755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504,448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995,133</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Merchandise sales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22,823</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and fees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473,755</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504,448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29,713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1,023,957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line="275" w:lineRule="auto"/>
        <w:rPr>
          <w:sz w:val="20"/>
          <w:szCs w:val="20"/>
          <w:color w:val="auto"/>
        </w:rPr>
      </w:pPr>
      <w:r>
        <w:rPr>
          <w:rFonts w:ascii="Arial" w:cs="Arial" w:eastAsia="Arial" w:hAnsi="Arial"/>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0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93"/>
              </w:rPr>
              <w:t>Nine Months Ended September 30, 2022</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Rent-A-Center</w:t>
            </w:r>
          </w:p>
        </w:tc>
        <w:tc>
          <w:tcPr>
            <w:tcW w:w="30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Acima</w:t>
            </w:r>
          </w:p>
        </w:tc>
        <w:tc>
          <w:tcPr>
            <w:tcW w:w="28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22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4"/>
                <w:szCs w:val="24"/>
                <w:color w:val="auto"/>
              </w:rPr>
            </w:pP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6"/>
        </w:trPr>
        <w:tc>
          <w:tcPr>
            <w:tcW w:w="40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4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Rentals and fees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1,305,871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1,218,143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45,790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2,569,804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541,265</w:t>
            </w: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Installment sales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52,355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52,355</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Arial" w:cs="Arial" w:eastAsia="Arial" w:hAnsi="Arial"/>
                <w:sz w:val="18"/>
                <w:szCs w:val="18"/>
                <w:color w:val="auto"/>
              </w:rPr>
              <w:t>Total store revenues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1,482,445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1,633,994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48,454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3,167,122</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67,849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67,849</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and fees</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19,962</w:t>
            </w:r>
          </w:p>
        </w:tc>
        <w:tc>
          <w:tcPr>
            <w:tcW w:w="0" w:type="dxa"/>
            <w:vAlign w:val="bottom"/>
          </w:tcPr>
          <w:p>
            <w:pPr>
              <w:spacing w:after="0"/>
              <w:rPr>
                <w:sz w:val="1"/>
                <w:szCs w:val="1"/>
                <w:color w:val="auto"/>
              </w:rPr>
            </w:pPr>
          </w:p>
        </w:tc>
      </w:tr>
      <w:tr>
        <w:trPr>
          <w:trHeight w:val="223"/>
        </w:trPr>
        <w:tc>
          <w:tcPr>
            <w:tcW w:w="400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1,482,445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1,633,994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48,454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90,040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3,254,933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Purchase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Acima, and Mexico</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Rentals and Fees. </w:t>
      </w:r>
      <w:r>
        <w:rPr>
          <w:rFonts w:ascii="Arial" w:cs="Arial" w:eastAsia="Arial" w:hAnsi="Arial"/>
          <w:sz w:val="18"/>
          <w:szCs w:val="18"/>
          <w:color w:val="auto"/>
        </w:rPr>
        <w:t>Rental merchandise is leased to customers pursuant to lease-to-own agreements, which provide for weekly, bi-weekly, semi-monthly or</w:t>
      </w:r>
      <w:r>
        <w:rPr>
          <w:rFonts w:ascii="Arial" w:cs="Arial" w:eastAsia="Arial" w:hAnsi="Arial"/>
          <w:sz w:val="18"/>
          <w:szCs w:val="18"/>
          <w:i w:val="1"/>
          <w:iCs w:val="1"/>
          <w:color w:val="auto"/>
        </w:rPr>
        <w:t xml:space="preserve"> </w:t>
      </w:r>
      <w:r>
        <w:rPr>
          <w:rFonts w:ascii="Arial" w:cs="Arial" w:eastAsia="Arial" w:hAnsi="Arial"/>
          <w:sz w:val="18"/>
          <w:szCs w:val="18"/>
          <w:color w:val="auto"/>
        </w:rPr>
        <w:t>monthly terms with non-refundable lease payments. At the expiration of each lease term, customers may renew the lease-to-own agreement for the next lease term. Generally, the customer has the right to acquire title of the merchandise either through a purchase option or through payment of all required lease terms. Customers can terminate the lease-to-own agreement and return the product at the end of any lease term without penalty. Therefore, lease-to-own agreements are accounted for as operating leases.</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Lease payments received at our Rent-A-Center stores, certain Acima staffed locations formerly operating under the Preferred Lease brand, and Mexico stores must be prepaid in advance of the next lease term. Under the Acima Holdings business model, revenues may be earned prior to the lease payment due date, in which case revenue is accrued prior to receipt of the lease payment, net of estimated returns and uncollectible renewal payments. Under both models, rental revenue is recognized over the lease term. See Note 3 for additional information regarding accrued lease revenue.</w:t>
      </w:r>
    </w:p>
    <w:p>
      <w:pPr>
        <w:spacing w:after="0" w:line="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Cash received for rental payments, including fees, prior to the period in which it should be recognized, is deferred and recognized according to the lease term. At September 30, 2023 and December 31, 2022, we had $56.6 million and $54.9 million, respectively, in deferred revenue included in accrued liabilities related to our lease-to-own agreements. Revenue related to various payment, reinstatement or late fees is recognized when paid by the customer at the point service is provided. Rental merchandise in our Rent-A-Center stores, certain Acima staffed locations formerly operating under the Preferred Lease brand, and Mexico stores is depreciated using the income forecasting method and recognized in cost of rentals and fees in our Condensed Consolidated Statement of Operations over the lease term. Lease merchandise under Acima Holdings is depreciated over the lease term using a straight-line depreciation method. Under the income forecasting method, the consumption of lease merchandise occurs during periods of rental and depreciation directly coincides with the receipt of rental revenue over the lease-to-own contract period. Depreciation under the straight-line method is recognized each period over the term of the lease-to-own contract irrespective of receipt of revenue payments from the customer.</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offer additional product plans along with our lease-to-own agreements which provide customers with liability protection against significant damage or loss of a product, and club membership benefits, including various discount programs and product service and replacement benefits in the event merchandise is damaged or lost, and payment insurance in the event eligible customers become unemployed. Customers renew product plans in conjunction with their rental term renewals, and can cancel the plans at any time. Revenue for product plans is recognized over the term of the plan. Costs incurred related to product plans are primarily recognized in cost of sales.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Acima, and Mexico</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Merchandise Sales. </w:t>
      </w:r>
      <w:r>
        <w:rPr>
          <w:rFonts w:ascii="Arial" w:cs="Arial" w:eastAsia="Arial" w:hAnsi="Arial"/>
          <w:sz w:val="18"/>
          <w:szCs w:val="18"/>
          <w:color w:val="auto"/>
        </w:rPr>
        <w:t>Merchandise sales include payments received for the exercise of the early purchase options offered through our lease-to-own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or merchandise sold through point-of-sale transactions. Revenue for merchandise sales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line="275" w:lineRule="auto"/>
        <w:rPr>
          <w:sz w:val="20"/>
          <w:szCs w:val="20"/>
          <w:color w:val="auto"/>
        </w:rPr>
      </w:pPr>
      <w:r>
        <w:rPr>
          <w:rFonts w:ascii="Arial" w:cs="Arial" w:eastAsia="Arial" w:hAnsi="Arial"/>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recognized when payment is received and ownership of the merchandise passes to the customer. The remaining net value of merchandise sold is recorded to cost of sales at the time of the transaction.</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Installment Sales. </w:t>
      </w:r>
      <w:r>
        <w:rPr>
          <w:rFonts w:ascii="Arial" w:cs="Arial" w:eastAsia="Arial" w:hAnsi="Arial"/>
          <w:sz w:val="16"/>
          <w:szCs w:val="16"/>
          <w:color w:val="auto"/>
        </w:rPr>
        <w:t>Revenue from the sale of merchandise in our retail installment stores is recognized when the installment note is signed and control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merchandise has passed to the customer. The cost of merchandise sold through installment agreements is recognized in cost of sales at the time of the transaction. We offer extended service plans with our installment agreements which are administered by third parties and provide customers with product service maintenance beyond the term of the installment agreement. Payments received for extended service plans are deferred and recognized, net of related costs, when the installment payment plan is complete and the service plan goes into effect. Customers can cancel extended service plans at any time during the installment agreement period and receive a refund for payments previously made towards the plan. At September 30, 2023 and December 31, 2022, we had $1.2 million and $2.0 million, respectively, in deferred revenue included in accrued liabilities related to extended service plans.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revenue consists of revenue generated by other miscellaneous product plans offered to our rental and installment customers. Revenue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plans is recognized in accordance with the terms of the applicable plan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Merchandise Sales. </w:t>
      </w:r>
      <w:r>
        <w:rPr>
          <w:rFonts w:ascii="Arial" w:cs="Arial" w:eastAsia="Arial" w:hAnsi="Arial"/>
          <w:sz w:val="18"/>
          <w:szCs w:val="18"/>
          <w:color w:val="auto"/>
        </w:rPr>
        <w:t>Revenue from the sale of rental merchandise is recognized upon shipment of the merchandise to the franchisee.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Royalty Income and Fees. </w:t>
      </w:r>
      <w:r>
        <w:rPr>
          <w:rFonts w:ascii="Arial" w:cs="Arial" w:eastAsia="Arial" w:hAnsi="Arial"/>
          <w:sz w:val="18"/>
          <w:szCs w:val="18"/>
          <w:color w:val="auto"/>
        </w:rPr>
        <w:t>Franchise royalties, including franchisee contributions to corporate advertising funds, represent sales-based royalties calculated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gross rental payments and sales. Royalty revenue is accrued and recognized as rental payments and merchandise sales occur. Franchise fees are initial fees charged to franchisees for new or converted franchise stores. Franchise fee revenue is recognized on a straight-line basis over the term of the franchise agreement. At September 30, 2023 and December 31, 2022, we had $3.1 million and $3.4 million, respectively, in deferred revenue included in accrued liabilities related to franchise fees.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Receivables and Allowance for Doubtful Accounts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Installment sales receivables consist primarily of receivables due from customers for the sale of merchandise in our retail installment stores. Installment sales receivables associated with the sale of merchandise at our Get It Now and Home Choice stores generally consist of the sales price of the merchandise purchased and any additional fees for services the customer has chosen, less the customer’s down payment. No interest is accrued and interest income is recognized each time a customer makes a payment, generally on a monthly basis. Interest paid on installment agreements for each of the nine months ended September 30, 2023 and 2022 was $8.7 million and $9.2 million, respectively.</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Trade and notes receivables consist of amounts due from our lease-to-own customers for lease renewal payments and past due uncollected lease payments, adjusted for the probability of collection based on our assessment of historical collection rates and length of time the receivable is past due; amounts owed from our franchisees for inventory purchases, earned royalties and other obligations; and other corporate related receivables. Credit is extended to franchisees based on an evaluation of each franchisee’s financial condition and collateral is generally not required. Trade receivables are generally due within 30 days.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Receivables consist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1500" w:type="dxa"/>
            <w:vAlign w:val="bottom"/>
          </w:tcPr>
          <w:p>
            <w:pPr>
              <w:jc w:val="right"/>
              <w:ind w:right="181"/>
              <w:spacing w:after="0"/>
              <w:rPr>
                <w:sz w:val="20"/>
                <w:szCs w:val="20"/>
                <w:color w:val="auto"/>
              </w:rPr>
            </w:pPr>
            <w:r>
              <w:rPr>
                <w:rFonts w:ascii="Arial" w:cs="Arial" w:eastAsia="Arial" w:hAnsi="Arial"/>
                <w:sz w:val="14"/>
                <w:szCs w:val="14"/>
                <w:b w:val="1"/>
                <w:bCs w:val="1"/>
                <w:color w:val="auto"/>
                <w:w w:val="96"/>
              </w:rPr>
              <w:t>December 31, 2022</w:t>
            </w:r>
          </w:p>
        </w:tc>
      </w:tr>
      <w:tr>
        <w:trPr>
          <w:trHeight w:val="25"/>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Installment sales receivables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69,550</w:t>
            </w:r>
          </w:p>
        </w:tc>
      </w:tr>
      <w:tr>
        <w:trPr>
          <w:trHeight w:val="216"/>
        </w:trPr>
        <w:tc>
          <w:tcPr>
            <w:tcW w:w="77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Trade and notes receivables</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55,656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55,529</w:t>
            </w:r>
          </w:p>
        </w:tc>
      </w:tr>
      <w:tr>
        <w:trPr>
          <w:trHeight w:val="20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receivables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125,079</w:t>
            </w:r>
          </w:p>
        </w:tc>
      </w:tr>
      <w:tr>
        <w:trPr>
          <w:trHeight w:val="216"/>
        </w:trPr>
        <w:tc>
          <w:tcPr>
            <w:tcW w:w="77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Less allowance for doubtful accounts</w:t>
            </w:r>
            <w:r>
              <w:rPr>
                <w:rFonts w:ascii="Arial" w:cs="Arial" w:eastAsia="Arial" w:hAnsi="Arial"/>
                <w:sz w:val="21"/>
                <w:szCs w:val="21"/>
                <w:color w:val="auto"/>
                <w:vertAlign w:val="superscript"/>
              </w:rPr>
              <w:t>(2)</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(13,214)</w:t>
            </w:r>
          </w:p>
        </w:tc>
      </w:tr>
      <w:tr>
        <w:trPr>
          <w:trHeight w:val="235"/>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receivables, net of allowance for doubtful accounts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104,772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111,865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180" w:hanging="172"/>
        <w:spacing w:after="0" w:line="237" w:lineRule="auto"/>
        <w:tabs>
          <w:tab w:leader="none" w:pos="133" w:val="left"/>
        </w:tabs>
        <w:numPr>
          <w:ilvl w:val="0"/>
          <w:numId w:val="3"/>
        </w:numPr>
        <w:rPr>
          <w:rFonts w:ascii="Arial" w:cs="Arial" w:eastAsia="Arial" w:hAnsi="Arial"/>
          <w:sz w:val="15"/>
          <w:szCs w:val="15"/>
          <w:color w:val="auto"/>
          <w:vertAlign w:val="superscript"/>
        </w:rPr>
      </w:pPr>
      <w:r>
        <w:rPr>
          <w:rFonts w:ascii="Arial" w:cs="Arial" w:eastAsia="Arial" w:hAnsi="Arial"/>
          <w:sz w:val="12"/>
          <w:szCs w:val="12"/>
          <w:color w:val="auto"/>
        </w:rPr>
        <w:t>Trade and notes receivables includes accrued revenue, adjusted for the probability of collection, related to our lease-to-own agreements of $29.9 million and $28.7 million at September 30, 2023 and December 31, 2022, respectively.</w:t>
      </w:r>
    </w:p>
    <w:p>
      <w:pPr>
        <w:ind w:left="180" w:hanging="172"/>
        <w:spacing w:after="0" w:line="230" w:lineRule="auto"/>
        <w:tabs>
          <w:tab w:leader="none" w:pos="133" w:val="left"/>
        </w:tabs>
        <w:numPr>
          <w:ilvl w:val="0"/>
          <w:numId w:val="3"/>
        </w:numPr>
        <w:rPr>
          <w:rFonts w:ascii="Arial" w:cs="Arial" w:eastAsia="Arial" w:hAnsi="Arial"/>
          <w:sz w:val="15"/>
          <w:szCs w:val="15"/>
          <w:color w:val="auto"/>
          <w:vertAlign w:val="superscript"/>
        </w:rPr>
      </w:pPr>
      <w:r>
        <w:rPr>
          <w:rFonts w:ascii="Arial" w:cs="Arial" w:eastAsia="Arial" w:hAnsi="Arial"/>
          <w:sz w:val="12"/>
          <w:szCs w:val="12"/>
          <w:color w:val="auto"/>
        </w:rPr>
        <w:t>Lease receivables are accrued on a net basis, adjusted for the probability of collection based on our assessment of historical collection rates, as described above. Therefore, we do not maintain a separate allowance for doubtful accounts related to our lease receivables.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We believe our allowance is adequate to absorb all expected losses. Our policy is to charge off installment notes receivable that are 120 days or more past due.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line="275" w:lineRule="auto"/>
        <w:rPr>
          <w:sz w:val="20"/>
          <w:szCs w:val="20"/>
          <w:color w:val="auto"/>
        </w:rPr>
      </w:pPr>
      <w:r>
        <w:rPr>
          <w:rFonts w:ascii="Arial" w:cs="Arial" w:eastAsia="Arial" w:hAnsi="Arial"/>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offs are applied as a reduction to the allowance for doubtful accounts and any recoveries of previously charged off balances are applied as an increase to the allowance for doubtful accounts.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our Franchising trade and notes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written-off or fully reserved in our allowance for doubtful accounts. Payments subsequently received on such receivables are credited to the allowance for doubtful accounts.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allowance for doubtful accounts related to Franchising trade and notes receivables was $1.1 million and $1.2 million at September 30, 2023 and December 31, 2022, respectively, and the allowance for doubtful accounts related to installment sales receivables was $12.0 million at both September 30, 2023 and December 31,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allowance for doubtful accounts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Arial" w:cs="Arial" w:eastAsia="Arial" w:hAnsi="Arial"/>
                <w:sz w:val="14"/>
                <w:szCs w:val="14"/>
                <w:b w:val="1"/>
                <w:bCs w:val="1"/>
                <w:color w:val="auto"/>
              </w:rPr>
              <w:t>September 30, 2023</w:t>
            </w:r>
          </w:p>
        </w:tc>
      </w:tr>
      <w:tr>
        <w:trPr>
          <w:trHeight w:val="26"/>
        </w:trPr>
        <w:tc>
          <w:tcPr>
            <w:tcW w:w="9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0"/>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allowance for doubtful accounts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center"/>
              <w:ind w:left="841"/>
              <w:spacing w:after="0"/>
              <w:rPr>
                <w:sz w:val="20"/>
                <w:szCs w:val="20"/>
                <w:color w:val="auto"/>
              </w:rPr>
            </w:pPr>
            <w:r>
              <w:rPr>
                <w:rFonts w:ascii="Arial" w:cs="Arial" w:eastAsia="Arial" w:hAnsi="Arial"/>
                <w:sz w:val="16"/>
                <w:szCs w:val="16"/>
                <w:color w:val="auto"/>
                <w:w w:val="93"/>
              </w:rPr>
              <w:t>13,214</w:t>
            </w:r>
          </w:p>
        </w:tc>
      </w:tr>
      <w:tr>
        <w:trPr>
          <w:trHeight w:val="216"/>
        </w:trPr>
        <w:tc>
          <w:tcPr>
            <w:tcW w:w="9580" w:type="dxa"/>
            <w:vAlign w:val="bottom"/>
          </w:tcPr>
          <w:p>
            <w:pPr>
              <w:ind w:left="140"/>
              <w:spacing w:after="0" w:line="216" w:lineRule="exact"/>
              <w:rPr>
                <w:sz w:val="20"/>
                <w:szCs w:val="20"/>
                <w:color w:val="auto"/>
              </w:rPr>
            </w:pPr>
            <w:r>
              <w:rPr>
                <w:rFonts w:ascii="Arial" w:cs="Arial" w:eastAsia="Arial" w:hAnsi="Arial"/>
                <w:sz w:val="16"/>
                <w:szCs w:val="16"/>
                <w:color w:val="auto"/>
              </w:rPr>
              <w:t>Bad debt expense</w:t>
            </w:r>
            <w:r>
              <w:rPr>
                <w:rFonts w:ascii="Arial" w:cs="Arial" w:eastAsia="Arial" w:hAnsi="Arial"/>
                <w:sz w:val="21"/>
                <w:szCs w:val="21"/>
                <w:color w:val="auto"/>
                <w:vertAlign w:val="superscript"/>
              </w:rPr>
              <w:t>(1)</w:t>
            </w:r>
          </w:p>
        </w:tc>
        <w:tc>
          <w:tcPr>
            <w:tcW w:w="160" w:type="dxa"/>
            <w:vAlign w:val="bottom"/>
          </w:tcPr>
          <w:p>
            <w:pPr>
              <w:spacing w:after="0"/>
              <w:rPr>
                <w:sz w:val="18"/>
                <w:szCs w:val="18"/>
                <w:color w:val="auto"/>
              </w:rPr>
            </w:pPr>
          </w:p>
        </w:tc>
        <w:tc>
          <w:tcPr>
            <w:tcW w:w="1500" w:type="dxa"/>
            <w:vAlign w:val="bottom"/>
          </w:tcPr>
          <w:p>
            <w:pPr>
              <w:jc w:val="center"/>
              <w:ind w:left="841"/>
              <w:spacing w:after="0"/>
              <w:rPr>
                <w:sz w:val="20"/>
                <w:szCs w:val="20"/>
                <w:color w:val="auto"/>
              </w:rPr>
            </w:pPr>
            <w:r>
              <w:rPr>
                <w:rFonts w:ascii="Arial" w:cs="Arial" w:eastAsia="Arial" w:hAnsi="Arial"/>
                <w:sz w:val="16"/>
                <w:szCs w:val="16"/>
                <w:color w:val="auto"/>
                <w:w w:val="93"/>
              </w:rPr>
              <w:t>17,533</w:t>
            </w:r>
          </w:p>
        </w:tc>
      </w:tr>
      <w:tr>
        <w:trPr>
          <w:trHeight w:val="213"/>
        </w:trPr>
        <w:tc>
          <w:tcPr>
            <w:tcW w:w="9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written off, net of recoveries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center"/>
              <w:ind w:left="821"/>
              <w:spacing w:after="0"/>
              <w:rPr>
                <w:sz w:val="20"/>
                <w:szCs w:val="20"/>
                <w:color w:val="auto"/>
              </w:rPr>
            </w:pPr>
            <w:r>
              <w:rPr>
                <w:rFonts w:ascii="Arial" w:cs="Arial" w:eastAsia="Arial" w:hAnsi="Arial"/>
                <w:sz w:val="16"/>
                <w:szCs w:val="16"/>
                <w:color w:val="auto"/>
                <w:w w:val="93"/>
              </w:rPr>
              <w:t>(17,627)</w:t>
            </w:r>
          </w:p>
        </w:tc>
      </w:tr>
      <w:tr>
        <w:trPr>
          <w:trHeight w:val="213"/>
        </w:trPr>
        <w:tc>
          <w:tcPr>
            <w:tcW w:w="9580" w:type="dxa"/>
            <w:vAlign w:val="bottom"/>
          </w:tcPr>
          <w:p>
            <w:pPr>
              <w:ind w:left="60"/>
              <w:spacing w:after="0"/>
              <w:rPr>
                <w:sz w:val="20"/>
                <w:szCs w:val="20"/>
                <w:color w:val="auto"/>
              </w:rPr>
            </w:pPr>
            <w:r>
              <w:rPr>
                <w:rFonts w:ascii="Arial" w:cs="Arial" w:eastAsia="Arial" w:hAnsi="Arial"/>
                <w:sz w:val="16"/>
                <w:szCs w:val="16"/>
                <w:color w:val="auto"/>
              </w:rPr>
              <w:t>Ending allowance for doubtful accounts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center"/>
              <w:ind w:left="841"/>
              <w:spacing w:after="0"/>
              <w:rPr>
                <w:sz w:val="20"/>
                <w:szCs w:val="20"/>
                <w:color w:val="auto"/>
              </w:rPr>
            </w:pPr>
            <w:r>
              <w:rPr>
                <w:rFonts w:ascii="Arial" w:cs="Arial" w:eastAsia="Arial" w:hAnsi="Arial"/>
                <w:sz w:val="16"/>
                <w:szCs w:val="16"/>
                <w:color w:val="auto"/>
                <w:w w:val="93"/>
              </w:rPr>
              <w:t>13,120</w:t>
            </w:r>
          </w:p>
        </w:tc>
      </w:tr>
      <w:tr>
        <w:trPr>
          <w:trHeight w:val="21"/>
        </w:trPr>
        <w:tc>
          <w:tcPr>
            <w:tcW w:w="9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5"/>
          <w:szCs w:val="15"/>
          <w:color w:val="auto"/>
          <w:vertAlign w:val="superscript"/>
        </w:rPr>
      </w:pPr>
      <w:r>
        <w:rPr>
          <w:rFonts w:ascii="Arial" w:cs="Arial" w:eastAsia="Arial" w:hAnsi="Arial"/>
          <w:sz w:val="12"/>
          <w:szCs w:val="12"/>
          <w:color w:val="auto"/>
        </w:rPr>
        <w:t>Uncollectible installment payments, franchisee obligations, and other corporate receivables are recognized in other store operating expenses in our condensed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lease space for all of our Rent-A-Center and Mexico stores under operating leases expiring at various times through 2034. In addition, we lease space for certain support facilities under operating leases expiring at various times through 2032. Most of our store leases are five year leases and contain renewal options for additional periods ranging from three years to five years at rental rates adjusted according to agreed upon formulas. We evaluate all leases to determine if it is likely that we will exercise future renewal options and in most cases we are not reasonably certain of exercise due to competing market rental rates and lack of significant penalty, or business disruption incurred by not exercising the renewal options.</w:t>
      </w:r>
    </w:p>
    <w:p>
      <w:pPr>
        <w:spacing w:after="0" w:line="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certain situations involving the sale of a Rent-A-Center corporate store to a franchisee, we enter into a lease assignment agreement with the buyer, but we remain the primary obligor under the original lease for the remaining active term. These assignments are therefore classified as subleases and the original lease is included in our operating lease right-of-use assets and operating lease liabilities in our Condensed Consolidated Balance Sheets.</w:t>
      </w:r>
    </w:p>
    <w:p>
      <w:pPr>
        <w:spacing w:after="0" w:line="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lease vehicles for all of our Rent-A-Center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Condensed Consolidated Balance Sheets. We also lease vehicles for all of our Mexico stores which have terms expiring at various times through 2026 with rental rates adjusted periodically for inflation. Finally, we have a minimal number of equipment leases, primarily related to temporary storage containers and certain back-office technology hardware assets.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calculation of operating lease right-of-use assets and operating lease liabilities we have elected not to separate the lease and non-lease components. Furthermore, operating lease right-of-use assets and operating lease liabilities are discounted using our incremental borrowing rate, since the implicit rate is not readily determinable. We do not currently have any financing leases.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 costs are recorded on a straight-line basis within other store expenses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line="275" w:lineRule="auto"/>
        <w:rPr>
          <w:sz w:val="20"/>
          <w:szCs w:val="20"/>
          <w:color w:val="auto"/>
        </w:rPr>
      </w:pPr>
      <w:r>
        <w:rPr>
          <w:rFonts w:ascii="Arial" w:cs="Arial" w:eastAsia="Arial" w:hAnsi="Arial"/>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costs by expense type: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52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Operating lease cost included in Other store expenses</w:t>
            </w:r>
            <w:r>
              <w:rPr>
                <w:rFonts w:ascii="Arial" w:cs="Arial" w:eastAsia="Arial" w:hAnsi="Arial"/>
                <w:sz w:val="23"/>
                <w:szCs w:val="23"/>
                <w:color w:val="auto"/>
                <w:vertAlign w:val="superscript"/>
              </w:rPr>
              <w:t>(1)(2)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93,365</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Operating lease cost included in Other charges</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receipts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Total operating lease charges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90,196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87,964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20" w:hanging="112"/>
        <w:spacing w:after="0"/>
        <w:tabs>
          <w:tab w:leader="none" w:pos="120" w:val="left"/>
        </w:tabs>
        <w:numPr>
          <w:ilvl w:val="0"/>
          <w:numId w:val="5"/>
        </w:numPr>
        <w:rPr>
          <w:rFonts w:ascii="Arial" w:cs="Arial" w:eastAsia="Arial" w:hAnsi="Arial"/>
          <w:sz w:val="13"/>
          <w:szCs w:val="13"/>
          <w:color w:val="auto"/>
          <w:vertAlign w:val="superscript"/>
        </w:rPr>
      </w:pPr>
      <w:r>
        <w:rPr>
          <w:rFonts w:ascii="Arial" w:cs="Arial" w:eastAsia="Arial" w:hAnsi="Arial"/>
          <w:sz w:val="10"/>
          <w:szCs w:val="10"/>
          <w:color w:val="auto"/>
        </w:rPr>
        <w:t>Includes short-term lease costs, which are not significant.</w:t>
      </w:r>
    </w:p>
    <w:p>
      <w:pPr>
        <w:spacing w:after="0" w:line="9" w:lineRule="exact"/>
        <w:rPr>
          <w:rFonts w:ascii="Arial" w:cs="Arial" w:eastAsia="Arial" w:hAnsi="Arial"/>
          <w:sz w:val="13"/>
          <w:szCs w:val="13"/>
          <w:color w:val="auto"/>
          <w:vertAlign w:val="superscript"/>
        </w:rPr>
      </w:pPr>
    </w:p>
    <w:p>
      <w:pPr>
        <w:ind w:right="280" w:firstLine="8"/>
        <w:spacing w:after="0" w:line="261" w:lineRule="auto"/>
        <w:tabs>
          <w:tab w:leader="none" w:pos="127" w:val="left"/>
        </w:tabs>
        <w:numPr>
          <w:ilvl w:val="0"/>
          <w:numId w:val="5"/>
        </w:numPr>
        <w:rPr>
          <w:rFonts w:ascii="Arial" w:cs="Arial" w:eastAsia="Arial" w:hAnsi="Arial"/>
          <w:sz w:val="14"/>
          <w:szCs w:val="14"/>
          <w:color w:val="auto"/>
          <w:vertAlign w:val="superscript"/>
        </w:rPr>
      </w:pPr>
      <w:r>
        <w:rPr>
          <w:rFonts w:ascii="Arial" w:cs="Arial" w:eastAsia="Arial" w:hAnsi="Arial"/>
          <w:sz w:val="11"/>
          <w:szCs w:val="11"/>
          <w:color w:val="auto"/>
        </w:rPr>
        <w:t>Excludes variable lease costs of $9.9 million and $29.0 million for the three and nine months ended September 30, 2023, respectively, compared to $9.4 million and $27.2 million for the three and nine months ended September 30, 2022,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364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75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8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580" w:type="dxa"/>
            <w:vAlign w:val="bottom"/>
            <w:vMerge w:val="continue"/>
          </w:tcPr>
          <w:p>
            <w:pPr>
              <w:spacing w:after="0"/>
              <w:rPr>
                <w:sz w:val="15"/>
                <w:szCs w:val="15"/>
                <w:color w:val="auto"/>
              </w:rPr>
            </w:pPr>
          </w:p>
        </w:tc>
        <w:tc>
          <w:tcPr>
            <w:tcW w:w="1820" w:type="dxa"/>
            <w:vAlign w:val="bottom"/>
          </w:tcPr>
          <w:p>
            <w:pPr>
              <w:jc w:val="right"/>
              <w:ind w:right="728"/>
              <w:spacing w:after="0"/>
              <w:rPr>
                <w:sz w:val="20"/>
                <w:szCs w:val="20"/>
                <w:color w:val="auto"/>
              </w:rPr>
            </w:pPr>
            <w:r>
              <w:rPr>
                <w:rFonts w:ascii="Arial" w:cs="Arial" w:eastAsia="Arial" w:hAnsi="Arial"/>
                <w:sz w:val="14"/>
                <w:szCs w:val="14"/>
                <w:b w:val="1"/>
                <w:bCs w:val="1"/>
                <w:color w:val="auto"/>
              </w:rPr>
              <w:t>2023</w:t>
            </w:r>
          </w:p>
        </w:tc>
        <w:tc>
          <w:tcPr>
            <w:tcW w:w="1820" w:type="dxa"/>
            <w:vAlign w:val="bottom"/>
          </w:tcPr>
          <w:p>
            <w:pPr>
              <w:jc w:val="right"/>
              <w:ind w:right="6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measurement of operating lease liabilities</w:t>
            </w: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79,871</w:t>
            </w:r>
          </w:p>
        </w:tc>
        <w:tc>
          <w:tcPr>
            <w:tcW w:w="12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77,780</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Cash paid for short-term operating leases not included in operating lease liabilities</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13,240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14,170</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81,937</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discount rate and weighted-average remaining lease term:</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1980" w:type="dxa"/>
            <w:vAlign w:val="bottom"/>
            <w:gridSpan w:val="2"/>
          </w:tcPr>
          <w:p>
            <w:pPr>
              <w:ind w:left="340"/>
              <w:spacing w:after="0"/>
              <w:rPr>
                <w:sz w:val="20"/>
                <w:szCs w:val="20"/>
                <w:color w:val="auto"/>
              </w:rPr>
            </w:pPr>
            <w:r>
              <w:rPr>
                <w:rFonts w:ascii="Arial" w:cs="Arial" w:eastAsia="Arial" w:hAnsi="Arial"/>
                <w:sz w:val="14"/>
                <w:szCs w:val="14"/>
                <w:b w:val="1"/>
                <w:bCs w:val="1"/>
                <w:color w:val="auto"/>
              </w:rPr>
              <w:t>September 30, 2023</w:t>
            </w:r>
          </w:p>
        </w:tc>
        <w:tc>
          <w:tcPr>
            <w:tcW w:w="190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 2022</w:t>
            </w:r>
          </w:p>
        </w:tc>
      </w:tr>
      <w:tr>
        <w:trPr>
          <w:trHeight w:val="26"/>
        </w:trPr>
        <w:tc>
          <w:tcPr>
            <w:tcW w:w="736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23"/>
        </w:trPr>
        <w:tc>
          <w:tcPr>
            <w:tcW w:w="73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Weighted-average discount rate</w:t>
            </w:r>
            <w:r>
              <w:rPr>
                <w:rFonts w:ascii="Arial" w:cs="Arial" w:eastAsia="Arial" w:hAnsi="Arial"/>
                <w:sz w:val="23"/>
                <w:szCs w:val="23"/>
                <w:color w:val="auto"/>
                <w:vertAlign w:val="superscript"/>
              </w:rPr>
              <w:t>(1)</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79" w:lineRule="exact"/>
        <w:rPr>
          <w:sz w:val="20"/>
          <w:szCs w:val="20"/>
          <w:color w:val="auto"/>
        </w:rPr>
      </w:pPr>
    </w:p>
    <w:p>
      <w:pPr>
        <w:ind w:left="120" w:hanging="112"/>
        <w:spacing w:after="0"/>
        <w:tabs>
          <w:tab w:leader="none" w:pos="120" w:val="left"/>
        </w:tabs>
        <w:numPr>
          <w:ilvl w:val="0"/>
          <w:numId w:val="6"/>
        </w:numPr>
        <w:rPr>
          <w:rFonts w:ascii="Arial" w:cs="Arial" w:eastAsia="Arial" w:hAnsi="Arial"/>
          <w:sz w:val="13"/>
          <w:szCs w:val="13"/>
          <w:color w:val="auto"/>
          <w:vertAlign w:val="superscript"/>
        </w:rPr>
      </w:pPr>
      <w:r>
        <w:rPr>
          <w:rFonts w:ascii="Arial" w:cs="Arial" w:eastAsia="Arial" w:hAnsi="Arial"/>
          <w:sz w:val="10"/>
          <w:szCs w:val="10"/>
          <w:color w:val="auto"/>
        </w:rPr>
        <w:t>The January 1, 2019 incremental borrowing rate was used for leases in existence at the time of adoption of ASU 2016-02.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undiscounted operating lease liabilities to the present value operating lease liabilities at September 30,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16"/>
                <w:szCs w:val="16"/>
                <w:color w:val="auto"/>
              </w:rPr>
            </w:pPr>
          </w:p>
        </w:tc>
        <w:tc>
          <w:tcPr>
            <w:tcW w:w="2380" w:type="dxa"/>
            <w:vAlign w:val="bottom"/>
          </w:tcPr>
          <w:p>
            <w:pPr>
              <w:jc w:val="right"/>
              <w:ind w:right="812"/>
              <w:spacing w:after="0"/>
              <w:rPr>
                <w:sz w:val="20"/>
                <w:szCs w:val="20"/>
                <w:color w:val="auto"/>
              </w:rPr>
            </w:pPr>
            <w:r>
              <w:rPr>
                <w:rFonts w:ascii="Arial" w:cs="Arial" w:eastAsia="Arial" w:hAnsi="Arial"/>
                <w:sz w:val="14"/>
                <w:szCs w:val="14"/>
                <w:b w:val="1"/>
                <w:bCs w:val="1"/>
                <w:color w:val="auto"/>
              </w:rPr>
              <w:t>Operating Leases</w:t>
            </w:r>
          </w:p>
        </w:tc>
      </w:tr>
      <w:tr>
        <w:trPr>
          <w:trHeight w:val="25"/>
        </w:trPr>
        <w:tc>
          <w:tcPr>
            <w:tcW w:w="8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29,524</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103,277</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85,151</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2026</w:t>
            </w:r>
          </w:p>
        </w:tc>
        <w:tc>
          <w:tcPr>
            <w:tcW w:w="50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59,870</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38,556</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33,499</w:t>
            </w: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undiscounted operating lease liabilities</w:t>
            </w:r>
          </w:p>
        </w:tc>
        <w:tc>
          <w:tcPr>
            <w:tcW w:w="5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349,877</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5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(50,368)</w:t>
            </w:r>
          </w:p>
        </w:tc>
      </w:tr>
      <w:tr>
        <w:trPr>
          <w:trHeight w:val="248"/>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present value of operating lease liabilities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299,509</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Income Taxes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effective tax rate was 76.1% for the nine months ended September 30, 2023, compared to 78.7% for the corresponding period in 2022. The effective tax rates for the nine months ended September 30, 2023 and 2022 were impacted by the difference between recorded goodwill and goodwill recognized for tax purposes, primarily related to stock consideration issued to employee former owners of Acima Holdings subject to restricted stock agreements. Please reference Note 9 for additional information regarding the recognition of these restricted stock units in our condensed consolidated financial statements. For tax purposes, restricted stock units subject to restricted stock agreements issued to the former owners of Acima Holdings were recorded as goodwill and will be amortized over a period of 15 years.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Debt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17, 2021, we entered into a credit agreement with JPMorgan Chase Bank, N.A., as administrative agent, and lenders party thereto, providing for a seven-year $875 million senior secured term loan facility (the “Term Loan Facility”) and an Asset Based Loan Credit Facility (the “ABL Credit Facility”) providing for a five-year asset-based revolving credit facility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jc w:val="center"/>
        <w:spacing w:after="0" w:line="275" w:lineRule="auto"/>
        <w:rPr>
          <w:sz w:val="20"/>
          <w:szCs w:val="20"/>
          <w:color w:val="auto"/>
        </w:rPr>
      </w:pPr>
      <w:r>
        <w:rPr>
          <w:rFonts w:ascii="Arial" w:cs="Arial" w:eastAsia="Arial" w:hAnsi="Arial"/>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commitments of $550 million and a letter of credit sublimit of $150 million. Commitments under the ABL Credit Facility may be increased, at our option and under certain conditions, by up to an additional $125 million in the aggregate.</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Proceeds from the Term Loan Facility were net of original issue discount of $4.4 million upon issuance from the lenders. In addition, in connection with the closing of the Term Loan Facility and the ABL Credit Facility, we incurred approximately $30.2 million in debt issuance costs, including bank financing fees and third party legal and other professional fees, of which $25.3 million was capitalized in accordance with ASC Topic 470, “Debt” and recorded as a reduction of our outstanding senior debt, net in our Condensed Consolidated Balance Sheets.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21, 2021 we entered into a First Amendment to the Term Loan Facility, effective as of September 21, 2021. The amendment effected a repricing of the applicable margin under the Term Loan Facility by reducing the LIBOR floor by 25 basis points from 0.75% to 0.50%, and the applicable margin, with respect to any initial term loans, by 75 basis points from 4.00% to 3.25%.</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execution of the First Amendment, and in accordance with ASC Topic 470, “Debt”, we recorded approximately $5.4 million in write-offs of unamortized debt issuance costs and original issue discount previously capitalized upon the issuance of the Term Loan Facility on February 17, 2021.</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10, 2022, we entered into a First Amendment to the ABL Credit Facility, effective as of August 10, 2022. The amendment effected the replacement of LIBOR with Term Secured Overnight Financing Rate (“Term SOFR”) as the benchmark rate of interest thereunder.</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15, 2023, we entered into a Second Amendment to the Term Loan Facility, effective as of June 15, 2023. The amendment effected the replacement of LIBOR with Term SOFR as the benchmark rate of interest and also resulted in a repricing of the applicable margin by 26 basis points from 3.25% to 3.51% effective July 31, 2023.</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First Amendment to the ABL Credit Facility and the Second Amendment to the Term Loan Facility described above, we have elected optional expedients available under ASC Topic 848, “Reference Rate Reform” which classify contract amendments for the transition of LIBOR as events that do not require accounting reassessments as a contract modification.</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2023, the total remaining balance of unamortized debt issuance costs and original issue discount related to our senior debt reported in the Condensed Consolidated Balance Sheets were approximately $13.4 million and $2.1 million, respectively. Remaining unamortized debt issuance costs and original issue discount will be amortized to interest expense over the remaining term of the Term Loan Facility.</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amount outstanding under the Term Loan Facility was $815.5 million at September 30, 2023. We had no outstanding borrowings under our ABL Credit Facility at September 30, 2023 and borrowing capacity of $485.6 million, net of issued letters of credit of approximately $64.4 million, primarily relating to insurance claims.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Credit Agreement</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Facility, which matures on February 17, 2028, amortizes in equal quarterly installments at a rate of 1.00% per annum of the original principal amount thereof, with the remaining balance due at final maturity.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borrowings under the Term Loan Facility is payable at a fluctuating rate of interest determined by reference to the Term SOFR rate plus an applicable margin of 3.51%, subject to a 0.50% Term SOFR floor. The total interest rate on the Term Loan Facility was 8.881% at September 30, 2023. Borrowings under the Term Loan Facility amortize in equal quarterly installments in an amount equal to 1.000% per annum of the original aggregate principal amount thereof, with the remaining balance due at final maturity.</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Facility is secured by a first-priority security interest in substantially all of our present and future tangible and intangible personal property, including our subsidiary guarantors, other than the ABL Priority Collateral (as defined below),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Facility contains covenants that are usual and customary for similar facilities and transactions and that, among other things, restrict our ability and our restricted subsidiaries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line="275" w:lineRule="auto"/>
        <w:rPr>
          <w:sz w:val="20"/>
          <w:szCs w:val="20"/>
          <w:color w:val="auto"/>
        </w:rPr>
      </w:pPr>
      <w:r>
        <w:rPr>
          <w:rFonts w:ascii="Arial" w:cs="Arial" w:eastAsia="Arial" w:hAnsi="Arial"/>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or repurchase or redeem, our capital stock or certain other debt; and make other restricted payments. The Term Loan Facility also includes mandatory prepayment requirements related to asset sales (subject to reinvestment), debt incurrence (other than permitted debt) and excess cash flow, subject to certain limitations described therein. These covenants are subject to a number of limitations and exceptions set forth in the governing documents of the Term Loan.</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our Consolidated Secured Leverage Ratio (as such term is defined in the Term Loan Facility credit agreement) exceeds 1:1, we are required to prepay the loans under the Term Loan Facility by a percentage of annual excess cash flow, as more fully described in the Term Loan Facility credit agreement. We made mandatory excess cash flow prepayments of approximately $42.6 million, including $0.6 million in accrued interest, in March 2023, relating to results for the year ended December 31, 2022.</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provides for customary events of default, including, but not limited to, failure to pay principal and interest, failure to comply with covenants, agreements or conditions, and certain events of bankruptcy or insolvency involving us and our significant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Credit Agreement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ABL Credit Facility will mature on February 17, 2026. We may borrow only up to the lesser of the level of the then-current borrowing base and the aggregate amount of commitments under the ABL Credit Facility. The borrowing base is tied to the amount of eligible installment sales accounts, inventory and eligible rental contracts, reduced by certain reserves.</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ABL Credit Facility bears interest at a fluctuating rate determined by reference to Term SOFR plus an applicable margin of 1.50% to 2.00%. The total interest rate on the ABL Credit Facility at September 30, 2023 was 7.52%. A commitment fee equal to 0.250% to 0.375% of the unused portion of the ABL Credit Facility fluctuates dependent upon average utilization for the prior month as defined by a pricing grid included in the governing documents of the ABL Credit Facility. The commitment fee at September 30, 2023 was 0.375%. We paid $0.8 million of commitment fees during the third quarter of 2023.</w:t>
      </w:r>
    </w:p>
    <w:p>
      <w:pPr>
        <w:spacing w:after="0" w:line="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Loans under the ABL Credit Facility may be borrowed, repaid and re-borrowed until February 17, 2026, at which time all amounts borrowed must be repaid. The obligations under the ABL Credit Facility are guaranteed by us and certain of our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ABL Credit Facility contains covenants that are usual and customary for similar facilities and transactions and that, among other things, restrict our ability and our restricted subsidiaries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ABL Credit Facility also requires the maintenance of a consolidated fixed charge coverage ratio of at least 1.10 to 1.00 at the end of each fiscal quarter only in the event either (i) certain specified events of default have occurred and are continuing or (ii) availability is less than or equal to the greater of $56.25 million and 15% of the line cap then in effect. These covenants are subject to a number of limitations and exceptions set forth in the governing documents of the ABL Credit Facility. The fixed charge coverage ratio as of September 30, 2023 was 1.19 to 1.00.</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governing documents of the ABL Credit Facility provides for customary events of default, including, but not limited to, failure to pay principal and interest, failure to comply with covenants, agreements or conditions, and certain events of bankruptcy or insolvency involving us and our significant subsidiaries. As of September 30, 2023, we were in compliance with all requirements and conditions set forth in our ABL Credit Facility governing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line="275" w:lineRule="auto"/>
        <w:rPr>
          <w:sz w:val="20"/>
          <w:szCs w:val="20"/>
          <w:color w:val="auto"/>
        </w:rPr>
      </w:pPr>
      <w:r>
        <w:rPr>
          <w:rFonts w:ascii="Arial" w:cs="Arial" w:eastAsia="Arial" w:hAnsi="Arial"/>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scheduled maturity dates of our outstanding senior debt at September 30, 2023 for each of the years ending December 31: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6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jc w:val="right"/>
              <w:ind w:right="1160"/>
              <w:spacing w:after="0"/>
              <w:rPr>
                <w:sz w:val="20"/>
                <w:szCs w:val="20"/>
                <w:color w:val="auto"/>
              </w:rPr>
            </w:pPr>
            <w:r>
              <w:rPr>
                <w:rFonts w:ascii="Arial" w:cs="Arial" w:eastAsia="Arial" w:hAnsi="Arial"/>
                <w:sz w:val="14"/>
                <w:szCs w:val="14"/>
                <w:b w:val="1"/>
                <w:bCs w:val="1"/>
                <w:color w:val="auto"/>
              </w:rPr>
              <w:t>Term Loan Facility</w:t>
            </w:r>
            <w:r>
              <w:rPr>
                <w:rFonts w:ascii="Arial" w:cs="Arial" w:eastAsia="Arial" w:hAnsi="Arial"/>
                <w:sz w:val="18"/>
                <w:szCs w:val="18"/>
                <w:b w:val="1"/>
                <w:bCs w:val="1"/>
                <w:color w:val="auto"/>
                <w:vertAlign w:val="superscript"/>
              </w:rPr>
              <w:t>(1)</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3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2024</w:t>
            </w:r>
          </w:p>
        </w:tc>
        <w:tc>
          <w:tcPr>
            <w:tcW w:w="680" w:type="dxa"/>
            <w:vAlign w:val="bottom"/>
          </w:tcPr>
          <w:p>
            <w:pPr>
              <w:spacing w:after="0"/>
              <w:rPr>
                <w:sz w:val="18"/>
                <w:szCs w:val="18"/>
                <w:color w:val="auto"/>
              </w:rPr>
            </w:pPr>
          </w:p>
        </w:tc>
        <w:tc>
          <w:tcPr>
            <w:tcW w:w="3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680" w:type="dxa"/>
            <w:vAlign w:val="bottom"/>
            <w:shd w:val="clear" w:color="auto" w:fill="CCEEFF"/>
          </w:tcPr>
          <w:p>
            <w:pPr>
              <w:spacing w:after="0"/>
              <w:rPr>
                <w:sz w:val="19"/>
                <w:szCs w:val="19"/>
                <w:color w:val="auto"/>
              </w:rPr>
            </w:pPr>
          </w:p>
        </w:tc>
        <w:tc>
          <w:tcPr>
            <w:tcW w:w="3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2026</w:t>
            </w:r>
          </w:p>
        </w:tc>
        <w:tc>
          <w:tcPr>
            <w:tcW w:w="680" w:type="dxa"/>
            <w:vAlign w:val="bottom"/>
          </w:tcPr>
          <w:p>
            <w:pPr>
              <w:spacing w:after="0"/>
              <w:rPr>
                <w:sz w:val="18"/>
                <w:szCs w:val="18"/>
                <w:color w:val="auto"/>
              </w:rPr>
            </w:pPr>
          </w:p>
        </w:tc>
        <w:tc>
          <w:tcPr>
            <w:tcW w:w="3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680" w:type="dxa"/>
            <w:vAlign w:val="bottom"/>
            <w:shd w:val="clear" w:color="auto" w:fill="CCEEFF"/>
          </w:tcPr>
          <w:p>
            <w:pPr>
              <w:spacing w:after="0"/>
              <w:rPr>
                <w:sz w:val="19"/>
                <w:szCs w:val="19"/>
                <w:color w:val="auto"/>
              </w:rPr>
            </w:pPr>
          </w:p>
        </w:tc>
        <w:tc>
          <w:tcPr>
            <w:tcW w:w="3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6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815,458</w:t>
            </w:r>
          </w:p>
        </w:tc>
      </w:tr>
      <w:tr>
        <w:trPr>
          <w:trHeight w:val="234"/>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senior debt</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3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815,458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1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120" w:hanging="112"/>
        <w:spacing w:after="0"/>
        <w:tabs>
          <w:tab w:leader="none" w:pos="120" w:val="left"/>
        </w:tabs>
        <w:numPr>
          <w:ilvl w:val="0"/>
          <w:numId w:val="7"/>
        </w:numPr>
        <w:rPr>
          <w:rFonts w:ascii="Arial" w:cs="Arial" w:eastAsia="Arial" w:hAnsi="Arial"/>
          <w:sz w:val="13"/>
          <w:szCs w:val="13"/>
          <w:color w:val="auto"/>
          <w:vertAlign w:val="superscript"/>
        </w:rPr>
      </w:pPr>
      <w:r>
        <w:rPr>
          <w:rFonts w:ascii="Arial" w:cs="Arial" w:eastAsia="Arial" w:hAnsi="Arial"/>
          <w:sz w:val="10"/>
          <w:szCs w:val="10"/>
          <w:color w:val="auto"/>
        </w:rPr>
        <w:t>Annual installment requirements were reduced by the amount of the excess cash flow payment described above, in accordance with the terms of the credit agreement governing the Term Loan Facility.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Senior Notes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17, 2021, we issued $450 million in senior unsecured notes due February 15, 2029, at par value, bearing interest at 6.375% (the “Notes”), the proceeds of which were used to fund a portion of the Aggregate Cash Consideration upon closing of the Acima Holdings acquisition. Interest on the Notes is payable in arrears on February 15 and August 15 of each year. In connection with the issuance of the Notes, we incurred approximately $15.7 million in debt issuance costs, including bank financing fees and third party legal and other professional fees, which were capitalized in accordance with ASC Topic 470, “Debt” and recorded as a reduction of our outstanding Notes in our Condensed Consolidated Balance Sheets. Debt issuance costs are amortized as interest expense over the term of the Notes. As of September 30, 2023, the total remaining balance of unamortized debt issuance costs related to our senior notes reported in the Condensed Consolidated Balance Sheets was approximately $10.6 million.</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redeem some or all of the Notes at any time on or after February 15, 2024 for cash at the redemption prices set forth in the indenture governing the Notes, plus accrued and unpaid interest to, but not including, the redemption date. Prior to February 15, 2024, we may redeem up to 40% of the aggregate principal amount of the Notes with the proceeds of certain equity offerings at a redemption price of 106.375% plus accrued and unpaid interest to, but not including, the redemption date. In addition, we may redeem some or all of the Notes prior to February 15, 2024, at a redemption price of 100% of the principal amount of the Notes plus accrued and unpaid interest to, but not including, the redemption date, plus a “make-whole” premium. If we experience specific kinds of change of control, we will be required to offer to purchase the Notes at a price equal to 101% of the principal amount thereof plus accrued and unpaid interest.</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Notes are our general unsecured senior obligations, and are effectively subordinated to all of our existing and future secured indebtedness to the extent of the value of the collateral securing such indebtedness, structurally subordinated to all existing and future indebtedness and other liabilities of our non-guarantor subsidiaries, equal in right of payment to all of our and our guarantor subsidiaries’ existing and future senior indebtedness and senior in right of payment to all of our future subordinated indebtedness, if any. The Notes are jointly and severally guaranteed on a senior unsecured basis by certain of our domestic subsidiaries that have outstanding indebtedness or guarantee other specified indebtedness, including the ABL Credit Facility and the Term Loan Facility.</w:t>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indenture governing the Notes contains covenants that limit, among other things, our ability and the ability of some of our restricted subsidiaries to create liens, transfer or sell assets, incur indebtedness or issue certain preferred stock, pay dividends, redeem stock or make other distributions, make other restricted payments or investments, create restrictions on payment of dividends or other amounts to us by our restricted subsidiaries, merge or consolidate with other entities, engage in certain transactions with affiliates and designate our subsidiaries as unrestricted subsidiaries. These covenants are subject to a number of exceptions and qualifications. The covenants limiting restricted payments, restrictions on payment of dividends or other amounts to us by our restricted subsidiaries, the ability to incur indebtedness, asset dispositions and transactions with affiliates will be suspended if and while the Notes have investment grade ratings from any two of Standard &amp; Poor’s Ratings Services, Moody’s Investors Service, Inc. and Fitch, Inc.</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indenture governing the Notes also provides for events of default, which, if any of them occurs, would permit or require the principal, premium, if any, and interest on all the then outstanding Notes to be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line="275" w:lineRule="auto"/>
        <w:rPr>
          <w:sz w:val="20"/>
          <w:szCs w:val="20"/>
          <w:color w:val="auto"/>
        </w:rPr>
      </w:pPr>
      <w:r>
        <w:rPr>
          <w:rFonts w:ascii="Arial" w:cs="Arial" w:eastAsia="Arial" w:hAnsi="Arial"/>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financial instruments include cash and cash equivalents, receivables, payables, borrowings against our ABL Credit Facility and Term Loan Facility, and outstanding Notes. The carrying amount of cash and cash equivalents, receivables and payables approximates fair value at September 30, 2023 and December 31, 2022, because of the short maturities of these instruments. In addition, the interest rates on our Term Loan Facility and ABL Credit Facility are variable and, therefore, we believe the carrying value of outstanding borrowings approximates their fair value.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Notes is based on Level 1 inputs and was as follows at September 30,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jc w:val="center"/>
              <w:ind w:right="205"/>
              <w:spacing w:after="0"/>
              <w:rPr>
                <w:sz w:val="20"/>
                <w:szCs w:val="20"/>
                <w:color w:val="auto"/>
              </w:rPr>
            </w:pPr>
            <w:r>
              <w:rPr>
                <w:rFonts w:ascii="Arial" w:cs="Arial" w:eastAsia="Arial" w:hAnsi="Arial"/>
                <w:sz w:val="14"/>
                <w:szCs w:val="14"/>
                <w:b w:val="1"/>
                <w:bCs w:val="1"/>
                <w:color w:val="auto"/>
                <w:w w:val="91"/>
              </w:rPr>
              <w:t>September 30, 2023</w:t>
            </w:r>
          </w:p>
        </w:tc>
        <w:tc>
          <w:tcPr>
            <w:tcW w:w="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2"/>
          </w:tcPr>
          <w:p>
            <w:pPr>
              <w:ind w:left="220"/>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Pr>
          <w:p>
            <w:pPr>
              <w:spacing w:after="0"/>
              <w:rPr>
                <w:sz w:val="16"/>
                <w:szCs w:val="16"/>
                <w:color w:val="auto"/>
              </w:rPr>
            </w:pPr>
          </w:p>
        </w:tc>
        <w:tc>
          <w:tcPr>
            <w:tcW w:w="1800" w:type="dxa"/>
            <w:vAlign w:val="bottom"/>
          </w:tcPr>
          <w:p>
            <w:pPr>
              <w:jc w:val="center"/>
              <w:ind w:right="205"/>
              <w:spacing w:after="0"/>
              <w:rPr>
                <w:sz w:val="20"/>
                <w:szCs w:val="20"/>
                <w:color w:val="auto"/>
              </w:rPr>
            </w:pPr>
            <w:r>
              <w:rPr>
                <w:rFonts w:ascii="Arial" w:cs="Arial" w:eastAsia="Arial" w:hAnsi="Arial"/>
                <w:sz w:val="14"/>
                <w:szCs w:val="14"/>
                <w:b w:val="1"/>
                <w:bCs w:val="1"/>
                <w:color w:val="auto"/>
                <w:w w:val="95"/>
              </w:rPr>
              <w:t>Fair Value</w:t>
            </w:r>
          </w:p>
        </w:tc>
        <w:tc>
          <w:tcPr>
            <w:tcW w:w="480" w:type="dxa"/>
            <w:vAlign w:val="bottom"/>
          </w:tcPr>
          <w:p>
            <w:pPr>
              <w:spacing w:after="0"/>
              <w:rPr>
                <w:sz w:val="16"/>
                <w:szCs w:val="16"/>
                <w:color w:val="auto"/>
              </w:rPr>
            </w:pPr>
          </w:p>
        </w:tc>
        <w:tc>
          <w:tcPr>
            <w:tcW w:w="1640" w:type="dxa"/>
            <w:vAlign w:val="bottom"/>
          </w:tcPr>
          <w:p>
            <w:pPr>
              <w:jc w:val="right"/>
              <w:ind w:right="624"/>
              <w:spacing w:after="0"/>
              <w:rPr>
                <w:sz w:val="20"/>
                <w:szCs w:val="20"/>
                <w:color w:val="auto"/>
              </w:rPr>
            </w:pPr>
            <w:r>
              <w:rPr>
                <w:rFonts w:ascii="Arial" w:cs="Arial" w:eastAsia="Arial" w:hAnsi="Arial"/>
                <w:sz w:val="14"/>
                <w:szCs w:val="14"/>
                <w:b w:val="1"/>
                <w:bCs w:val="1"/>
                <w:color w:val="auto"/>
              </w:rPr>
              <w:t>Difference</w:t>
            </w:r>
          </w:p>
        </w:tc>
        <w:tc>
          <w:tcPr>
            <w:tcW w:w="0" w:type="dxa"/>
            <w:vAlign w:val="bottom"/>
          </w:tcPr>
          <w:p>
            <w:pPr>
              <w:spacing w:after="0"/>
              <w:rPr>
                <w:sz w:val="1"/>
                <w:szCs w:val="1"/>
                <w:color w:val="auto"/>
              </w:rPr>
            </w:pPr>
          </w:p>
        </w:tc>
      </w:tr>
      <w:tr>
        <w:trPr>
          <w:trHeight w:val="216"/>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401,040</w:t>
            </w:r>
          </w:p>
        </w:tc>
        <w:tc>
          <w:tcPr>
            <w:tcW w:w="48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(48,960)</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Charges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Acima Holdings Acquisition. </w:t>
      </w:r>
      <w:r>
        <w:rPr>
          <w:rFonts w:ascii="Arial" w:cs="Arial" w:eastAsia="Arial" w:hAnsi="Arial"/>
          <w:sz w:val="18"/>
          <w:szCs w:val="18"/>
          <w:color w:val="auto"/>
        </w:rPr>
        <w:t>On February 17, 2021, we completed the acquisition of Acima Holdings, a leading provider of virtual lease-to-own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aggregate consideration issued to the former owners of Acima Holdings were 8,096,595 common shares, valued at $414.1 million, subject to 36-month vesting conditions under restricted stock agreements, which will be recognized over the vesting term as stock compensation expense, in accordance with ASC Topic 718, “Stock-based Compensation”. During the nine months ended September 30, 2023 and 2022, we recognized approximately $128.1 million and $111.5 million in stock compensation expense, respectively, related to these restricted stock agreements. See Note 11 for additional information.</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assets acquired as part of the transaction included $520 million in intangible assets and $170 million in developed technology. During the nine months ended September 30, 2023 and 2022, we recognized approximately $42.8 million and $50.6 million in amortization expense, respectively, related to acquired intangible assets. We also recognized approximately $11.9 million in incremental depreciation expense related to acquired technology assets in both the nine months ended September 30, 2023 and 2022.</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2022, we recognized approximately $0.2 million in transaction costs associated with the closing of the transaction.</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Internally Developed Software Depreciation. </w:t>
      </w:r>
      <w:r>
        <w:rPr>
          <w:rFonts w:ascii="Arial" w:cs="Arial" w:eastAsia="Arial" w:hAnsi="Arial"/>
          <w:sz w:val="17"/>
          <w:szCs w:val="17"/>
          <w:color w:val="auto"/>
        </w:rPr>
        <w:t>During the third quarter of 2023, we completed initial development and began pilot testing a new internally</w:t>
      </w:r>
      <w:r>
        <w:rPr>
          <w:rFonts w:ascii="Arial" w:cs="Arial" w:eastAsia="Arial" w:hAnsi="Arial"/>
          <w:sz w:val="17"/>
          <w:szCs w:val="17"/>
          <w:i w:val="1"/>
          <w:iCs w:val="1"/>
          <w:color w:val="auto"/>
        </w:rPr>
        <w:t xml:space="preserve"> </w:t>
      </w:r>
      <w:r>
        <w:rPr>
          <w:rFonts w:ascii="Arial" w:cs="Arial" w:eastAsia="Arial" w:hAnsi="Arial"/>
          <w:sz w:val="17"/>
          <w:szCs w:val="17"/>
          <w:color w:val="auto"/>
        </w:rPr>
        <w:t>developed point-of-sale system for our Rent-A-Center lease-to-own stores. We expect to fully deploy the new system across our lease-to-own store network during the first half of 2024, at which time our existing point-of-sale software will be retired. Therefore, in the third quarter of 2023, we accelerated the remaining useful lives of our existing point-of-sale software assets to align with the current deployment timeline of our new point-of-sale system, which resulted in the recognition of additional depreciation expense of $4.6 million for the three months ended September 30, 2023. Subsequent to September 30, 2023 we expect to recognize additional depreciation expense of $10.8 million over the remaining life of these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left="2460"/>
        <w:spacing w:after="0" w:line="275" w:lineRule="auto"/>
        <w:rPr>
          <w:sz w:val="20"/>
          <w:szCs w:val="20"/>
          <w:color w:val="auto"/>
        </w:rPr>
      </w:pPr>
      <w:r>
        <w:rPr>
          <w:rFonts w:ascii="Arial" w:cs="Arial" w:eastAsia="Arial" w:hAnsi="Arial"/>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Activity with respect to Other charges for the nine months ended September 30, 2023 is summarized in the below table:</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charges: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Labor reduction costs</w:t>
      </w:r>
      <w:r>
        <w:rPr>
          <w:rFonts w:ascii="Arial" w:cs="Arial" w:eastAsia="Arial" w:hAnsi="Arial"/>
          <w:sz w:val="23"/>
          <w:szCs w:val="23"/>
          <w:color w:val="auto"/>
          <w:vertAlign w:val="superscript"/>
        </w:rPr>
        <w:t>(1)</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cash charges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Non-cash charges:</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Acima Holdings restricted stock agreements</w:t>
      </w:r>
      <w:r>
        <w:rPr>
          <w:rFonts w:ascii="Arial" w:cs="Arial" w:eastAsia="Arial" w:hAnsi="Arial"/>
          <w:sz w:val="22"/>
          <w:szCs w:val="22"/>
          <w:color w:val="auto"/>
          <w:vertAlign w:val="superscript"/>
        </w:rPr>
        <w:t>(2)</w:t>
      </w:r>
    </w:p>
    <w:p>
      <w:pPr>
        <w:ind w:left="140"/>
        <w:spacing w:after="0"/>
        <w:rPr>
          <w:sz w:val="20"/>
          <w:szCs w:val="20"/>
          <w:color w:val="auto"/>
        </w:rPr>
      </w:pPr>
      <w:r>
        <w:rPr>
          <w:rFonts w:ascii="Arial" w:cs="Arial" w:eastAsia="Arial" w:hAnsi="Arial"/>
          <w:sz w:val="16"/>
          <w:szCs w:val="16"/>
          <w:color w:val="auto"/>
        </w:rPr>
        <w:t>Depreciation and amortization of acquired assets</w:t>
      </w:r>
      <w:r>
        <w:rPr>
          <w:rFonts w:ascii="Arial" w:cs="Arial" w:eastAsia="Arial" w:hAnsi="Arial"/>
          <w:sz w:val="20"/>
          <w:szCs w:val="20"/>
          <w:color w:val="auto"/>
          <w:vertAlign w:val="superscript"/>
        </w:rPr>
        <w:t>(3)</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Accelerated software depreciation</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(4)</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other charges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Accrued Charges at</w:t>
            </w:r>
          </w:p>
        </w:tc>
        <w:tc>
          <w:tcPr>
            <w:tcW w:w="160" w:type="dxa"/>
            <w:vAlign w:val="bottom"/>
          </w:tcPr>
          <w:p>
            <w:pPr>
              <w:spacing w:after="0"/>
              <w:rPr>
                <w:sz w:val="14"/>
                <w:szCs w:val="14"/>
                <w:color w:val="auto"/>
              </w:rPr>
            </w:pPr>
          </w:p>
        </w:tc>
        <w:tc>
          <w:tcPr>
            <w:tcW w:w="1080" w:type="dxa"/>
            <w:vAlign w:val="bottom"/>
          </w:tcPr>
          <w:p>
            <w:pPr>
              <w:jc w:val="right"/>
              <w:ind w:right="214"/>
              <w:spacing w:after="0"/>
              <w:rPr>
                <w:sz w:val="20"/>
                <w:szCs w:val="20"/>
                <w:color w:val="auto"/>
              </w:rPr>
            </w:pPr>
            <w:r>
              <w:rPr>
                <w:rFonts w:ascii="Arial" w:cs="Arial" w:eastAsia="Arial" w:hAnsi="Arial"/>
                <w:sz w:val="14"/>
                <w:szCs w:val="14"/>
                <w:b w:val="1"/>
                <w:bCs w:val="1"/>
                <w:color w:val="auto"/>
              </w:rPr>
              <w:t>Charges &amp;</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Payments &amp;</w:t>
            </w:r>
          </w:p>
        </w:tc>
        <w:tc>
          <w:tcPr>
            <w:tcW w:w="16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Arial" w:cs="Arial" w:eastAsia="Arial" w:hAnsi="Arial"/>
                <w:sz w:val="14"/>
                <w:szCs w:val="14"/>
                <w:b w:val="1"/>
                <w:bCs w:val="1"/>
                <w:color w:val="auto"/>
              </w:rPr>
              <w:t>Accrued Charges at</w:t>
            </w:r>
          </w:p>
        </w:tc>
        <w:tc>
          <w:tcPr>
            <w:tcW w:w="0" w:type="dxa"/>
            <w:vAlign w:val="bottom"/>
          </w:tcPr>
          <w:p>
            <w:pPr>
              <w:spacing w:after="0"/>
              <w:rPr>
                <w:sz w:val="1"/>
                <w:szCs w:val="1"/>
                <w:color w:val="auto"/>
              </w:rPr>
            </w:pPr>
          </w:p>
        </w:tc>
      </w:tr>
      <w:tr>
        <w:trPr>
          <w:trHeight w:val="192"/>
        </w:trPr>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December 31, 2022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Adjustments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6"/>
              </w:rPr>
              <w:t>Adjustments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September 30, 2023</w:t>
            </w:r>
          </w:p>
        </w:tc>
        <w:tc>
          <w:tcPr>
            <w:tcW w:w="0" w:type="dxa"/>
            <w:vAlign w:val="bottom"/>
          </w:tcPr>
          <w:p>
            <w:pPr>
              <w:spacing w:after="0"/>
              <w:rPr>
                <w:sz w:val="1"/>
                <w:szCs w:val="1"/>
                <w:color w:val="auto"/>
              </w:rPr>
            </w:pPr>
          </w:p>
        </w:tc>
      </w:tr>
      <w:tr>
        <w:trPr>
          <w:trHeight w:val="445"/>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128,128</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54,701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-1379220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-1087755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-770890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-479425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-187960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4340" w:space="720"/>
            <w:col w:w="6180"/>
          </w:cols>
          <w:pgMar w:left="320" w:top="121" w:right="339" w:bottom="1440" w:gutter="0" w:footer="0" w:header="0"/>
          <w:type w:val="continuous"/>
        </w:sectPr>
      </w:pPr>
    </w:p>
    <w:p>
      <w:pPr>
        <w:ind w:left="120" w:hanging="112"/>
        <w:spacing w:after="0"/>
        <w:tabs>
          <w:tab w:leader="none" w:pos="120" w:val="left"/>
        </w:tabs>
        <w:numPr>
          <w:ilvl w:val="0"/>
          <w:numId w:val="8"/>
        </w:numPr>
        <w:rPr>
          <w:rFonts w:ascii="Arial" w:cs="Arial" w:eastAsia="Arial" w:hAnsi="Arial"/>
          <w:sz w:val="13"/>
          <w:szCs w:val="13"/>
          <w:color w:val="auto"/>
          <w:vertAlign w:val="superscript"/>
        </w:rPr>
      </w:pPr>
      <w:r>
        <w:rPr>
          <w:rFonts w:ascii="Arial" w:cs="Arial" w:eastAsia="Arial" w:hAnsi="Arial"/>
          <w:sz w:val="10"/>
          <w:szCs w:val="10"/>
          <w:color w:val="auto"/>
        </w:rPr>
        <w:t>Represents charges incurred and payments related to employee severance.</w:t>
      </w:r>
    </w:p>
    <w:p>
      <w:pPr>
        <w:spacing w:after="0" w:line="9" w:lineRule="exact"/>
        <w:rPr>
          <w:rFonts w:ascii="Arial" w:cs="Arial" w:eastAsia="Arial" w:hAnsi="Arial"/>
          <w:sz w:val="13"/>
          <w:szCs w:val="13"/>
          <w:color w:val="auto"/>
          <w:vertAlign w:val="superscript"/>
        </w:rPr>
      </w:pPr>
    </w:p>
    <w:p>
      <w:pPr>
        <w:ind w:left="180" w:hanging="172"/>
        <w:spacing w:after="0" w:line="213" w:lineRule="auto"/>
        <w:tabs>
          <w:tab w:leader="none" w:pos="149"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Represents stock compensation expense related to common stock issued to Acima Holdings employees under restricted stock agreements as part of the acquisition proceeds subject to vesting restrictions, as described in Note 11.</w:t>
      </w:r>
    </w:p>
    <w:p>
      <w:pPr>
        <w:spacing w:after="0" w:line="1" w:lineRule="exact"/>
        <w:rPr>
          <w:rFonts w:ascii="Arial" w:cs="Arial" w:eastAsia="Arial" w:hAnsi="Arial"/>
          <w:sz w:val="16"/>
          <w:szCs w:val="16"/>
          <w:color w:val="auto"/>
          <w:vertAlign w:val="superscript"/>
        </w:rPr>
      </w:pPr>
    </w:p>
    <w:p>
      <w:pPr>
        <w:ind w:left="180" w:hanging="172"/>
        <w:spacing w:after="0" w:line="214" w:lineRule="auto"/>
        <w:tabs>
          <w:tab w:leader="none" w:pos="146"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Represents amortization of the total fair value of acquired intangible assets and incremental depreciation related to the fair value increase over net book value of acquired software assets in connection with the acquisition of Acima Holdings in 2021.</w:t>
      </w:r>
    </w:p>
    <w:p>
      <w:pPr>
        <w:spacing w:after="0" w:line="1" w:lineRule="exact"/>
        <w:rPr>
          <w:rFonts w:ascii="Arial" w:cs="Arial" w:eastAsia="Arial" w:hAnsi="Arial"/>
          <w:sz w:val="16"/>
          <w:szCs w:val="16"/>
          <w:color w:val="auto"/>
          <w:vertAlign w:val="superscript"/>
        </w:rPr>
      </w:pPr>
    </w:p>
    <w:p>
      <w:pPr>
        <w:ind w:left="140" w:hanging="132"/>
        <w:spacing w:after="0" w:line="211" w:lineRule="auto"/>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Primarily represents interest income on tax refunds for prior years received in 2023.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Segment Information</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operating segments reported below are the segments for which separate financial information is available and for which segment results are evaluated by the chief operating decision makers. Our operating segments are organized based on factors including, but not limited to, type of business transactions, geographic location and store ownership. Within our operating segments, we offer merchandise for lease from certain basic product categories: furniture, including mattresses, tires, consumer electronics, appliances, tools, handbags, computers, smartphones, and accessories.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as of and for the three and nine months ended September 30, 2023 and 2022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5"/>
        </w:trPr>
        <w:tc>
          <w:tcPr>
            <w:tcW w:w="52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5200" w:type="dxa"/>
            <w:vAlign w:val="bottom"/>
          </w:tcPr>
          <w:p>
            <w:pPr>
              <w:ind w:left="140"/>
              <w:spacing w:after="0"/>
              <w:rPr>
                <w:sz w:val="20"/>
                <w:szCs w:val="20"/>
                <w:color w:val="auto"/>
              </w:rPr>
            </w:pPr>
            <w:r>
              <w:rPr>
                <w:rFonts w:ascii="Arial" w:cs="Arial" w:eastAsia="Arial" w:hAnsi="Arial"/>
                <w:sz w:val="18"/>
                <w:szCs w:val="18"/>
                <w:color w:val="auto"/>
              </w:rPr>
              <w:t>Rent-A-Center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453,632</w:t>
            </w:r>
          </w:p>
        </w:tc>
        <w:tc>
          <w:tcPr>
            <w:tcW w:w="12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473,755</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1,404,831</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1,482,445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1,423,421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1,633,994</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Mexico</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55,526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48,454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90,040</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979,098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1,023,957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2,974,322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3,254,933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7"/>
        </w:trPr>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24"/>
                <w:szCs w:val="24"/>
                <w:color w:val="auto"/>
              </w:rPr>
            </w:pPr>
          </w:p>
        </w:tc>
        <w:tc>
          <w:tcPr>
            <w:tcW w:w="270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5"/>
        </w:trPr>
        <w:tc>
          <w:tcPr>
            <w:tcW w:w="52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Rent-A-Center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317,233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334,892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975,210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1,046,332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481,742</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Mexico</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39,410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34,242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21,857</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gross profit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497,166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505,535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1,509,656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1,584,173</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center"/>
        <w:spacing w:after="0" w:line="275" w:lineRule="auto"/>
        <w:rPr>
          <w:sz w:val="20"/>
          <w:szCs w:val="20"/>
          <w:color w:val="auto"/>
        </w:rPr>
      </w:pPr>
      <w:r>
        <w:rPr>
          <w:rFonts w:ascii="Arial" w:cs="Arial" w:eastAsia="Arial" w:hAnsi="Arial"/>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52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Rent-A-Center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63,762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71,999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211,637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271,283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94,318</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Mexico</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15,170</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126,551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126,957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403,437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385,782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Corporate</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(68,499)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(279,582)</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operating profit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58,052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37,077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106,200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80" w:hanging="172"/>
        <w:spacing w:after="0" w:line="257" w:lineRule="auto"/>
        <w:tabs>
          <w:tab w:leader="none" w:pos="133" w:val="left"/>
        </w:tabs>
        <w:numPr>
          <w:ilvl w:val="0"/>
          <w:numId w:val="9"/>
        </w:numPr>
        <w:rPr>
          <w:rFonts w:ascii="Arial" w:cs="Arial" w:eastAsia="Arial" w:hAnsi="Arial"/>
          <w:sz w:val="15"/>
          <w:szCs w:val="15"/>
          <w:color w:val="auto"/>
          <w:vertAlign w:val="superscript"/>
        </w:rPr>
      </w:pPr>
      <w:r>
        <w:rPr>
          <w:rFonts w:ascii="Arial" w:cs="Arial" w:eastAsia="Arial" w:hAnsi="Arial"/>
          <w:sz w:val="12"/>
          <w:szCs w:val="12"/>
          <w:color w:val="auto"/>
        </w:rPr>
        <w:t>Includes stock compensation expense of $9.4 million and $128.1 million recognized for the three and nine months ended September 30, 2023 and $42.1 million and $111.5 million recognized for the three and nine months ended September 30, 2022, related to common stock issued to Acima Holdings employees under restricted stock agreements as part of the acquisition consideration subject to vesting restrictions as described in Note 11.</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52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Rent-A-Center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4,421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4,629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13,964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15,665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Acima</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Mexico</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17,765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Corporate</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22,443</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Total depreciation and amortization</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40,208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80" w:hanging="172"/>
        <w:spacing w:after="0" w:line="243" w:lineRule="auto"/>
        <w:tabs>
          <w:tab w:leader="none" w:pos="133" w:val="left"/>
        </w:tabs>
        <w:numPr>
          <w:ilvl w:val="0"/>
          <w:numId w:val="10"/>
        </w:numPr>
        <w:rPr>
          <w:rFonts w:ascii="Arial" w:cs="Arial" w:eastAsia="Arial" w:hAnsi="Arial"/>
          <w:sz w:val="15"/>
          <w:szCs w:val="15"/>
          <w:color w:val="auto"/>
          <w:vertAlign w:val="superscript"/>
        </w:rPr>
      </w:pPr>
      <w:r>
        <w:rPr>
          <w:rFonts w:ascii="Arial" w:cs="Arial" w:eastAsia="Arial" w:hAnsi="Arial"/>
          <w:sz w:val="12"/>
          <w:szCs w:val="12"/>
          <w:color w:val="auto"/>
        </w:rPr>
        <w:t>Excludes amortization expense of approximately $14.3 million and $42.8 million for the three and nine months ended September 30, 2023, compared to $14.2 million and $50.6 million for the three and nine months ended September 30, 2022, recorded to Other charges in the Condensed Consolidated Statement of Operations, related to intangible assets acquired upon closing of the Acima Holdings acquisition. See Note 9 for additional information.</w:t>
      </w:r>
    </w:p>
    <w:p>
      <w:pPr>
        <w:spacing w:after="0" w:line="1" w:lineRule="exact"/>
        <w:rPr>
          <w:rFonts w:ascii="Arial" w:cs="Arial" w:eastAsia="Arial" w:hAnsi="Arial"/>
          <w:sz w:val="15"/>
          <w:szCs w:val="15"/>
          <w:color w:val="auto"/>
          <w:vertAlign w:val="superscript"/>
        </w:rPr>
      </w:pPr>
    </w:p>
    <w:p>
      <w:pPr>
        <w:ind w:left="180" w:hanging="172"/>
        <w:spacing w:after="0" w:line="249" w:lineRule="auto"/>
        <w:tabs>
          <w:tab w:leader="none" w:pos="133" w:val="left"/>
        </w:tabs>
        <w:numPr>
          <w:ilvl w:val="0"/>
          <w:numId w:val="10"/>
        </w:numPr>
        <w:rPr>
          <w:rFonts w:ascii="Arial" w:cs="Arial" w:eastAsia="Arial" w:hAnsi="Arial"/>
          <w:sz w:val="15"/>
          <w:szCs w:val="15"/>
          <w:color w:val="auto"/>
          <w:vertAlign w:val="superscript"/>
        </w:rPr>
      </w:pPr>
      <w:r>
        <w:rPr>
          <w:rFonts w:ascii="Arial" w:cs="Arial" w:eastAsia="Arial" w:hAnsi="Arial"/>
          <w:sz w:val="12"/>
          <w:szCs w:val="12"/>
          <w:color w:val="auto"/>
        </w:rPr>
        <w:t>Excludes depreciation expense of approximately $8.6 million and $16.5 million for both the three and nine months ended September 30, 2023, compared to $3.9 million and $11.9 million for the three and nine months ended September 30, 2022, recorded to Other charges in the Condensed Consolidated Statement of Operations, related to software acquired upon closing of the Acima Holdings acquisition and accelerated software depreciation. See Note 9 for additional information.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84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5"/>
        </w:trPr>
        <w:tc>
          <w:tcPr>
            <w:tcW w:w="51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Rent-A-Center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6,822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10,714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12,587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30,917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Mexico</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7,451</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11,592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14,693</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21,474</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20"/>
              <w:spacing w:after="0"/>
              <w:rPr>
                <w:sz w:val="20"/>
                <w:szCs w:val="20"/>
                <w:color w:val="auto"/>
              </w:rPr>
            </w:pPr>
            <w:r>
              <w:rPr>
                <w:rFonts w:ascii="Arial" w:cs="Arial" w:eastAsia="Arial" w:hAnsi="Arial"/>
                <w:sz w:val="18"/>
                <w:szCs w:val="18"/>
                <w:color w:val="auto"/>
              </w:rPr>
              <w:t>Total capital expenditures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18,541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36,167</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49,436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7"/>
        </w:trPr>
        <w:tc>
          <w:tcPr>
            <w:tcW w:w="51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September 30, 2023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December 31, 2022</w:t>
            </w:r>
          </w:p>
        </w:tc>
        <w:tc>
          <w:tcPr>
            <w:tcW w:w="0" w:type="dxa"/>
            <w:vAlign w:val="bottom"/>
          </w:tcPr>
          <w:p>
            <w:pPr>
              <w:spacing w:after="0"/>
              <w:rPr>
                <w:sz w:val="1"/>
                <w:szCs w:val="1"/>
                <w:color w:val="auto"/>
              </w:rPr>
            </w:pPr>
          </w:p>
        </w:tc>
      </w:tr>
      <w:tr>
        <w:trPr>
          <w:trHeight w:val="25"/>
        </w:trPr>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 rent rental merchandise, net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Rent-A-Center</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429,614</w:t>
            </w:r>
          </w:p>
        </w:tc>
        <w:tc>
          <w:tcPr>
            <w:tcW w:w="1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465,095</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517,302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503,795</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Mexico</w:t>
            </w: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22,049</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20,979</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on rent rental merchandise, net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968,965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989,869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line="275" w:lineRule="auto"/>
        <w:rPr>
          <w:sz w:val="20"/>
          <w:szCs w:val="20"/>
          <w:color w:val="auto"/>
        </w:rPr>
      </w:pPr>
      <w:r>
        <w:rPr>
          <w:rFonts w:ascii="Arial" w:cs="Arial" w:eastAsia="Arial" w:hAnsi="Arial"/>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for rent rental merchandise, net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Rent-A-Center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111,311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124,117</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29"/>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Mexico</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10,469</w:t>
            </w:r>
          </w:p>
        </w:tc>
      </w:tr>
      <w:tr>
        <w:trPr>
          <w:trHeight w:val="248"/>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held for rent rental merchandise,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134,959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380"/>
        </w:trPr>
        <w:tc>
          <w:tcPr>
            <w:tcW w:w="76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24"/>
                <w:szCs w:val="24"/>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by segment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Rent-A-Center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960,425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1,067,875</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Acima</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1,172,466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1,198,879</w:t>
            </w: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Mexico</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60,676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51,225</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Franchising</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18,194</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2,212,759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2,336,173</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413,316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427,446</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2,626,075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2,763,619</w:t>
            </w: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Stock and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early December 2021, our Board of Directors authorized a stock repurchase program for up to $500 million (the “December 2021 Program”), which superseded our previous stock repurchase program. Under the December 2021 Program, we may purchase shares of our common stock from time to time in the open market or privately negotiated transactions. We are not obligated to acquire any shares under the program, and the program may be suspended or discontinued at any time. During the nine months ended September 30, 2023 and 2022, we repurchased 916,269 and 1,218,313 shares of our common stock for an aggregate purchase price of approximately $27.1 million and $29.8 million, respectively. As of September 30, 2023, under the December 2021 Program approximately $258.0 million remains available for repurchases.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recognized $6.2 million and $2.7 million in compensation expense related to stock awards issued under the Upbound Group, Inc. Amended 2021 Long-Term Incentive Plan (the “2021 Plan”) and 2016 Long-Term Incentive Plan (the “2016 Plan”) during the three months ended September 30, 2023 and 2022, and $18.6 million and $11.1 million during the nine months ended September 30, 2023 and 2022. During the nine months ended September 30, 2023, we granted 599,845 market-based performance units and 361,169 time-vesting units under the 2021 Plan. Performance-based restricted stock units are valued using a Monte Carlo simulation. Time-vesting restricted stock units are valued based on our closing stock price on the trading day immediately preceding the date of the grant, or as of the date of modification in the event an award is modified. The weighted-average grant date fair value of the market-based performance and time-vesting restricted stock units granted during the nine months ended September 30, 2023 was $32.30 and $26.34, respectively.</w:t>
      </w:r>
    </w:p>
    <w:p>
      <w:pPr>
        <w:spacing w:after="0" w:line="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acquisition of Acima Holdings, LLC in 2021, we issued to the former owners of Acima Holdings 10,779,923 of common shares valued at $51.14 per share, as of the date of closing. Of this total, 2,683,328 common shares were included in the aggregate purchase price of the transaction for financial reporting purposes, while 8,096,595 common shares, valued at $414.1 million, issued under restricted stock agreements and subject to vesting conditions, are recognized as stock compensation expense over the vesting term in accordance with ASC Topic 718, “Stock-based Compensation” and recorded to Other charges in our unaudited Condensed Consolidated Statements of Operations. We recognized $9.4 million and $42.1 million in stock compensation expense related to these restricted stock agreements during the three months ended September 30, 2023 and 2022, and $128.1 million and $111.5 million during the nine months ended September 30, 2023 and 2022. Stock compensation expense recognized during the nine months ended September 30, 2023 for these restricted stock agreements included $78.4 million attributable to the acceleration of vesting provisions, primarily related to Aaron Allred's transition from Executive Vice President of Acima to an advisory role.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line="275" w:lineRule="auto"/>
        <w:rPr>
          <w:sz w:val="20"/>
          <w:szCs w:val="20"/>
          <w:color w:val="auto"/>
        </w:rPr>
      </w:pPr>
      <w:r>
        <w:rPr>
          <w:rFonts w:ascii="Arial" w:cs="Arial" w:eastAsia="Arial" w:hAnsi="Arial"/>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Contingencies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along with our subsidiaries, are party to various legal proceedings and governmental inquiries arising in the ordinary course of business. We reserve for loss contingencies that are both probable and reasonably estimable. We regularly monitor developments related to these legal proceedings, and review the adequacy of our legal reserves on a quarterly basis. We do not currently expect these losses to have a material impact on our consolidated financial statements if and when 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 In addition, claims and lawsuits against us may seek injunctive or other relief that requires changes to our business practices or operations and it is possible that any required changes may materially and adversely impact our business, financial condition, results of operations or reputation.</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Unclaimed Property. </w:t>
      </w:r>
      <w:r>
        <w:rPr>
          <w:rFonts w:ascii="Arial" w:cs="Arial" w:eastAsia="Arial" w:hAnsi="Arial"/>
          <w:sz w:val="18"/>
          <w:szCs w:val="18"/>
          <w:color w:val="auto"/>
        </w:rPr>
        <w:t>We are subject to unclaimed property audits by states in the ordinary course of business. The property subject to review in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includes unclaimed wages, vendor payments and customer refunds.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We routinely remit escheat payments to states and believe we are in compliance with applicable escheat laws.</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Acima Consumer Financial Protection Bureau investigation. </w:t>
      </w:r>
      <w:r>
        <w:rPr>
          <w:rFonts w:ascii="Arial" w:cs="Arial" w:eastAsia="Arial" w:hAnsi="Arial"/>
          <w:sz w:val="18"/>
          <w:szCs w:val="18"/>
          <w:color w:val="auto"/>
        </w:rPr>
        <w:t>Prior to the execution of the definitive agreement to acquire Acima, Acima received a Civil</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Investigative Demand dated October 1, 2020 (the “CID”) from the Consumer Financial Protection Bureau (the “CFPB”) requesting certain information, documents and data relating to Acima’s products, services and practices for the period from January 1, 2015 to the date on which responses to the CID are provided in full. The purpose of the CID was to determine whether Acima extends credit, offers leases, or otherwise offers or provides a consumer financial product or service and whether Acima complies with certain consumer financial protection laws. After the original CID, the CFPB issued subsequent CIDs requesting further information, documents and testimony. Acima has completed its responses to all CIDs and has been cooperating with the CFPB throughout their investigation.</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16, 2023, in accordance with the CFPB’s Notice and Opportunity to Respond and Advise (“NORA”) process, the CFPB staff notified Acima that the staff may allege that Acima violated the Consumer Financial Protection Act of 2010; the Truth in Lending Act and its implementing regulation, Regulation Z; the Electronic Fund Transfer Act and its implementing regulation, Regulation E; and the Fair Credit Reporting Act and its implementing regulation, Regulation V. The CFPB staff further stated that the CFPB’s Office of Enforcement may recommend that the CFPB take legal action against Acima based on these potential allegations, and in connection therewith, the staff may seek remedies including restitution, disgorgement, damages, injunctive relief, and civil money penalties. On June 20, 2023, Acima submitted its response to the NORA notice, in which Acima asserted that the staff’s potential allegations lacked merit.</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date of this report on Form 10-Q, we have not yet received the CFPB’s response to the NORA process and Acima’s submission. We are currently unable to predict the CFPB’s response to the NORA process or the ultimate timing or outcome of the CFPB investigation or any legal proceedings arising therefrom.</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the terms and subject to the conditions set forth in the definitive agreement to acquire Acima, the former owners of Acima agreed to indemnify Upbound Group, Inc. for certain losses arising after the consummation of the transaction with respect to the CID. The indemnification obligations of the former owners of Acima with respect to the CID are limited to the remaining amount of an indemnity holdback which is now $45 million of a $50 million initial holdback for the CID and other matters, which was escrowed at the closing of the transaction, and will be Upbound Group, Inc.’s sole recourse against the former owners of Acima with respect to all of the indemnifiable claims under the definitive transaction agreement. In respect of the CID, other than with respect to any then-pending or unresolved claims for indemnification submitted by Upbound Group, Inc., remaining escrowed funds will be released on the earlier of February 17, 2024 and the date on which a final determination is entered providing for a resolution of the matters regarding the CID. In the event there is not a final determination resolving the CFPB matter by February 17, 2024, any amounts in excess of our estimated losses may be released from the escrow holdback to the former owners of Acima. On May 19, 2023, in light of the above-referenced NORA notice, Upbound Group, Inc. submitted an indemnification claim notice pursuant to the definitive merger agreement with Acima.</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can be no assurance that such escrowed amount will be sufficient to address all covered losses or that the CFPB’s ongoing investigation or future exercise of its enforcement, regulatory, discretionary or other powers will not result in findings or alleged violations of consumer financial protection laws that could lead to enforcement actions, proceedings or litigation, whether by the CFPB, other state or federal agencies, or other parties, and the imposition of damages, fines, penalties, restitution, other monetary liabilities, sanctions, settlements or changes to Acima’s business practices or operations that could materially and adversely affect our business, financial condition, results of operations or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line="275" w:lineRule="auto"/>
        <w:rPr>
          <w:sz w:val="20"/>
          <w:szCs w:val="20"/>
          <w:color w:val="auto"/>
        </w:rPr>
      </w:pPr>
      <w:r>
        <w:rPr>
          <w:rFonts w:ascii="Arial" w:cs="Arial" w:eastAsia="Arial" w:hAnsi="Arial"/>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Massachusetts Attorney General. </w:t>
      </w:r>
      <w:r>
        <w:rPr>
          <w:rFonts w:ascii="Arial" w:cs="Arial" w:eastAsia="Arial" w:hAnsi="Arial"/>
          <w:sz w:val="18"/>
          <w:szCs w:val="18"/>
          <w:color w:val="auto"/>
        </w:rPr>
        <w:t>The Massachusetts Attorney General (the “MAG”) issued a civil investigative demand in 2018 seeking information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certain of our business practices, including regarding account management and certain other business practices in connection with our lease-to-own transactions. Since receiving such demand, we have cooperated with the MAG in connection with its investigation. In June 2021, the MAG provided us with proposed settlement terms including a monetary payment, injunctive provisions regarding certain business practices and compliance requirements. We are continuing to cooperate and discuss resolution of the inquiry with the MAG. We are currently unable to predict the ultimate timing or outcome of the MAG investigation.</w:t>
      </w:r>
    </w:p>
    <w:p>
      <w:pPr>
        <w:spacing w:after="0" w:line="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State Attorneys General Investigation. </w:t>
      </w:r>
      <w:r>
        <w:rPr>
          <w:rFonts w:ascii="Arial" w:cs="Arial" w:eastAsia="Arial" w:hAnsi="Arial"/>
          <w:sz w:val="16"/>
          <w:szCs w:val="16"/>
          <w:color w:val="auto"/>
        </w:rPr>
        <w:t>On November 1, 2021, Acima received a letter from the Nebraska Attorney General’s office stating that the Attorney</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of Nebraska, along with a coalition of thirty-eight state Attorneys General, initiated a multi-state investigation into the business acts and practices of Acima and that a civil investigative demand(s) and/or subpoena(s) pursuant to respective state consumer protection laws will be forthcoming. Since receiving the letter, we have held multiple discussions with officials at the lead attorneys general offices and, based on those discussions, it is our understanding that the investigation is looking at business practices within the virtual lease-to-own industry and includes or will include multiple companies. In April 2022, we received a request for information and documents. Acima is cooperating with the investigation and is currently in the process</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producing requested information. No specific allegations have been made against Acima pursuant to the investigation. We are currently unable to predict the eventual scope, timing or outcome of this matter.</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New York Attorney General. </w:t>
      </w:r>
      <w:r>
        <w:rPr>
          <w:rFonts w:ascii="Arial" w:cs="Arial" w:eastAsia="Arial" w:hAnsi="Arial"/>
          <w:sz w:val="18"/>
          <w:szCs w:val="18"/>
          <w:color w:val="auto"/>
        </w:rPr>
        <w:t>The New York Attorney General (the “NYAG”) issued a subpoena to our Acima subsidiary in January 2020 seeking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with respect to various business practices in connection with Acima’s lease-to-own transactions. Acima received additional subpoenas from the NYAG in August 2021 and July 2023. Since receiving the subpoenas, we have cooperated with the NYAG in connection with its investigation. In March 2023, the NYAG provided Acima with an initial proposed assurance of discontinuance alleging violations of certain consumer laws and seeking injunctive provisions regarding certain business practices, compliance requirements and unspecified payment amounts for restitution and civil penalties. We are continuing to cooperate and discuss resolution of this matter with the NYAG. We are currently unable to predict the ultimate timing or outcome of the NYAG investigation.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(Loss)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Summarized basic and diluted earnings (loss) per common share were calculated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5"/>
        </w:trPr>
        <w:tc>
          <w:tcPr>
            <w:tcW w:w="52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Net earnings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9,710</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Weighted-average shares outstanding</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55,485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55,380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55,294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54,376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Effect of dilutive stock awards</w:t>
            </w:r>
            <w:r>
              <w:rPr>
                <w:rFonts w:ascii="Arial" w:cs="Arial" w:eastAsia="Arial" w:hAnsi="Arial"/>
                <w:sz w:val="23"/>
                <w:szCs w:val="23"/>
                <w:color w:val="auto"/>
                <w:vertAlign w:val="superscript"/>
              </w:rPr>
              <w:t>(1) (2)</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23"/>
        </w:trPr>
        <w:tc>
          <w:tcPr>
            <w:tcW w:w="5200" w:type="dxa"/>
            <w:vAlign w:val="bottom"/>
          </w:tcPr>
          <w:p>
            <w:pPr>
              <w:ind w:left="260"/>
              <w:spacing w:after="0"/>
              <w:rPr>
                <w:sz w:val="20"/>
                <w:szCs w:val="20"/>
                <w:color w:val="auto"/>
              </w:rPr>
            </w:pPr>
            <w:r>
              <w:rPr>
                <w:rFonts w:ascii="Arial" w:cs="Arial" w:eastAsia="Arial" w:hAnsi="Arial"/>
                <w:sz w:val="18"/>
                <w:szCs w:val="18"/>
                <w:color w:val="auto"/>
              </w:rPr>
              <w:t>Weighted-average dilutive shares</w:t>
            </w: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56,852</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55,380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56,667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59,798</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Basic earnings (loss) per common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Diluted earnings (loss) per common share</w:t>
            </w:r>
            <w:r>
              <w:rPr>
                <w:rFonts w:ascii="Arial" w:cs="Arial" w:eastAsia="Arial" w:hAnsi="Arial"/>
                <w:sz w:val="23"/>
                <w:szCs w:val="23"/>
                <w:color w:val="auto"/>
                <w:vertAlign w:val="superscript"/>
              </w:rPr>
              <w:t>(1) (2)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88"/>
        </w:trPr>
        <w:tc>
          <w:tcPr>
            <w:tcW w:w="5200" w:type="dxa"/>
            <w:vAlign w:val="bottom"/>
          </w:tcPr>
          <w:p>
            <w:pPr>
              <w:ind w:left="20"/>
              <w:spacing w:after="0" w:line="189" w:lineRule="exact"/>
              <w:rPr>
                <w:sz w:val="20"/>
                <w:szCs w:val="20"/>
                <w:color w:val="auto"/>
              </w:rPr>
            </w:pPr>
            <w:r>
              <w:rPr>
                <w:rFonts w:ascii="Arial" w:cs="Arial" w:eastAsia="Arial" w:hAnsi="Arial"/>
                <w:sz w:val="18"/>
                <w:szCs w:val="18"/>
                <w:color w:val="auto"/>
              </w:rPr>
              <w:t>Anti-dilutive securities excluded from diluted earnings (loss) per</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common share:</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Anti-dilutive restricted share units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Anti-dilutive performance share units</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Anti-dilutive stock options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80" w:hanging="172"/>
        <w:spacing w:after="0" w:line="220" w:lineRule="auto"/>
        <w:tabs>
          <w:tab w:leader="none" w:pos="154"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Weighted-average dilutive shares outstanding for the nine months ended September 30, 2023 and 2022, includes approximately 0.4 million and 3.7 million common shares, respectively, issued in connection with the acquisition of Acima Holdings and subject to vesting conditions under restricted stock agreements.</w:t>
      </w:r>
    </w:p>
    <w:p>
      <w:pPr>
        <w:spacing w:after="0" w:line="1" w:lineRule="exact"/>
        <w:rPr>
          <w:rFonts w:ascii="Arial" w:cs="Arial" w:eastAsia="Arial" w:hAnsi="Arial"/>
          <w:sz w:val="16"/>
          <w:szCs w:val="16"/>
          <w:color w:val="auto"/>
          <w:vertAlign w:val="superscript"/>
        </w:rPr>
      </w:pPr>
    </w:p>
    <w:p>
      <w:pPr>
        <w:ind w:left="140" w:hanging="132"/>
        <w:spacing w:after="0" w:line="195" w:lineRule="auto"/>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There was no dilutive effect to the loss per common share for the three months ended September 30, 2022 due to the net loss incurred for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Quarterly Report on Form 10-Q includes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These forward-looking statements, include, without limitation, those relating to the impact of ongoing challenging macro-economic conditions on our business, operations, financial performance and prospects, the future business prospects and financial performance of our Company following our acquisition of Acima Holdings, LLC (“Acima Holdings”), cost and revenue synergies and other benefits expected to result from the Acima Holdings acquisition, our growth strategies, our expectations, plans and strategy relating to our capital structure and capital allocation, including any share repurchases under our share repurchase program, and other statements that are not historical facts.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forward-looking statement is neither a prediction nor a guarantee of future events or circumstances, and those future events or circumstances may not occur. You should not place undue reliance on forward-looking statements, which speak only as of the date of this Quarterly Report on Form 10-Q.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in our Annual Report on Form 10-K for the year ended December 31, 2022 and “Management’s Discussion and Analysis of Financial Condition and Results of Operations” below. 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spacing w:after="0" w:line="10" w:lineRule="exact"/>
        <w:rPr>
          <w:sz w:val="20"/>
          <w:szCs w:val="20"/>
          <w:color w:val="auto"/>
        </w:rPr>
      </w:pPr>
    </w:p>
    <w:p>
      <w:pPr>
        <w:ind w:left="660" w:hanging="166"/>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possibility that the anticipated benefits from the Acima Holdings acquisition may not be fully realized or may take longer to realize than expected;</w:t>
      </w:r>
    </w:p>
    <w:p>
      <w:pPr>
        <w:spacing w:after="0" w:line="8" w:lineRule="exact"/>
        <w:rPr>
          <w:rFonts w:ascii="Arial" w:cs="Arial" w:eastAsia="Arial" w:hAnsi="Arial"/>
          <w:sz w:val="18"/>
          <w:szCs w:val="18"/>
          <w:color w:val="auto"/>
        </w:rPr>
      </w:pPr>
    </w:p>
    <w:p>
      <w:pPr>
        <w:ind w:left="660" w:hanging="166"/>
        <w:spacing w:after="0" w:line="277" w:lineRule="auto"/>
        <w:tabs>
          <w:tab w:leader="none" w:pos="6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possibility that costs, difficulties or disruptions related to the integration of Acima Holdings operations into our other operations will be greater than expected;</w:t>
      </w:r>
    </w:p>
    <w:p>
      <w:pPr>
        <w:spacing w:after="0" w:line="8" w:lineRule="exact"/>
        <w:rPr>
          <w:rFonts w:ascii="Arial" w:cs="Arial" w:eastAsia="Arial" w:hAnsi="Arial"/>
          <w:sz w:val="18"/>
          <w:szCs w:val="18"/>
          <w:color w:val="auto"/>
        </w:rPr>
      </w:pPr>
    </w:p>
    <w:p>
      <w:pPr>
        <w:jc w:val="both"/>
        <w:ind w:left="660" w:hanging="166"/>
        <w:spacing w:after="0" w:line="263" w:lineRule="auto"/>
        <w:tabs>
          <w:tab w:leader="none" w:pos="622"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 effectively adjust to changes in the composition of our offerings and product mix as a result of acquiring Acima Holdings and continue to maintain the quality of existing offerings and (ii) successfully introduce other new product or service offerings on a timely and cost-effective basis;</w:t>
      </w:r>
    </w:p>
    <w:p>
      <w:pPr>
        <w:spacing w:after="0" w:line="21" w:lineRule="exact"/>
        <w:rPr>
          <w:rFonts w:ascii="Arial" w:cs="Arial" w:eastAsia="Arial" w:hAnsi="Arial"/>
          <w:sz w:val="18"/>
          <w:szCs w:val="18"/>
          <w:color w:val="auto"/>
        </w:rPr>
      </w:pPr>
    </w:p>
    <w:p>
      <w:pPr>
        <w:ind w:left="660" w:right="20" w:hanging="166"/>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future cash requirements as a result of the Acima Holdings acquisition, whether caused by unanticipated increases in capital expenditures or working capital needs, unanticipated liabilities or otherwise;</w:t>
      </w:r>
    </w:p>
    <w:p>
      <w:pPr>
        <w:spacing w:after="0" w:line="8" w:lineRule="exact"/>
        <w:rPr>
          <w:rFonts w:ascii="Arial" w:cs="Arial" w:eastAsia="Arial" w:hAnsi="Arial"/>
          <w:sz w:val="18"/>
          <w:szCs w:val="18"/>
          <w:color w:val="auto"/>
        </w:rPr>
      </w:pPr>
    </w:p>
    <w:p>
      <w:pPr>
        <w:jc w:val="both"/>
        <w:ind w:left="660" w:hanging="166"/>
        <w:spacing w:after="0" w:line="274"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impact of the COVID-19 pandemic and subsequent post pandemic impacts and related government and regulatory restrictions issued to combat the pandemic, including adverse changes in such restrictions, the expiration of governmental stimulus programs, and impacts on</w:t>
      </w:r>
    </w:p>
    <w:p>
      <w:pPr>
        <w:jc w:val="both"/>
        <w:ind w:left="660"/>
        <w:spacing w:after="0" w:line="299" w:lineRule="auto"/>
        <w:rPr>
          <w:rFonts w:ascii="Arial" w:cs="Arial" w:eastAsia="Arial" w:hAnsi="Arial"/>
          <w:sz w:val="17"/>
          <w:szCs w:val="17"/>
          <w:color w:val="auto"/>
        </w:rPr>
      </w:pPr>
      <w:r>
        <w:rPr>
          <w:rFonts w:ascii="Arial" w:cs="Arial" w:eastAsia="Arial" w:hAnsi="Arial"/>
          <w:sz w:val="16"/>
          <w:szCs w:val="16"/>
          <w:color w:val="auto"/>
        </w:rPr>
        <w:t>(i) demand for our lease-to-own products offered in our operating segments, (ii) our Acima retail partners, (iii) our customers and their willingness and ability to satisfy their lease obligations, (iv) our suppliers' ability to satisfy our merchandise needs and related supply chain disruptions, (v) our employees, including our ability to adequately staff our operating locations, (vi) our financial and operational performance, and (vii) our liquidity;</w:t>
      </w:r>
    </w:p>
    <w:p>
      <w:pPr>
        <w:jc w:val="both"/>
        <w:ind w:left="660" w:hanging="166"/>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general strength of the economy and other economic conditions affecting consumer preferences and spending, including the availability of credit to our target consumers and to other consumers, impacts from the continued inflation, central bank monetary policy initiatives to address inflation concerns, and possible recession or slowdown in economic growth;</w:t>
      </w:r>
    </w:p>
    <w:p>
      <w:pPr>
        <w:spacing w:after="0" w:line="21" w:lineRule="exact"/>
        <w:rPr>
          <w:rFonts w:ascii="Arial" w:cs="Arial" w:eastAsia="Arial" w:hAnsi="Arial"/>
          <w:sz w:val="18"/>
          <w:szCs w:val="18"/>
          <w:color w:val="auto"/>
        </w:rPr>
      </w:pPr>
    </w:p>
    <w:p>
      <w:pPr>
        <w:ind w:left="660" w:hanging="16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factors affecting the disposable income available to our current and potential customers;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unemployment rate;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market conditions, including availability of funding sources for us;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ind w:left="166" w:hanging="166"/>
        <w:spacing w:after="0"/>
        <w:tabs>
          <w:tab w:leader="none" w:pos="1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encountered in improving the financial and operational performance of our business segments;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pricing changes and strategies being deployed in our businesses;</w:t>
      </w:r>
    </w:p>
    <w:p>
      <w:pPr>
        <w:spacing w:after="0" w:line="63" w:lineRule="exact"/>
        <w:rPr>
          <w:rFonts w:ascii="Arial" w:cs="Arial" w:eastAsia="Arial" w:hAnsi="Arial"/>
          <w:sz w:val="18"/>
          <w:szCs w:val="18"/>
          <w:color w:val="auto"/>
        </w:rPr>
      </w:pPr>
    </w:p>
    <w:p>
      <w:pPr>
        <w:ind w:left="166" w:right="20" w:hanging="166"/>
        <w:spacing w:after="0" w:line="277" w:lineRule="auto"/>
        <w:tabs>
          <w:tab w:leader="none" w:pos="1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to realize benefits from our initiatives regarding cost-savings and other EBITDA enhancements, efficiencies and working capital improvements;</w:t>
      </w:r>
    </w:p>
    <w:p>
      <w:pPr>
        <w:spacing w:after="0" w:line="8"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to effectively execute our strategic initiatives, including mitigating risks associated with any potential mergers and acquisitions, or refranchising opportunities;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identify potential acquisition candidates, complete acquisitions and successfully integrate acquired companies;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manage our store labor and other store expenses, including merchandise losses;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disruptions caused by the operation of our store information management systems or disruptions in the systems of our host retailers;</w:t>
      </w:r>
    </w:p>
    <w:p>
      <w:pPr>
        <w:spacing w:after="0" w:line="63"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related to our virtual lease-to-own business, including our ability to continue to develop and successfully implement the necessary technologies;</w:t>
      </w:r>
    </w:p>
    <w:p>
      <w:pPr>
        <w:spacing w:after="0" w:line="8"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achieve the benefits expected from our integrated virtual and staffed retail partner offering and to successfully grow this business segment;</w:t>
      </w:r>
    </w:p>
    <w:p>
      <w:pPr>
        <w:spacing w:after="0" w:line="8"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exposure to potential operating margin degradation due to the higher cost of merchandise in our Acima segment and higher merchandise losses than compared to our Rent-A-Center segment;</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our transition to more-readily scalable “cloud-based” solutions;</w:t>
      </w:r>
    </w:p>
    <w:p>
      <w:pPr>
        <w:spacing w:after="0" w:line="63" w:lineRule="exact"/>
        <w:rPr>
          <w:rFonts w:ascii="Arial" w:cs="Arial" w:eastAsia="Arial" w:hAnsi="Arial"/>
          <w:sz w:val="18"/>
          <w:szCs w:val="18"/>
          <w:i w:val="1"/>
          <w:iCs w:val="1"/>
          <w:color w:val="auto"/>
        </w:rPr>
      </w:pPr>
    </w:p>
    <w:p>
      <w:pPr>
        <w:ind w:left="166" w:hanging="166"/>
        <w:spacing w:after="0"/>
        <w:tabs>
          <w:tab w:leader="none" w:pos="1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and successfully implement digital or E-commerce capabilities, including mobile applications;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protect our proprietary intellectual property;</w:t>
      </w:r>
    </w:p>
    <w:p>
      <w:pPr>
        <w:spacing w:after="0" w:line="63"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or that of our host retailers to protect the integrity and security of customer, employee and host retailer information, which may be adversely affected by hacking, computer viruses, or similar disruptions;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 of our goodwill or other intangible assets;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disruptions in our supply chain;</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of, or disruptions in, our distribution network;</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rapid inflation or deflation in the prices of our products and other related costs;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allegations of product safety and quality control issues, including recalls;</w:t>
      </w:r>
    </w:p>
    <w:p>
      <w:pPr>
        <w:spacing w:after="0" w:line="63"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execute, as well as the effectiveness of, store consolidations, including our ability to retain the revenue from customer accounts merged into another store location as a result of a store consolidation;</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available cash flow and our ability to generate sufficient cash flow to continue paying dividends;</w:t>
      </w:r>
    </w:p>
    <w:p>
      <w:pPr>
        <w:spacing w:after="0" w:line="63"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competition from traditional competitors, virtual lease-to-own competitors, online retailers, Buy-Now-Pay-Later and other fintech companies and other competitors, including subprime lenders;</w:t>
      </w:r>
    </w:p>
    <w:p>
      <w:pPr>
        <w:spacing w:after="0" w:line="8" w:lineRule="exact"/>
        <w:rPr>
          <w:rFonts w:ascii="Arial" w:cs="Arial" w:eastAsia="Arial" w:hAnsi="Arial"/>
          <w:sz w:val="18"/>
          <w:szCs w:val="18"/>
          <w:color w:val="auto"/>
        </w:rPr>
      </w:pPr>
    </w:p>
    <w:p>
      <w:pPr>
        <w:ind w:left="166" w:right="20" w:hanging="166"/>
        <w:spacing w:after="0" w:line="277" w:lineRule="auto"/>
        <w:tabs>
          <w:tab w:leader="none" w:pos="1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identify and successfully market products and services that appeal to our current and future targeted customer segments and to accurately estimate the size of the total addressable market;</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consumer preferences and perceptions of our brands;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effectively provide consumers with additional products and services beyond lease-to-own, including through third party partnerships;</w:t>
      </w:r>
    </w:p>
    <w:p>
      <w:pPr>
        <w:spacing w:after="0" w:line="86" w:lineRule="exact"/>
        <w:rPr>
          <w:rFonts w:ascii="Arial" w:cs="Arial" w:eastAsia="Arial" w:hAnsi="Arial"/>
          <w:sz w:val="16"/>
          <w:szCs w:val="16"/>
          <w:color w:val="auto"/>
        </w:rPr>
      </w:pPr>
    </w:p>
    <w:p>
      <w:pPr>
        <w:ind w:left="166" w:hanging="166"/>
        <w:spacing w:after="0"/>
        <w:tabs>
          <w:tab w:leader="none" w:pos="1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retain the revenue associated with acquired customer accounts and enhance the performance of acquired stores;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enter into new rental or lease purchase agreements and collect on our existing rental or lease purchase agreements;</w:t>
      </w:r>
    </w:p>
    <w:p>
      <w:pPr>
        <w:spacing w:after="0" w:line="63" w:lineRule="exact"/>
        <w:rPr>
          <w:rFonts w:ascii="Arial" w:cs="Arial" w:eastAsia="Arial" w:hAnsi="Arial"/>
          <w:sz w:val="18"/>
          <w:szCs w:val="18"/>
          <w:color w:val="auto"/>
        </w:rPr>
      </w:pPr>
    </w:p>
    <w:p>
      <w:pPr>
        <w:jc w:val="both"/>
        <w:ind w:left="166" w:hanging="166"/>
        <w:spacing w:after="0" w:line="279" w:lineRule="auto"/>
        <w:tabs>
          <w:tab w:leader="none" w:pos="161"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the enforcement of existing laws and regulations and the enactment of new laws and regulations adversely affecting our business, including in connection with the regulatory matters described in Note 12 of our condensed consolidated financial statements, included in this Quarterly Report on Form 10-Q, and any legislative or other regulatory enforcement efforts that seek to re-characterize store-based or virtual lease-to-own transactions as credit sales and to apply consumer credit laws and regulations to our business;</w:t>
      </w:r>
    </w:p>
    <w:p>
      <w:pPr>
        <w:spacing w:after="0" w:line="9" w:lineRule="exact"/>
        <w:rPr>
          <w:rFonts w:ascii="Arial" w:cs="Arial" w:eastAsia="Arial" w:hAnsi="Arial"/>
          <w:sz w:val="17"/>
          <w:szCs w:val="17"/>
          <w:color w:val="auto"/>
        </w:rPr>
      </w:pPr>
    </w:p>
    <w:p>
      <w:pPr>
        <w:ind w:left="166" w:hanging="166"/>
        <w:spacing w:after="0"/>
        <w:tabs>
          <w:tab w:leader="none" w:pos="1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compliance with applicable statutes or regulations governing our businesses;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tariff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89" w:right="339" w:bottom="1440" w:gutter="0" w:footer="0" w:header="0"/>
        </w:sectPr>
      </w:pPr>
    </w:p>
    <w:bookmarkStart w:id="25" w:name="page26"/>
    <w:bookmarkEnd w:id="25"/>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changes in the economic conditions of the industries, countries or markets that we serve;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information technology and data security costs;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any breaches in data security or other disturbances to our information technology and other networks;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estimates relating to self-insurance liabilities and income tax and litigation reserves;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effective tax rate;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or administrative proceedings to which we are or may be a party to from time to time; and</w:t>
      </w:r>
    </w:p>
    <w:p>
      <w:pPr>
        <w:spacing w:after="0" w:line="63" w:lineRule="exact"/>
        <w:rPr>
          <w:rFonts w:ascii="Arial" w:cs="Arial" w:eastAsia="Arial" w:hAnsi="Arial"/>
          <w:sz w:val="18"/>
          <w:szCs w:val="18"/>
          <w:color w:val="auto"/>
        </w:rPr>
      </w:pPr>
    </w:p>
    <w:p>
      <w:pPr>
        <w:ind w:left="660" w:right="20" w:hanging="166"/>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other risks detailed from time to time in our reports furnished or filed with the United States Securities and Exchange Commission (the “SEC”).</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 important factors that could cause our actual results to differ materially from our expectations are discussed under the section “</w:t>
      </w:r>
      <w:r>
        <w:rPr>
          <w:rFonts w:ascii="Arial" w:cs="Arial" w:eastAsia="Arial" w:hAnsi="Arial"/>
          <w:sz w:val="17"/>
          <w:szCs w:val="17"/>
          <w:i w:val="1"/>
          <w:iCs w:val="1"/>
          <w:color w:val="auto"/>
        </w:rPr>
        <w:t>Risk Factors</w:t>
      </w:r>
      <w:r>
        <w:rPr>
          <w:rFonts w:ascii="Arial" w:cs="Arial" w:eastAsia="Arial" w:hAnsi="Arial"/>
          <w:sz w:val="17"/>
          <w:szCs w:val="17"/>
          <w:color w:val="auto"/>
        </w:rPr>
        <w:t>” in our Annual Report on Form 10-K for the year ended December 31, 2022 and elsewhere in this Quarterly Report on Form 10-Q.</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 leading lease-to-own provider with operations in the United States, Puerto Rico and Mexico. We provide a critical service for a large portion of underserved consumers by providing them with access to, and the opportunity to obtain ownership of, high-quality, durable products under a flexible lease-purchase agreement with no long-term debt obligation. Through our Rent-A-Center business, we provide a fully integrated customer experience through our e-commerce platform and brick and mortar presence. Our Acima business offers lease-to-own solutions through retailers in stores and online enabling such retailers to grow sales by expanding their customer base utilizing our differentiated offering. We were incorporated in the State of Delaware in 1986, and our common stock is traded on the Nasdaq Global Select Market under the ticker symbol “UPBD.”</w:t>
      </w:r>
    </w:p>
    <w:p>
      <w:pPr>
        <w:spacing w:after="0" w:line="120" w:lineRule="exact"/>
        <w:rPr>
          <w:sz w:val="20"/>
          <w:szCs w:val="20"/>
          <w:color w:val="auto"/>
        </w:rPr>
      </w:pPr>
    </w:p>
    <w:p>
      <w:pPr>
        <w:jc w:val="right"/>
        <w:ind w:right="9680"/>
        <w:spacing w:after="0"/>
        <w:rPr>
          <w:sz w:val="20"/>
          <w:szCs w:val="20"/>
          <w:color w:val="auto"/>
        </w:rPr>
      </w:pPr>
      <w:r>
        <w:rPr>
          <w:rFonts w:ascii="Arial" w:cs="Arial" w:eastAsia="Arial" w:hAnsi="Arial"/>
          <w:sz w:val="16"/>
          <w:szCs w:val="16"/>
          <w:b w:val="1"/>
          <w:bCs w:val="1"/>
          <w:color w:val="auto"/>
        </w:rPr>
        <w:t>Executive Summary</w:t>
      </w:r>
    </w:p>
    <w:p>
      <w:pPr>
        <w:spacing w:after="0" w:line="198" w:lineRule="exact"/>
        <w:rPr>
          <w:sz w:val="20"/>
          <w:szCs w:val="20"/>
          <w:color w:val="auto"/>
        </w:rPr>
      </w:pPr>
    </w:p>
    <w:p>
      <w:pPr>
        <w:jc w:val="right"/>
        <w:ind w:right="9620"/>
        <w:spacing w:after="0"/>
        <w:rPr>
          <w:sz w:val="20"/>
          <w:szCs w:val="20"/>
          <w:color w:val="auto"/>
        </w:rPr>
      </w:pPr>
      <w:r>
        <w:rPr>
          <w:rFonts w:ascii="Arial" w:cs="Arial" w:eastAsia="Arial" w:hAnsi="Arial"/>
          <w:sz w:val="18"/>
          <w:szCs w:val="18"/>
          <w:b w:val="1"/>
          <w:bCs w:val="1"/>
          <w:i w:val="1"/>
          <w:iCs w:val="1"/>
          <w:color w:val="auto"/>
        </w:rPr>
        <w:t>Our Strategy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strategy is focused on serving our mission to elevate financial opportunity for all and growing our business through emphasis on the following key initiatives:</w:t>
      </w:r>
    </w:p>
    <w:p>
      <w:pPr>
        <w:spacing w:after="0" w:line="8" w:lineRule="exact"/>
        <w:rPr>
          <w:sz w:val="20"/>
          <w:szCs w:val="20"/>
          <w:color w:val="auto"/>
        </w:rPr>
      </w:pPr>
    </w:p>
    <w:p>
      <w:pPr>
        <w:ind w:left="660" w:right="20" w:hanging="166"/>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centers of excellence that will be leveraged across the organization to support the various business segments, utilizing best practices and drive efficiency and growth;</w:t>
      </w:r>
    </w:p>
    <w:p>
      <w:pPr>
        <w:spacing w:after="0" w:line="8"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Maximize Rent-A-Center brand awareness and customer loyalty by accelerating the shift to e-commerce, expanding product categories, and improving the fully integrated, omni-channel customer experience;</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Grow penetration with current Acima merchants and attract new merchants to our platform;</w:t>
      </w:r>
    </w:p>
    <w:p>
      <w:pPr>
        <w:spacing w:after="0" w:line="63"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 upgrade and integrate technology platforms to allow for a seamless consumer experience, merchant and third-party waterfall integration, and simplify the transaction process for the consumer;</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Leverage data analytics capabilities to attract new customers, approve more customers and mitigate risk across all business segments; and</w:t>
      </w:r>
    </w:p>
    <w:p>
      <w:pPr>
        <w:spacing w:after="0" w:line="74" w:lineRule="exact"/>
        <w:rPr>
          <w:rFonts w:ascii="Arial" w:cs="Arial" w:eastAsia="Arial" w:hAnsi="Arial"/>
          <w:sz w:val="17"/>
          <w:szCs w:val="17"/>
          <w:color w:val="auto"/>
        </w:rPr>
      </w:pPr>
    </w:p>
    <w:p>
      <w:pPr>
        <w:ind w:left="660" w:hanging="166"/>
        <w:spacing w:after="0" w:line="308"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Execute on market opportunities and enhance our competitive position across both traditional and virtual lease-to-own solutions, and implement complementary products and services that supplement our current offering and provide our customers more financial alternatives.</w:t>
      </w:r>
    </w:p>
    <w:p>
      <w:pPr>
        <w:spacing w:after="0" w:line="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we pursue our strategy, we may take advantage of joint venture, partnership, or merger and acquisition opportunities from time to time that advance our key initiatives and elevate the financial mobility of underserved consumers.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Dividend. </w:t>
      </w:r>
      <w:r>
        <w:rPr>
          <w:rFonts w:ascii="Arial" w:cs="Arial" w:eastAsia="Arial" w:hAnsi="Arial"/>
          <w:sz w:val="17"/>
          <w:szCs w:val="17"/>
          <w:color w:val="auto"/>
        </w:rPr>
        <w:t>On September 21, 2023, we announced that our board of directors approved a quarterly cash dividend of $0.34 per share for the fourth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2023. The dividend was paid on October 24, 2023 to our common stockholders of record as of the close of business on October 3, 2023.</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and Operational Trends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Macroeconomic Conditions. </w:t>
      </w:r>
      <w:r>
        <w:rPr>
          <w:rFonts w:ascii="Arial" w:cs="Arial" w:eastAsia="Arial" w:hAnsi="Arial"/>
          <w:sz w:val="18"/>
          <w:szCs w:val="18"/>
          <w:color w:val="auto"/>
        </w:rPr>
        <w:t>Beginning in the first quarter of 2020, the worldwide spread of COVID-19 caused significant disruptions to the U.S. and world</w:t>
      </w:r>
      <w:r>
        <w:rPr>
          <w:rFonts w:ascii="Arial" w:cs="Arial" w:eastAsia="Arial" w:hAnsi="Arial"/>
          <w:sz w:val="18"/>
          <w:szCs w:val="18"/>
          <w:i w:val="1"/>
          <w:iCs w:val="1"/>
          <w:color w:val="auto"/>
        </w:rPr>
        <w:t xml:space="preserve"> </w:t>
      </w:r>
      <w:r>
        <w:rPr>
          <w:rFonts w:ascii="Arial" w:cs="Arial" w:eastAsia="Arial" w:hAnsi="Arial"/>
          <w:sz w:val="18"/>
          <w:szCs w:val="18"/>
          <w:color w:val="auto"/>
        </w:rPr>
        <w:t>economies. In response to COVID-19, the U.S. government enacted the Coronavirus 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Relief, and Economic Security Act (the “CARES Act”), providing U.S. citizens and businesses with various stimulus and income tax relief benefits throughout 2020 and early 2021 to help offset immediate negative financial impacts sustained as a result of COVID-19. In addition, we proactively implemented certain response measures, including providing our Rent-A-Center and Acima customers with additional electronic payment methods to facilitate contactless transactions. These response measures resulted in improved customer payment behaviors contributing to higher revenues and lower merchandise losses in 2020 and the first half of 2021.</w:t>
      </w:r>
    </w:p>
    <w:p>
      <w:pPr>
        <w:spacing w:after="0" w:line="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third quarter of 2021, we began to experience negative customer behavioral trends, including increases in delinquent payments and merchandise loss activity, resulting in declining revenues and increased operating expenses, respectively. These negative trends continued to accelerate in the fourth quarter of 2021, following the expiration of government stimulus and relief programs combined with a significant rise in the US consumer price index, resulting in significant pressure on the discretionary income levels of our consumers. This led us to tighten our underwriting policies in an effort to improve risk management related to the execution of new leases. The continuation of the above trends combined with the tightening of our underwriting policies has reduced the number of active leases with corresponding decreases in lease revenue and operating cash flows.</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negative trends in customer behavior described above, we have also been impacted by other negative macroeconomic trends, including a condensed labor market, which has contributed to wage inflation, and global supply chain disruptions resulting in reduced product availability and rising product costs.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lease-to-own industry has historically remained a resilient business model throughout various economic cycles, the full extent to which our risk management strategy and macro-economic trends (including consumer spending behavior) may impact our business in future periods is uncertain. The continuation of these negative trends may have a material adverse impact on our financial statements, including our results of operations, operating cash flows, liquidity and capital resources.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“Risk Factors” in Part I, Item 1A in our Annual Report on Form 10-K for the year ended December 31, 2022, for additional discussion of operational impacts to our business and additional risks associated with COVID-19 and other macroeconomic conditions.</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Rent-A-Center E-commerce revenue. </w:t>
      </w:r>
      <w:r>
        <w:rPr>
          <w:rFonts w:ascii="Arial" w:cs="Arial" w:eastAsia="Arial" w:hAnsi="Arial"/>
          <w:sz w:val="16"/>
          <w:szCs w:val="16"/>
          <w:color w:val="auto"/>
        </w:rPr>
        <w:t>In recent years, e-commerce revenues have continued to increase as a percentage of total revenue in our Rent-A-Center segment. For the nine months ended September 30, 2023 e-commerce revenues represented approximately 26% of total lease-to-own store revenues compared to 23% for the nine months ended September 30, 2022. Due to recent trends in consumer shopping behaviors and expectations, we believe e-commerce solutions are an important part of our lease-to-own offering. However, we are unable to quantify the extent to which e-commerce revenues are incremental compared to what our overall revenues would have been in the absence of those e-commerce transactions. In addition, the profitability of e-commerce transactions can be impacted by different merchandise loss factors compared to traditional store-based transactions in the Rent-A-Center segment. Therefore, we are unable to determine with certainty whether the continuation of this trend toward increased e-commerce transactions will have a significant impact to our financial statements in future periods or be favorable or unfavorable to our financial results.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focuses on our results of operations and our liquidity and capital resources. You should read this discussion in conjunction with the condensed consolidated financial statements and notes thereto for the nine months ended September 30, 2023 included in Part I, Item I of this Quarterly Report on Form 10-Q.</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Key Metrics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Gross Merchandise Volume (GMV): </w:t>
      </w:r>
      <w:r>
        <w:rPr>
          <w:rFonts w:ascii="Arial" w:cs="Arial" w:eastAsia="Arial" w:hAnsi="Arial"/>
          <w:sz w:val="18"/>
          <w:szCs w:val="18"/>
          <w:color w:val="auto"/>
        </w:rPr>
        <w:t>The Company defines Gross Merchandise Volume as the retail value in U.S. dollars of merchandise acquired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that is leased to customers through a transaction that occurs within a defined period, net of cancellations.</w:t>
      </w:r>
    </w:p>
    <w:p>
      <w:pPr>
        <w:spacing w:after="0" w:line="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i w:val="1"/>
          <w:iCs w:val="1"/>
          <w:color w:val="auto"/>
        </w:rPr>
        <w:t xml:space="preserve">Rent-A-Center Lease Portfolio Value: </w:t>
      </w:r>
      <w:r>
        <w:rPr>
          <w:rFonts w:ascii="Arial" w:cs="Arial" w:eastAsia="Arial" w:hAnsi="Arial"/>
          <w:sz w:val="18"/>
          <w:szCs w:val="18"/>
          <w:color w:val="auto"/>
        </w:rPr>
        <w:t>Represents the aggregate dollar value of the expected monthly rental income associated with current active lease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from our Rent-A-Center stores and e-commerce platform at the end of any given period.</w:t>
      </w:r>
    </w:p>
    <w:p>
      <w:pPr>
        <w:spacing w:after="0" w:line="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Same Store Sales: </w:t>
      </w:r>
      <w:r>
        <w:rPr>
          <w:rFonts w:ascii="Arial" w:cs="Arial" w:eastAsia="Arial" w:hAnsi="Arial"/>
          <w:sz w:val="18"/>
          <w:szCs w:val="18"/>
          <w:color w:val="auto"/>
        </w:rPr>
        <w:t>Same store sales generally represents revenue earned in stores that were operated by us for 13 months or more and are reported on a</w:t>
      </w:r>
      <w:r>
        <w:rPr>
          <w:rFonts w:ascii="Arial" w:cs="Arial" w:eastAsia="Arial" w:hAnsi="Arial"/>
          <w:sz w:val="18"/>
          <w:szCs w:val="18"/>
          <w:i w:val="1"/>
          <w:iCs w:val="1"/>
          <w:color w:val="auto"/>
        </w:rPr>
        <w:t xml:space="preserve"> </w:t>
      </w:r>
      <w:r>
        <w:rPr>
          <w:rFonts w:ascii="Arial" w:cs="Arial" w:eastAsia="Arial" w:hAnsi="Arial"/>
          <w:sz w:val="18"/>
          <w:szCs w:val="18"/>
          <w:color w:val="auto"/>
        </w:rPr>
        <w:t>constant currency basis as a percentage of total revenue earned in stores of the segment during the indicated period. The Company excludes from the same store sales base any store that receives a certain level of customer accounts from closed stores or acquisitions. The receiving store will be eligible for inclusion in the same store sales base in the 30th full month following account transfer.</w:t>
      </w:r>
    </w:p>
    <w:p>
      <w:pPr>
        <w:spacing w:after="0" w:line="8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i w:val="1"/>
          <w:iCs w:val="1"/>
          <w:color w:val="auto"/>
        </w:rPr>
        <w:t xml:space="preserve">Skip / Stolen Losses: </w:t>
      </w:r>
      <w:r>
        <w:rPr>
          <w:rFonts w:ascii="Arial" w:cs="Arial" w:eastAsia="Arial" w:hAnsi="Arial"/>
          <w:sz w:val="18"/>
          <w:szCs w:val="18"/>
          <w:color w:val="auto"/>
        </w:rPr>
        <w:t>Represents the charge-off of the remaining net book value of unrecoverable on-rent merchandise with lease-to-own customers who are</w:t>
      </w:r>
      <w:r>
        <w:rPr>
          <w:rFonts w:ascii="Arial" w:cs="Arial" w:eastAsia="Arial" w:hAnsi="Arial"/>
          <w:sz w:val="18"/>
          <w:szCs w:val="18"/>
          <w:i w:val="1"/>
          <w:iCs w:val="1"/>
          <w:color w:val="auto"/>
        </w:rPr>
        <w:t xml:space="preserve"> </w:t>
      </w:r>
      <w:r>
        <w:rPr>
          <w:rFonts w:ascii="Arial" w:cs="Arial" w:eastAsia="Arial" w:hAnsi="Arial"/>
          <w:sz w:val="18"/>
          <w:szCs w:val="18"/>
          <w:color w:val="auto"/>
        </w:rPr>
        <w:t>past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briefly summarizes certain of our financial information for the nine months ended September 30, 2023 as compared to the nine months ended September 30, 2022.</w:t>
      </w:r>
    </w:p>
    <w:p>
      <w:pPr>
        <w:spacing w:after="0" w:line="6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first nine months of 2023, consolidated revenues and gross profit decreased by approximately $280.6 million and $74.5 million, respectively, while operating profit increased by approximately $0.8 million, primarily due to a decrease in other store expenses of $55.0 million and labor expenses of $26.3 million.</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in our Rent-A-Center segment decreased approximately $77.6 million for the nine months ended September 30, 2023 due to a 5.2% decrease in same store sales driven by decreases in rentals and fees revenues and merchandise sales of $45.1 million and $25.4 million, respectively. Operating profit decreased approximately $59.6 million for the nine months ended September 30, 2023, primarily due to lower revenues described above, partially offset by a decrease in labor expenses of $14.2 million. See "Segment Performance" below for further discussion of Rent-A-Center segment operating results for the nine months ended September 30, 2023.</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Acima segment revenues decreased approximately $210.6 million for the nine months ended September 30, 2023, due to decreases in rentals and fees revenues and merchandise sales of $110.2 million and $100.7 million, respectively, primarily attributable to a decrease in GMV and fewer customers electing early payout options. Operating profit increased approximately $80.8 million for the nine months ended September 30, 2023, primarily due to decreases in other store expenses and labor costs of approximately $62.4 million and $14.2 million, respectively. See "Segment Performance" below for further discussion of Acima segment operating results for the nine months ended September 30, 2023.</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Mexico segment revenues increased by 14.6% for the nine months ended September 30, 2023, contributing to an increase in gross profit of 15.1%, or $5.2 million. Operating profit, however, decreased $1.6 million for the nine months ended September 30, 2023, primarily due to increases in other store expenses and labor costs of approximately $3.9 million and $2.2 million, respectively. See "Segment Performance" below for further discussion of Mexico segment operating results for the nine months ended September 30, 2023.</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Revenues for the Franchising segment increased $0.5 million for the nine months ended September 30, 2023, primarily due to an increase in merchandise sales of $1.9 million partially offset by a decrease in royalty income and fees of $1.3 million.</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flow from operations was $219.9 million for the nine months ended September 30, 2023. As of September 30, 2023, we held $105.7 million of cash and cash equivalents and had outstanding indebtedness of $1.3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table is a reference for the discussion that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7"/>
                <w:szCs w:val="17"/>
                <w:color w:val="auto"/>
              </w:rPr>
            </w:pPr>
          </w:p>
        </w:tc>
        <w:tc>
          <w:tcPr>
            <w:tcW w:w="110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7"/>
                <w:szCs w:val="17"/>
                <w:color w:val="auto"/>
              </w:rPr>
            </w:pPr>
          </w:p>
        </w:tc>
        <w:tc>
          <w:tcPr>
            <w:tcW w:w="1160" w:type="dxa"/>
            <w:vAlign w:val="bottom"/>
            <w:gridSpan w:val="3"/>
          </w:tcPr>
          <w:p>
            <w:pPr>
              <w:ind w:left="58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8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8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140"/>
              <w:spacing w:after="0"/>
              <w:rPr>
                <w:sz w:val="20"/>
                <w:szCs w:val="20"/>
                <w:color w:val="auto"/>
              </w:rPr>
            </w:pPr>
            <w:r>
              <w:rPr>
                <w:rFonts w:ascii="Arial" w:cs="Arial" w:eastAsia="Arial" w:hAnsi="Arial"/>
                <w:sz w:val="16"/>
                <w:szCs w:val="16"/>
                <w:color w:val="auto"/>
              </w:rPr>
              <w:t>Store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Rentals and fees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806,766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829,459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2,421,039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2,569,804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3"/>
        </w:trPr>
        <w:tc>
          <w:tcPr>
            <w:tcW w:w="286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127,564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147,616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415,256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541,265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(126,009)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Installment sales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19.6 %</w:t>
            </w: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store revenues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949,203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995,133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2,885,908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3,167,122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(281,214)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3"/>
        </w:trPr>
        <w:tc>
          <w:tcPr>
            <w:tcW w:w="2860" w:type="dxa"/>
            <w:vAlign w:val="bottom"/>
          </w:tcPr>
          <w:p>
            <w:pPr>
              <w:ind w:left="140"/>
              <w:spacing w:after="0"/>
              <w:rPr>
                <w:sz w:val="20"/>
                <w:szCs w:val="20"/>
                <w:color w:val="auto"/>
              </w:rPr>
            </w:pPr>
            <w:r>
              <w:rPr>
                <w:rFonts w:ascii="Arial" w:cs="Arial" w:eastAsia="Arial" w:hAnsi="Arial"/>
                <w:sz w:val="16"/>
                <w:szCs w:val="16"/>
                <w:color w:val="auto"/>
              </w:rPr>
              <w:t>Franchise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Royalty income and fees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18,636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19,962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979,098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1,023,957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2,974,322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3,254,933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(280,611)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Store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220"/>
              <w:spacing w:after="0"/>
              <w:rPr>
                <w:sz w:val="20"/>
                <w:szCs w:val="20"/>
                <w:color w:val="auto"/>
              </w:rPr>
            </w:pPr>
            <w:r>
              <w:rPr>
                <w:rFonts w:ascii="Arial" w:cs="Arial" w:eastAsia="Arial" w:hAnsi="Arial"/>
                <w:sz w:val="16"/>
                <w:szCs w:val="16"/>
                <w:color w:val="auto"/>
              </w:rPr>
              <w:t>Cost of rentals and fees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296,820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310,079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(13,259)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885,662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968,655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(82,993)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merchandise sold</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492,879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615,543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Cost of installment sales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18,379</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cost of store revenues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457,859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495,588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1,394,900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1,602,577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Franchise cost of merchandise sold</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24,073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22,834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69,766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68,183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cost of revenues</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481,932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518,422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1,464,666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1,670,760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(206,094)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7"/>
        </w:trPr>
        <w:tc>
          <w:tcPr>
            <w:tcW w:w="2860" w:type="dxa"/>
            <w:vAlign w:val="bottom"/>
          </w:tcPr>
          <w:p>
            <w:pPr>
              <w:ind w:left="2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497,166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505,535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(8,369)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1,509,656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1,584,173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(74,517)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140"/>
              <w:spacing w:after="0"/>
              <w:rPr>
                <w:sz w:val="20"/>
                <w:szCs w:val="20"/>
                <w:color w:val="auto"/>
              </w:rPr>
            </w:pPr>
            <w:r>
              <w:rPr>
                <w:rFonts w:ascii="Arial" w:cs="Arial" w:eastAsia="Arial" w:hAnsi="Arial"/>
                <w:sz w:val="16"/>
                <w:szCs w:val="16"/>
                <w:color w:val="auto"/>
              </w:rPr>
              <w:t>Store expenses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Labor</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460,470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486,751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2860" w:type="dxa"/>
            <w:vAlign w:val="bottom"/>
          </w:tcPr>
          <w:p>
            <w:pPr>
              <w:ind w:left="220"/>
              <w:spacing w:after="0"/>
              <w:rPr>
                <w:sz w:val="20"/>
                <w:szCs w:val="20"/>
                <w:color w:val="auto"/>
              </w:rPr>
            </w:pPr>
            <w:r>
              <w:rPr>
                <w:rFonts w:ascii="Arial" w:cs="Arial" w:eastAsia="Arial" w:hAnsi="Arial"/>
                <w:sz w:val="16"/>
                <w:szCs w:val="16"/>
                <w:color w:val="auto"/>
              </w:rPr>
              <w:t>Other store expenses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191,455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197,847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569,267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624,306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(55,039)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 expenses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13"/>
        </w:trPr>
        <w:tc>
          <w:tcPr>
            <w:tcW w:w="28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12,624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38,102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40,208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charges</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184,413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185,435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6"/>
        </w:trPr>
        <w:tc>
          <w:tcPr>
            <w:tcW w:w="2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439,114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468,458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(29,344)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1,402,686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1,477,973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(75,287)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profit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net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26,632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22,744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17.1 %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81,543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60,665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20,878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34.4 %</w:t>
            </w: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Earnings before income taxes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20,111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34.5 %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19,352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35,825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(16,473)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38"/>
        </w:trPr>
        <w:tc>
          <w:tcPr>
            <w:tcW w:w="2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earnings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175.5 %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September 30, 2023, compared to Three Months Ended September 30, 2022</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Store Revenue. </w:t>
      </w:r>
      <w:r>
        <w:rPr>
          <w:rFonts w:ascii="Arial" w:cs="Arial" w:eastAsia="Arial" w:hAnsi="Arial"/>
          <w:sz w:val="17"/>
          <w:szCs w:val="17"/>
          <w:color w:val="auto"/>
        </w:rPr>
        <w:t>Total store revenue decreased by $45.9 million, or 4.6%, to $949.2 million for the three months ended September 30, 2023, from</w:t>
      </w:r>
      <w:r>
        <w:rPr>
          <w:rFonts w:ascii="Arial" w:cs="Arial" w:eastAsia="Arial" w:hAnsi="Arial"/>
          <w:sz w:val="17"/>
          <w:szCs w:val="17"/>
          <w:i w:val="1"/>
          <w:iCs w:val="1"/>
          <w:color w:val="auto"/>
        </w:rPr>
        <w:t xml:space="preserve"> </w:t>
      </w:r>
      <w:r>
        <w:rPr>
          <w:rFonts w:ascii="Arial" w:cs="Arial" w:eastAsia="Arial" w:hAnsi="Arial"/>
          <w:sz w:val="17"/>
          <w:szCs w:val="17"/>
          <w:color w:val="auto"/>
        </w:rPr>
        <w:t>$995.1 million for the three months ended September 30, 2022. This decrease was primarily due to decreases of approximately $29.2 million and $20.1 million in revenues in the Acima and Rent-A-Center segments, respectively, as discussed further in the “Segment Performance” section below.</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Cost of Rentals and Fees. </w:t>
      </w:r>
      <w:r>
        <w:rPr>
          <w:rFonts w:ascii="Arial" w:cs="Arial" w:eastAsia="Arial" w:hAnsi="Arial"/>
          <w:sz w:val="18"/>
          <w:szCs w:val="18"/>
          <w:color w:val="auto"/>
        </w:rPr>
        <w:t>Cost of rentals and fees consists primarily of depreciation of rental merchandise. Cost of rentals and fees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2023 decreased by $13.3 million, or 4.3%, to $296.8 million as compared to $310.1 million in 2022. The decrease was primarily attributable to a decrease of approximately $12.0 million in the Acima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9" w:name="page30"/>
    <w:bookmarkEnd w:id="29"/>
    <w:p>
      <w:pPr>
        <w:jc w:val="both"/>
        <w:ind w:right="20"/>
        <w:spacing w:after="0" w:line="277" w:lineRule="auto"/>
        <w:rPr>
          <w:sz w:val="20"/>
          <w:szCs w:val="20"/>
          <w:color w:val="auto"/>
        </w:rPr>
      </w:pPr>
      <w:r>
        <w:rPr>
          <w:rFonts w:ascii="Arial" w:cs="Arial" w:eastAsia="Arial" w:hAnsi="Arial"/>
          <w:sz w:val="18"/>
          <w:szCs w:val="18"/>
          <w:color w:val="auto"/>
        </w:rPr>
        <w:t>segment. Cost of rentals and fees expressed as a percentage of rentals and fees revenue was 36.8% for the three months ended September 30, 2023, as compared to 37.4% in 2022.</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of Merchandise Sold. </w:t>
      </w:r>
      <w:r>
        <w:rPr>
          <w:rFonts w:ascii="Arial" w:cs="Arial" w:eastAsia="Arial" w:hAnsi="Arial"/>
          <w:sz w:val="18"/>
          <w:szCs w:val="18"/>
          <w:color w:val="auto"/>
        </w:rPr>
        <w:t>Cost of merchandise sold decreased by $23.6 million, or 13.1%, to $155.9 million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2023, from $179.5 million in 2022, primarily attributable to a decrease of $24.2 million in the Acima segment, driven by fewer customers electing early payout options. The gross margin percent of merchandise sales decreased to (22.2)% for the three months ended September 30, 2023, from (21.6)% in 2022.</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decreased by $8.3 million, or 1.7%, to $497.2 million for the three months ended September 30, 2023, from $505.5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2022, primarily due to a decrease of $17.7 million in the Rent-A-Center segment partially offset by increases of $7.0 million and $2.6 million in the Acima and Mexico segments, respectively, as discussed further in the “Segment Performance” section below. Gross profit as a percentage of total revenue increased to 50.8% for the three months ended September 30, 2023, as compared to 49.4% in 2022.</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Store Labor. </w:t>
      </w:r>
      <w:r>
        <w:rPr>
          <w:rFonts w:ascii="Arial" w:cs="Arial" w:eastAsia="Arial" w:hAnsi="Arial"/>
          <w:sz w:val="18"/>
          <w:szCs w:val="18"/>
          <w:color w:val="auto"/>
        </w:rPr>
        <w:t>Store labor decreased by $4.1 million, or 2.6%, to $152.1 million for the three months ended September 30, 2023, as compared to $156.2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2022, primarily due to decreases of $3.9 million and $1.3 million in the Rent-A-Center and Acima segments, respectively, driven by lower operating headcount. Store labor expressed as a percentage of total store revenue was 16.0% for the three months ended September 30, 2023, as compared to 15.7% in 2022.</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Other Store Expenses. </w:t>
      </w:r>
      <w:r>
        <w:rPr>
          <w:rFonts w:ascii="Arial" w:cs="Arial" w:eastAsia="Arial" w:hAnsi="Arial"/>
          <w:sz w:val="17"/>
          <w:szCs w:val="17"/>
          <w:color w:val="auto"/>
        </w:rPr>
        <w:t>Other store expenses decreased by $6.3 million, or 3.2%, to $191.5 million for the three months ended September 30, 2023,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$197.8 million in 2022, primarily due to a decrease of $6.9 million in the Rent-A-Center segment driven by lower merchandise losses. Please reference the “Segment Performance” section below for additional discussion of segment merchandise losses. Other store expenses expressed as a percentage of total store revenue were 20.2% for the three months ended September 30, 2023, compared to 19.9% in 2022.</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increased by $13.9 million, or 34.7%, to $53.9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2023, as compared to $40.0 million in 2022, primarily due to increases in overhead labor and incentive compensation. General and administrative expenses expressed as a percentage of total revenue were 5.5% and 3.9% for the three months ended September 30, 2023 and 2022, respectively.</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Other Charges. </w:t>
      </w:r>
      <w:r>
        <w:rPr>
          <w:rFonts w:ascii="Arial" w:cs="Arial" w:eastAsia="Arial" w:hAnsi="Arial"/>
          <w:sz w:val="17"/>
          <w:szCs w:val="17"/>
          <w:color w:val="auto"/>
        </w:rPr>
        <w:t>Other charges decreased by $32.5 million, or 52.8%, to $29.1 million for the three months ended September 30, 2023,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$61.6 million in 2022. Other charges for the three months ended September 30, 2023 primarily included $18.2 million in depreciation and amortization of acquired software and intangible assets, $9.4 million in stock compensation expense related to the vesting of a portion of the equity consideration issued in the acquisition of Acima Holdings, and $4.6 million in accelerated software depreciation, partially offset by $3.1 million in interest income earned on tax refunds related to prior year returns received in the third quarter of 2023. Other charges for the three months ended September 30, 2022 primarily included $42.1 million related to the vesting of a portion of the equity consideration issued in the acquisition of Acima Holdings and $18.1 million in depreciation and amortization of acquired software and intangible assets.</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Operating profit increased by $21.0 million, or 56.6%, to $58.1 million for the three months ended September 30, 2023,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$37.1 million in 2022, primarily due to the decrease of $29.3 million in operating expenses, driven by the decrease in other charges, partially offset by the decrease in gross profit as described above. Operating profit expressed as a percentage of total revenue was 5.9% for the three months ended September 30, 2023, compared to 3.6% in 2022.</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increased by $7.0 million to $27.1 million for the three months ended September 30, 2023,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 million in 2022, primarily due to the increase in earnings before income taxes for the three months ended September 30, 2023 compared to the same period in 2022, partially offset by a higher effective tax rate for the three months ended September 30, 2022 due to the difference between recorded goodwill and goodwill recognized for tax purposes associated with stock consideration subject to restricted stock agreements issued to the former owners of Acima Holdings.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Nine Months Ended September 30, 2023, compared to Nine Months Ended September 30, 2022</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Store Revenue. </w:t>
      </w:r>
      <w:r>
        <w:rPr>
          <w:rFonts w:ascii="Arial" w:cs="Arial" w:eastAsia="Arial" w:hAnsi="Arial"/>
          <w:sz w:val="17"/>
          <w:szCs w:val="17"/>
          <w:color w:val="auto"/>
        </w:rPr>
        <w:t>Total store revenue decreased by $281.2 million, or 8.9%, to $2,885.9 million for the nine months ended September 30, 2023, from</w:t>
      </w:r>
      <w:r>
        <w:rPr>
          <w:rFonts w:ascii="Arial" w:cs="Arial" w:eastAsia="Arial" w:hAnsi="Arial"/>
          <w:sz w:val="17"/>
          <w:szCs w:val="17"/>
          <w:i w:val="1"/>
          <w:iCs w:val="1"/>
          <w:color w:val="auto"/>
        </w:rPr>
        <w:t xml:space="preserve"> </w:t>
      </w:r>
      <w:r>
        <w:rPr>
          <w:rFonts w:ascii="Arial" w:cs="Arial" w:eastAsia="Arial" w:hAnsi="Arial"/>
          <w:sz w:val="17"/>
          <w:szCs w:val="17"/>
          <w:color w:val="auto"/>
        </w:rPr>
        <w:t>$3,167.1 million for the nine months ended September 30, 2022. The decrease was primarily due to decreases of approximately $210.6 million and $77.6 million in the Acima and Rent-A-Center segments, respectively, as discussed further in the section “Segment Performance” below.</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Cost of Rentals and Fees. </w:t>
      </w:r>
      <w:r>
        <w:rPr>
          <w:rFonts w:ascii="Arial" w:cs="Arial" w:eastAsia="Arial" w:hAnsi="Arial"/>
          <w:sz w:val="18"/>
          <w:szCs w:val="18"/>
          <w:color w:val="auto"/>
        </w:rPr>
        <w:t>Cost of rentals and fees consists primarily of depreciation of rental merchandise. Cost of rentals and fees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2023, decreased by $83.0 million, or 8.6%, to $885.7 million as compared to $968.7 million in 2022. This decrease in cost of rentals and fees was primarily attributable to a decrease of $85.4 million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Acima segment. Cost of rentals and fees expressed as a percentage of rentals and fees revenue decreased to 36.6% for the nine months ended September 30, 2023 as compared to 37.7% in 2022.</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Cost of Merchandise Sold. </w:t>
      </w:r>
      <w:r>
        <w:rPr>
          <w:rFonts w:ascii="Arial" w:cs="Arial" w:eastAsia="Arial" w:hAnsi="Arial"/>
          <w:sz w:val="16"/>
          <w:szCs w:val="16"/>
          <w:color w:val="auto"/>
        </w:rPr>
        <w:t>Cost of merchandise sold decreased by $122.6 million, or 19.9%, to $492.9 million for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2023, from $615.5 million in 2022, primarily attributable to decreases of $117.7 million and $4.9 million in the Acima and Rent-A-Center segments, respectively. The gross margin percent of merchandise sales decreased to (18.7)% for the nine months ended September 30, 2023, from (13.7)% in 2022.</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decreased by $74.5 million, or 4.7%, to $1,509.7 million for the nine months ended September 30, 2023, from $1,584.2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2022, due primarily to decreases of $71.1 million and $7.5 million in the Rent-A-Center and Acima segments, respectively, partially offset by an increase of $5.2 million in the Mexico segment, as discussed further in the section “Segment Performance” below. Gross profit as a percentage of total revenue increased to 50.8% for the nine months ended September 30, 2023, as compared to 48.7% in 2022.</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Store Labor. </w:t>
      </w:r>
      <w:r>
        <w:rPr>
          <w:rFonts w:ascii="Arial" w:cs="Arial" w:eastAsia="Arial" w:hAnsi="Arial"/>
          <w:sz w:val="17"/>
          <w:szCs w:val="17"/>
          <w:color w:val="auto"/>
        </w:rPr>
        <w:t>Store labor decreased by $26.3 million, or 5.4%, to $460.5 million for the nine months ended September 30, 2023, as compared to $486.8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2022, primarily attributable to decreases of $14.2 million in each of the Acima and Rent-A-Center segments. Store labor expressed as a percentage of total store revenue was 16.0% for the nine months ended September 30, 2023, as compared to 15.4% in 2022.</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Other Store Expenses. </w:t>
      </w:r>
      <w:r>
        <w:rPr>
          <w:rFonts w:ascii="Arial" w:cs="Arial" w:eastAsia="Arial" w:hAnsi="Arial"/>
          <w:sz w:val="17"/>
          <w:szCs w:val="17"/>
          <w:color w:val="auto"/>
        </w:rPr>
        <w:t>Other store expenses decreased by $55.0 million, or 8.8%, to $569.3 million for the nine months ended September 30, 2023,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$624.3 million in 2022, due to a decrease of $62.4 million in the Acima segment, primarily attributable to a decrease of $54.3 million in merchandise losses, partially offset by increases of $3.9 million and $3.0 million in the Mexico and Rent-A-Center segments, respectively. Other store expenses expressed as a percentage of total store revenue were 19.7% for both the nine months ended September 30, 2023 and 2022.</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increased by $9.1 million, or 6.5%, to $150.4 million for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2023, as compared to $141.3 million in 2022, primarily due to higher incentive compensation. General and administrative expenses expressed as a percentage of total revenue were 5.1% for the nine months ended September 30, 2023, compared to 4.3% in 2022.</w:t>
      </w:r>
    </w:p>
    <w:p>
      <w:pPr>
        <w:spacing w:after="0" w:line="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Other Charges. </w:t>
      </w:r>
      <w:r>
        <w:rPr>
          <w:rFonts w:ascii="Arial" w:cs="Arial" w:eastAsia="Arial" w:hAnsi="Arial"/>
          <w:sz w:val="18"/>
          <w:szCs w:val="18"/>
          <w:color w:val="auto"/>
        </w:rPr>
        <w:t>Other charges decreased by $1.0 million to $184.4 million for the nine months ended September 30, 2023, as compared to $185.4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September 30, 2022. Other charges for the nine months ended September 30, 2023 primarily included $128.1 million in stock compensation expense related to the vesting of a portion of the equity consideration issued in the acquisition of Acima Holdings, $54.7 million in depreciation and amortization of acquired software and intangible assets and $4.6 million in accelerated software depreciation, partially offset by $3.1 million of interest income on income tax refunds related to prior year returns received in 2023. Other charges for the nine months ended September 30, 2022 primarily included $111.5 million in stock compensation expense related to equity consideration in the acquisition of Acima Holdings, $62.5 million in depreciation and amortization of acquired software and intangible assets related to the acquisition of Acima Holdings, $6.8 million in asset impairments, $5.2 million in employee severance, $1.2 million in state sales tax assessment reserves, and $1.2 million in Acima retail partner conversion losses. See Note 9 of our condensed consolidated financial statements included in this Quarterly Report on Form 10-Q for additional information regarding our other charges.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Operating profit increased by $0.8 million to $107.0 million for the nine months ended September 30, 2023,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$106.2 million in 2022, primarily due to a decrease of $75.3 million in operating expenses, partially offset by a decrease of $74.5 million in gross profit, as described above. Operating profit expressed as a percentage of total revenue was 3.6% for the nine months ended September 30, 2023, compared to 3.3% in 2022.</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decreased by $16.4 million to $19.4 million for the nine months ended September 30, 2023,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$35.8 million in 2022. The effective tax rate was 76.1% for the nine months ended September 30, 2023, compared to 78.7% in 2022. The decrease in income tax expense for the nine months ended September 30, 2023 compared to 2022 was primarily due to the decrease in operating profit described above. See Note 5 of our condensed consolidated financial statements included in this Quarterly Report on Form 10-Q for additional information regarding our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b w:val="1"/>
          <w:bCs w:val="1"/>
          <w:i w:val="1"/>
          <w:iCs w:val="1"/>
          <w:color w:val="auto"/>
        </w:rPr>
        <w:t>Segment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7"/>
                <w:szCs w:val="17"/>
                <w:color w:val="auto"/>
              </w:rPr>
            </w:pPr>
          </w:p>
        </w:tc>
        <w:tc>
          <w:tcPr>
            <w:tcW w:w="1080" w:type="dxa"/>
            <w:vAlign w:val="bottom"/>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7"/>
                <w:szCs w:val="17"/>
                <w:color w:val="auto"/>
              </w:rPr>
            </w:pPr>
          </w:p>
        </w:tc>
        <w:tc>
          <w:tcPr>
            <w:tcW w:w="1200" w:type="dxa"/>
            <w:vAlign w:val="bottom"/>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5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453,632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473,755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1,404,831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1,482,445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317,233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334,892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(17,659)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975,210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1,046,332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(71,122)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63,762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71,999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271,283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line="216" w:lineRule="exact"/>
              <w:rPr>
                <w:sz w:val="20"/>
                <w:szCs w:val="20"/>
                <w:color w:val="auto"/>
              </w:rPr>
            </w:pPr>
            <w:r>
              <w:rPr>
                <w:rFonts w:ascii="Arial" w:cs="Arial" w:eastAsia="Arial" w:hAnsi="Arial"/>
                <w:sz w:val="16"/>
                <w:szCs w:val="16"/>
                <w:color w:val="auto"/>
              </w:rPr>
              <w:t>Lease portfolio value</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137,949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141,825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Change in same store revenue</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66"/>
        </w:trPr>
        <w:tc>
          <w:tcPr>
            <w:tcW w:w="2500" w:type="dxa"/>
            <w:vAlign w:val="bottom"/>
          </w:tcPr>
          <w:p>
            <w:pPr>
              <w:ind w:left="20"/>
              <w:spacing w:after="0" w:line="166" w:lineRule="exact"/>
              <w:rPr>
                <w:sz w:val="20"/>
                <w:szCs w:val="20"/>
                <w:color w:val="auto"/>
              </w:rPr>
            </w:pPr>
            <w:r>
              <w:rPr>
                <w:rFonts w:ascii="Arial" w:cs="Arial" w:eastAsia="Arial" w:hAnsi="Arial"/>
                <w:sz w:val="16"/>
                <w:szCs w:val="16"/>
                <w:color w:val="auto"/>
              </w:rPr>
              <w:t>Stores in same store revenue</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ind w:right="121"/>
              <w:spacing w:after="0"/>
              <w:rPr>
                <w:sz w:val="20"/>
                <w:szCs w:val="20"/>
                <w:color w:val="auto"/>
              </w:rPr>
            </w:pPr>
            <w:r>
              <w:rPr>
                <w:rFonts w:ascii="Arial" w:cs="Arial" w:eastAsia="Arial" w:hAnsi="Arial"/>
                <w:sz w:val="16"/>
                <w:szCs w:val="16"/>
                <w:color w:val="auto"/>
              </w:rPr>
              <w:t>1,777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restart"/>
          </w:tcPr>
          <w:p>
            <w:pPr>
              <w:jc w:val="right"/>
              <w:ind w:right="120"/>
              <w:spacing w:after="0"/>
              <w:rPr>
                <w:sz w:val="20"/>
                <w:szCs w:val="20"/>
                <w:color w:val="auto"/>
              </w:rPr>
            </w:pPr>
            <w:r>
              <w:rPr>
                <w:rFonts w:ascii="Arial" w:cs="Arial" w:eastAsia="Arial" w:hAnsi="Arial"/>
                <w:sz w:val="16"/>
                <w:szCs w:val="16"/>
                <w:color w:val="auto"/>
              </w:rPr>
              <w:t>1,777</w:t>
            </w:r>
          </w:p>
        </w:tc>
        <w:tc>
          <w:tcPr>
            <w:tcW w:w="0" w:type="dxa"/>
            <w:vAlign w:val="bottom"/>
          </w:tcPr>
          <w:p>
            <w:pPr>
              <w:spacing w:after="0"/>
              <w:rPr>
                <w:sz w:val="1"/>
                <w:szCs w:val="1"/>
                <w:color w:val="auto"/>
              </w:rPr>
            </w:pPr>
          </w:p>
        </w:tc>
      </w:tr>
      <w:tr>
        <w:trPr>
          <w:trHeight w:val="206"/>
        </w:trPr>
        <w:tc>
          <w:tcPr>
            <w:tcW w:w="2500" w:type="dxa"/>
            <w:vAlign w:val="bottom"/>
          </w:tcPr>
          <w:p>
            <w:pPr>
              <w:ind w:left="180"/>
              <w:spacing w:after="0"/>
              <w:rPr>
                <w:sz w:val="20"/>
                <w:szCs w:val="20"/>
                <w:color w:val="auto"/>
              </w:rPr>
            </w:pPr>
            <w:r>
              <w:rPr>
                <w:rFonts w:ascii="Arial" w:cs="Arial" w:eastAsia="Arial" w:hAnsi="Arial"/>
                <w:sz w:val="16"/>
                <w:szCs w:val="16"/>
                <w:color w:val="auto"/>
              </w:rPr>
              <w:t>calculation</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See Key Metrics described above for additional information.</w:t>
      </w:r>
    </w:p>
    <w:p>
      <w:pPr>
        <w:spacing w:after="0" w:line="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The decrease in revenue for the three and nine months ended September 30, 2023, as compared to 2022, were primarily due to decreases in same</w:t>
      </w:r>
      <w:r>
        <w:rPr>
          <w:rFonts w:ascii="Arial" w:cs="Arial" w:eastAsia="Arial" w:hAnsi="Arial"/>
          <w:sz w:val="16"/>
          <w:szCs w:val="16"/>
          <w:i w:val="1"/>
          <w:iCs w:val="1"/>
          <w:color w:val="auto"/>
        </w:rPr>
        <w:t xml:space="preserve"> </w:t>
      </w:r>
      <w:r>
        <w:rPr>
          <w:rFonts w:ascii="Arial" w:cs="Arial" w:eastAsia="Arial" w:hAnsi="Arial"/>
          <w:sz w:val="16"/>
          <w:szCs w:val="16"/>
          <w:color w:val="auto"/>
        </w:rPr>
        <w:t>store sales of 4.0% and 5.2%, respectively, driven by decreases in rentals and fees revenues of $13.8 million and $45.1 million, and decreases in merchandise sales of $3.2 million and $25.4 million, respectively, primarily attributable to a decrease in lease portfolio value, and fewer customers electing early payout options. The segment lease portfolio value as of September 30, 2023 decreased 2.7% compared to the value as of September 30, 2022.</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decreased for the three and nine months ended September 30, 2023, as compared to 2022, driven primarily by the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described above. Gross profit as a percentage of segment revenues was 69.9% and 69.4% for the three and nine months ended September 30, 2023, as compared to 70.7% and 70.6% for the corresponding periods in 2022, primarily due to mix-shift changes between lease merchandise product categories.</w:t>
      </w:r>
    </w:p>
    <w:p>
      <w:pPr>
        <w:spacing w:after="0" w:line="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Operating Profit. </w:t>
      </w:r>
      <w:r>
        <w:rPr>
          <w:rFonts w:ascii="Arial" w:cs="Arial" w:eastAsia="Arial" w:hAnsi="Arial"/>
          <w:sz w:val="16"/>
          <w:szCs w:val="16"/>
          <w:color w:val="auto"/>
        </w:rPr>
        <w:t>Operating profit as a percentage of segment revenues was 14.1% and 15.1% for the three and nine months ended September 30, 2023,</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15.2% and 18.3% for the corresponding periods in 2022. The decrease in operating margin for the three and nine months ended September 30, 2023, as compared to 2022, was primarily driven by decreases in revenues and gross profit described above, partially offset by lower merchandise losses. Charge-offs in our Rent-A-Center lease-to-own stores due to customer stolen merchandise, expressed as a percentage of Rent-A-Center lease-to-own revenues, were approximately 4.3% and 4.5% for the three and nine months ended September 30, 2023, compared to 5.8% and 4.6% for the corresponding periods in 2022. Charge-offs in our Rent-A-Center lease-to-own stores due to other merchandise losses, expressed as a percentage of Rent-A-Center lease-to-own revenues, were approximately 1.5% and 1.4% for the three and nine months ended September 30, 2023, compared to approximately 1.7% for the corresponding periods in 2022. Other merchandise losses include unrepairable and missing merchandise, and loss/damage waiver claims.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Acima segment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7"/>
                <w:szCs w:val="17"/>
                <w:color w:val="auto"/>
              </w:rPr>
            </w:pPr>
          </w:p>
        </w:tc>
        <w:tc>
          <w:tcPr>
            <w:tcW w:w="1080" w:type="dxa"/>
            <w:vAlign w:val="bottom"/>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7"/>
                <w:szCs w:val="17"/>
                <w:color w:val="auto"/>
              </w:rPr>
            </w:pPr>
          </w:p>
        </w:tc>
        <w:tc>
          <w:tcPr>
            <w:tcW w:w="1120" w:type="dxa"/>
            <w:vAlign w:val="bottom"/>
            <w:gridSpan w:val="3"/>
          </w:tcPr>
          <w:p>
            <w:pPr>
              <w:ind w:left="54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6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475,216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504,448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1,423,421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1,633,994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(210,573)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3"/>
        </w:trPr>
        <w:tc>
          <w:tcPr>
            <w:tcW w:w="26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159,427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152,434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474,258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481,742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58,124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48,885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175,103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85.7 %</w:t>
            </w:r>
          </w:p>
        </w:tc>
        <w:tc>
          <w:tcPr>
            <w:tcW w:w="0" w:type="dxa"/>
            <w:vAlign w:val="bottom"/>
          </w:tcPr>
          <w:p>
            <w:pPr>
              <w:spacing w:after="0"/>
              <w:rPr>
                <w:sz w:val="1"/>
                <w:szCs w:val="1"/>
                <w:color w:val="auto"/>
              </w:rPr>
            </w:pPr>
          </w:p>
        </w:tc>
      </w:tr>
      <w:tr>
        <w:trPr>
          <w:trHeight w:val="279"/>
        </w:trPr>
        <w:tc>
          <w:tcPr>
            <w:tcW w:w="2680" w:type="dxa"/>
            <w:vAlign w:val="bottom"/>
          </w:tcPr>
          <w:p>
            <w:pPr>
              <w:ind w:left="20"/>
              <w:spacing w:after="0"/>
              <w:rPr>
                <w:sz w:val="20"/>
                <w:szCs w:val="20"/>
                <w:color w:val="auto"/>
              </w:rPr>
            </w:pPr>
            <w:r>
              <w:rPr>
                <w:rFonts w:ascii="Arial" w:cs="Arial" w:eastAsia="Arial" w:hAnsi="Arial"/>
                <w:sz w:val="16"/>
                <w:szCs w:val="16"/>
                <w:color w:val="auto"/>
              </w:rPr>
              <w:t>Gross merchandise volume</w:t>
            </w:r>
            <w:r>
              <w:rPr>
                <w:rFonts w:ascii="Arial" w:cs="Arial" w:eastAsia="Arial" w:hAnsi="Arial"/>
                <w:sz w:val="21"/>
                <w:szCs w:val="21"/>
                <w:color w:val="auto"/>
                <w:vertAlign w:val="superscript"/>
              </w:rPr>
              <w:t>(1)</w:t>
            </w:r>
          </w:p>
        </w:tc>
        <w:tc>
          <w:tcPr>
            <w:tcW w:w="22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385,837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391,494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(5,657)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1,106,132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1,184,869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(78,737)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bl>
    <w:p>
      <w:pPr>
        <w:ind w:left="140" w:hanging="132"/>
        <w:spacing w:after="0" w:line="231" w:lineRule="auto"/>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See Key Metrics described above for additional information.</w:t>
      </w:r>
    </w:p>
    <w:p>
      <w:pPr>
        <w:spacing w:after="0" w:line="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The decrease in revenues for the three and nine months ended September 30, 2023, as compared to 2022, was primarily due to decreases in</w:t>
      </w:r>
      <w:r>
        <w:rPr>
          <w:rFonts w:ascii="Arial" w:cs="Arial" w:eastAsia="Arial" w:hAnsi="Arial"/>
          <w:sz w:val="16"/>
          <w:szCs w:val="16"/>
          <w:i w:val="1"/>
          <w:iCs w:val="1"/>
          <w:color w:val="auto"/>
        </w:rPr>
        <w:t xml:space="preserve"> </w:t>
      </w:r>
      <w:r>
        <w:rPr>
          <w:rFonts w:ascii="Arial" w:cs="Arial" w:eastAsia="Arial" w:hAnsi="Arial"/>
          <w:sz w:val="16"/>
          <w:szCs w:val="16"/>
          <w:color w:val="auto"/>
        </w:rPr>
        <w:t>rentals and fees revenues of $12.3 million and $110.2 million, and decreases in merchandise sales revenue of $16.9 million and $100.7 million, respectively. The decreases in rentals and fees revenue were primarily due to fewer open lease agreements and the decreases in merchandise sales revenues were primarily attributable to decreases in GMV and fewer customers electing early payout options in the current year period.</w:t>
      </w:r>
    </w:p>
    <w:p>
      <w:pPr>
        <w:spacing w:after="0" w:line="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as a percentage of segment revenues increased to 33.5% and 33.3% for the three and nine months ended September 30, 2023,</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30.2% and 29.5% for the corresponding periods in 2022, primarily due to fewer customers electing early purchase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2" w:name="page33"/>
    <w:bookmarkEnd w:id="32"/>
    <w:p>
      <w:pPr>
        <w:jc w:val="both"/>
        <w:spacing w:after="0" w:line="270" w:lineRule="auto"/>
        <w:rPr>
          <w:sz w:val="20"/>
          <w:szCs w:val="20"/>
          <w:color w:val="auto"/>
        </w:rPr>
      </w:pPr>
      <w:r>
        <w:rPr>
          <w:rFonts w:ascii="Arial" w:cs="Arial" w:eastAsia="Arial" w:hAnsi="Arial"/>
          <w:sz w:val="17"/>
          <w:szCs w:val="17"/>
          <w:i w:val="1"/>
          <w:iCs w:val="1"/>
          <w:color w:val="auto"/>
        </w:rPr>
        <w:t xml:space="preserve">Operating Profit. </w:t>
      </w:r>
      <w:r>
        <w:rPr>
          <w:rFonts w:ascii="Arial" w:cs="Arial" w:eastAsia="Arial" w:hAnsi="Arial"/>
          <w:sz w:val="17"/>
          <w:szCs w:val="17"/>
          <w:color w:val="auto"/>
        </w:rPr>
        <w:t>Operating profit as a percentage of segment revenues increased to 12.2% and 12.3% for the three and nine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2023 compared to 9.7% and 5.8% for the corresponding periods in 2022. The increase in operating profit for the three months ended September 30, 2023 is primarily due to lower labor costs of approximately $1.3 million and an increase in gross margin described above. The increase in operating profit for the nine months ended September 30, 2023 is primarily due to lower customer stolen merchandise losses of approximately $53.1 million, lower labor costs of $14.2 million and a decrease in amortization of acquired intangible assets of $9.9 million, partially offset by lower revenues described above. Charge-offs in our Acima locations due to customer stolen merchandise, expressed as a percentage of revenues, were approximately 9.4% and 9.1% for the three and nine months ended September 30, 2023, compared to 9.0% and 11.2% for the three and nine months ended September 30, 2022. Charge-offs in our Acima locations due to other merchandise losses, expressed as a percentage of revenues, were negligible for the three and nine months ended September 30, 2023 and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Pr>
          <w:p>
            <w:pPr>
              <w:spacing w:after="0"/>
              <w:rPr>
                <w:sz w:val="17"/>
                <w:szCs w:val="17"/>
                <w:color w:val="auto"/>
              </w:rPr>
            </w:pPr>
          </w:p>
        </w:tc>
        <w:tc>
          <w:tcPr>
            <w:tcW w:w="820" w:type="dxa"/>
            <w:vAlign w:val="bottom"/>
            <w:gridSpan w:val="3"/>
          </w:tcPr>
          <w:p>
            <w:pPr>
              <w:ind w:left="24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7"/>
                <w:szCs w:val="17"/>
                <w:color w:val="auto"/>
              </w:rPr>
            </w:pPr>
          </w:p>
        </w:tc>
        <w:tc>
          <w:tcPr>
            <w:tcW w:w="1160" w:type="dxa"/>
            <w:vAlign w:val="bottom"/>
            <w:gridSpan w:val="3"/>
          </w:tcPr>
          <w:p>
            <w:pPr>
              <w:ind w:left="58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16,041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22.4 %  $</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55,526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48,454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center"/>
              <w:ind w:left="123"/>
              <w:spacing w:after="0"/>
              <w:rPr>
                <w:sz w:val="20"/>
                <w:szCs w:val="20"/>
                <w:color w:val="auto"/>
              </w:rPr>
            </w:pPr>
            <w:r>
              <w:rPr>
                <w:rFonts w:ascii="Arial" w:cs="Arial" w:eastAsia="Arial" w:hAnsi="Arial"/>
                <w:sz w:val="16"/>
                <w:szCs w:val="16"/>
                <w:color w:val="auto"/>
                <w:w w:val="94"/>
              </w:rPr>
              <w:t>7,072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13,971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11,330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2,641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23.3 %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39,410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34,242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center"/>
              <w:ind w:left="123"/>
              <w:spacing w:after="0"/>
              <w:rPr>
                <w:sz w:val="20"/>
                <w:szCs w:val="20"/>
                <w:color w:val="auto"/>
              </w:rPr>
            </w:pPr>
            <w:r>
              <w:rPr>
                <w:rFonts w:ascii="Arial" w:cs="Arial" w:eastAsia="Arial" w:hAnsi="Arial"/>
                <w:sz w:val="16"/>
                <w:szCs w:val="16"/>
                <w:color w:val="auto"/>
                <w:w w:val="94"/>
              </w:rPr>
              <w:t>5,168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15.1 %</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3,417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103"/>
              <w:spacing w:after="0"/>
              <w:rPr>
                <w:sz w:val="20"/>
                <w:szCs w:val="20"/>
                <w:color w:val="auto"/>
              </w:rPr>
            </w:pPr>
            <w:r>
              <w:rPr>
                <w:rFonts w:ascii="Arial" w:cs="Arial" w:eastAsia="Arial" w:hAnsi="Arial"/>
                <w:sz w:val="16"/>
                <w:szCs w:val="16"/>
                <w:color w:val="auto"/>
                <w:w w:val="94"/>
              </w:rPr>
              <w:t>(1,594)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line="216" w:lineRule="exact"/>
              <w:rPr>
                <w:sz w:val="20"/>
                <w:szCs w:val="20"/>
                <w:color w:val="auto"/>
              </w:rPr>
            </w:pPr>
            <w:r>
              <w:rPr>
                <w:rFonts w:ascii="Arial" w:cs="Arial" w:eastAsia="Arial" w:hAnsi="Arial"/>
                <w:sz w:val="16"/>
                <w:szCs w:val="16"/>
                <w:color w:val="auto"/>
              </w:rPr>
              <w:t>Change in same store revenue</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Stores in same store revenue calculation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See Key Metrics described above for additional information.</w:t>
      </w:r>
    </w:p>
    <w:p>
      <w:pPr>
        <w:spacing w:after="0" w:line="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were positively impacted by exchange rate fluctuations of approximately $3.1 million and $6.8 million for the three and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2023, as compared to the same period in 2022. On a constant currency basis, revenues for the three and nine months ended September 30, 2023 increased approximately $0.5 million and $0.3 million, compared to the corresponding periods in 2022.</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positively impacted by exchange rate fluctuations of approximately $2.2 million and $4.8 million for the three and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2023, as compared to the same periods in 2022. On a constant currency basis, gross profit for both the three and nine months ended September 30, 2023 increased by approximately $0.4 million as compared to the same periods in 2022. Gross profit as a percentage of segment revenues was 71.1% and 71.0% for the three and nine months ended September 30, 2023, compared to 70.6% and 70.7% for the corresponding periods in 2022.</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Operating Profit. </w:t>
      </w:r>
      <w:r>
        <w:rPr>
          <w:rFonts w:ascii="Arial" w:cs="Arial" w:eastAsia="Arial" w:hAnsi="Arial"/>
          <w:sz w:val="17"/>
          <w:szCs w:val="17"/>
          <w:color w:val="auto"/>
        </w:rPr>
        <w:t>Operating profit was positively impacted by exchange rate fluctuations of approximately $0.2 million and $0.4 million for the three and</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30, 2023, as compared to the same periods in 2022. On a constant currency basis, operating profit for the three and nine months ended September 30, 2023 decreased by approximately $0.1 million and $2.0 million as compared to the same periods in 2022. Operating profit as a percentage of segment revenues decreased to 5.7% and 6.2% for the three and nine months ended September 30, 2023, compared to 6.2% and 10.3% for the corresponding periods in 2022, primarily due to higher customer stolen merchandise losses.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Franchising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7"/>
                <w:szCs w:val="17"/>
                <w:color w:val="auto"/>
              </w:rPr>
            </w:pPr>
          </w:p>
        </w:tc>
        <w:tc>
          <w:tcPr>
            <w:tcW w:w="1080" w:type="dxa"/>
            <w:vAlign w:val="bottom"/>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7"/>
                <w:szCs w:val="17"/>
                <w:color w:val="auto"/>
              </w:rPr>
            </w:pPr>
          </w:p>
        </w:tc>
        <w:tc>
          <w:tcPr>
            <w:tcW w:w="1160" w:type="dxa"/>
            <w:vAlign w:val="bottom"/>
            <w:gridSpan w:val="3"/>
          </w:tcPr>
          <w:p>
            <w:pPr>
              <w:ind w:left="58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6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30,608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3.0 %  $</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90,544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90,040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13"/>
        </w:trPr>
        <w:tc>
          <w:tcPr>
            <w:tcW w:w="26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6,535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20,778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21,857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3,541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13,280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15,170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for the three and nine months ended September 30, 2023 compared to the corresponding periods in 2022,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in merchandise purchases by franchisees of $1.3 million and $1.9 million, partially offset by decreases in royalty income and fees revenue of $0.2 million and $1.3 million, respectively.</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as a percentage of segment revenues decreased to 21.4% and 22.9% for the three and nine months ended September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23.2% and 24.3% for the corresponding periods in 2022, primarily due to the changes in allocation of merchandise sales compared to royalty and fee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3" w:name="page34"/>
    <w:bookmarkEnd w:id="33"/>
    <w:p>
      <w:pPr>
        <w:jc w:val="both"/>
        <w:ind w:right="20"/>
        <w:spacing w:after="0" w:line="308" w:lineRule="auto"/>
        <w:rPr>
          <w:sz w:val="20"/>
          <w:szCs w:val="20"/>
          <w:color w:val="auto"/>
        </w:rPr>
      </w:pPr>
      <w:r>
        <w:rPr>
          <w:rFonts w:ascii="Arial" w:cs="Arial" w:eastAsia="Arial" w:hAnsi="Arial"/>
          <w:sz w:val="17"/>
          <w:szCs w:val="17"/>
          <w:i w:val="1"/>
          <w:iCs w:val="1"/>
          <w:color w:val="auto"/>
        </w:rPr>
        <w:t xml:space="preserve">Operating Profit. </w:t>
      </w:r>
      <w:r>
        <w:rPr>
          <w:rFonts w:ascii="Arial" w:cs="Arial" w:eastAsia="Arial" w:hAnsi="Arial"/>
          <w:sz w:val="17"/>
          <w:szCs w:val="17"/>
          <w:color w:val="auto"/>
        </w:rPr>
        <w:t>Operating profit as a percentage of segment revenues was 11.6% and 14.7% for the three and nine months ended September 30, 2023</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17.1% and 16.8% for the corresponding periods in 2022, primarily due to the change in gross profit described above.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For the nine months ended September 30, 2023, we generated $219.9 million in operating cash flow, and used cash in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$134.2 million for debt repayments, $64.4 million for dividends, $36.2 million for capital expenditures and $24.0 million for share repurchases. We ended the third quarter of 2023 with $105.7 million of cash and cash equivalents and outstanding indebtedness of $1.3 billion.</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Analysis of Cash Flow. </w:t>
      </w:r>
      <w:r>
        <w:rPr>
          <w:rFonts w:ascii="Arial" w:cs="Arial" w:eastAsia="Arial" w:hAnsi="Arial"/>
          <w:sz w:val="18"/>
          <w:szCs w:val="18"/>
          <w:color w:val="auto"/>
        </w:rPr>
        <w:t>Cash provided by operating activities decreased by $192.2 million to $219.9 million for the nine months ended September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from $412.1 million in 2022, primarily due to an increase in inventory purchases.</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used in investing activities decreased to $36.2 million for the nine months ended September 30, 2023, compared to $50.2 million in 2022, primarily due to lower investment in store-related assets in our Rent-A-Center segment for the nine months ended September 30, 2023.</w:t>
      </w:r>
    </w:p>
    <w:p>
      <w:pPr>
        <w:spacing w:after="0" w:line="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used in financing activities decreased to $223.8 million for the nine months ended September 30, 2023, compared to $304.5 million in 2022, primarily due to a decrease in debt repayments of $162.3 million partially offset by debt proceeds received of $90.0 million in 2022.</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Liquidity Requirements</w:t>
      </w:r>
      <w:r>
        <w:rPr>
          <w:rFonts w:ascii="Arial" w:cs="Arial" w:eastAsia="Arial" w:hAnsi="Arial"/>
          <w:sz w:val="18"/>
          <w:szCs w:val="18"/>
          <w:color w:val="auto"/>
        </w:rPr>
        <w:t>. Our primary liquidity requirements are for rental merchandise purchases. Other capital requirements include expenditures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assets, and debt service. Our primary sources of liquidity have been cash provided by operations.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utilize our ABL Credit Facility for the issuance of letters of credit, as well as to manage normal fluctuations in operational cash flow caused by the timing of cash receipts. In that regard, we may from time to time draw funds under the ABL Credit Facility for general corporate purposes. Amounts are drawn as needed due to the timing of cash flows and are generally paid down as cash is generated by our operating activities. We believe cash flow generated from operations and availability under our ABL Credit Facility will be sufficient to fund our operations during the next twelve months. At October 24, 2023, we had approximately $50.3 million in cash on hand, and $485.6 million available under our ABL Credit Facility.</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Deferred Taxes. </w:t>
      </w:r>
      <w:r>
        <w:rPr>
          <w:rFonts w:ascii="Arial" w:cs="Arial" w:eastAsia="Arial" w:hAnsi="Arial"/>
          <w:sz w:val="17"/>
          <w:szCs w:val="17"/>
          <w:color w:val="auto"/>
        </w:rPr>
        <w:t>Certain federal tax legislation enacted during the period 2009 to 2017 permitted bonus first-year depreciation deductions ranging from 50%</w:t>
      </w:r>
      <w:r>
        <w:rPr>
          <w:rFonts w:ascii="Arial" w:cs="Arial" w:eastAsia="Arial" w:hAnsi="Arial"/>
          <w:sz w:val="17"/>
          <w:szCs w:val="17"/>
          <w:i w:val="1"/>
          <w:iCs w:val="1"/>
          <w:color w:val="auto"/>
        </w:rPr>
        <w:t xml:space="preserve"> </w:t>
      </w:r>
      <w:r>
        <w:rPr>
          <w:rFonts w:ascii="Arial" w:cs="Arial" w:eastAsia="Arial" w:hAnsi="Arial"/>
          <w:sz w:val="17"/>
          <w:szCs w:val="17"/>
          <w:color w:val="auto"/>
        </w:rPr>
        <w:t>to 100% of the adjusted basis of qualified property placed in service during such years. The Protecting Americans from Tax Hikes Act of 2015 (“PATH”) extended the 50% bonus depreciation to 2015 and through September 26, 2017, when it was updated by the Tax Cuts and Jobs Act of 2017 (“Tax Act”). The Tax Act allows 100% bonus depreciation for certain property placed in service between September 27, 2017 and December 31, 2022, at which point it will begin to phase out. The bonus depreciation provided by the Tax Act resulted in an estimated benefit of $298 million for us in 2022. The depreciation benefits associated with these tax acts are now reversing. We estimate the remaining tax deferral associated with bonus depreciation from these Acts is approximately $380 million at December 31, 2022, of which approximately 80%, or $303 million, will reverse in 2023, and the majority of the remainder will reverse between 2024 and 2025.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Merchandise Losses</w:t>
      </w:r>
      <w:r>
        <w:rPr>
          <w:rFonts w:ascii="Arial" w:cs="Arial" w:eastAsia="Arial" w:hAnsi="Arial"/>
          <w:sz w:val="18"/>
          <w:szCs w:val="18"/>
          <w:color w:val="auto"/>
        </w:rPr>
        <w:t>. Merchandise losses consist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4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5"/>
        </w:trPr>
        <w:tc>
          <w:tcPr>
            <w:tcW w:w="496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9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stolen merchandise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77,005</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262,236</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Other merchandise losses</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8,146</w:t>
            </w:r>
          </w:p>
        </w:tc>
        <w:tc>
          <w:tcPr>
            <w:tcW w:w="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26,577</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merchandise losses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85,151</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288,813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240" w:hanging="151"/>
        <w:spacing w:after="0"/>
        <w:tabs>
          <w:tab w:leader="none" w:pos="24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Other merchandise losses include unrepairable and missing merchandise, and loss/damage waiver claims.</w:t>
      </w:r>
    </w:p>
    <w:p>
      <w:pPr>
        <w:spacing w:after="0" w:line="9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Capital Expenditures</w:t>
      </w:r>
      <w:r>
        <w:rPr>
          <w:rFonts w:ascii="Arial" w:cs="Arial" w:eastAsia="Arial" w:hAnsi="Arial"/>
          <w:sz w:val="16"/>
          <w:szCs w:val="16"/>
          <w:color w:val="auto"/>
        </w:rPr>
        <w:t>. We make capital expenditures in order to maintain our existing operations, acquire new capital assets in new and acquired stores and</w:t>
      </w:r>
      <w:r>
        <w:rPr>
          <w:rFonts w:ascii="Arial" w:cs="Arial" w:eastAsia="Arial" w:hAnsi="Arial"/>
          <w:sz w:val="16"/>
          <w:szCs w:val="16"/>
          <w:i w:val="1"/>
          <w:iCs w:val="1"/>
          <w:color w:val="auto"/>
        </w:rPr>
        <w:t xml:space="preserve"> </w:t>
      </w:r>
      <w:r>
        <w:rPr>
          <w:rFonts w:ascii="Arial" w:cs="Arial" w:eastAsia="Arial" w:hAnsi="Arial"/>
          <w:sz w:val="16"/>
          <w:szCs w:val="16"/>
          <w:color w:val="auto"/>
        </w:rPr>
        <w:t>invest in information technology. We spent $36.2 million and $49.4 million on capital expenditures during the nine months ended September 30, 2023 and 2022, respectively. The decrease of $13.2 million is primarily due to lower investment in store-related assets in our Rent-A-Center segment.</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Acquisitions and New Location Openings. </w:t>
      </w:r>
      <w:r>
        <w:rPr>
          <w:rFonts w:ascii="Arial" w:cs="Arial" w:eastAsia="Arial" w:hAnsi="Arial"/>
          <w:sz w:val="18"/>
          <w:szCs w:val="18"/>
          <w:color w:val="auto"/>
        </w:rPr>
        <w:t>During the first nine months of 2023, we acquired one lease-to-own store location and customer accounts for an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purchase price of approximately $39.0 thousand. The store location was closed upon acquisition and consolidated into existing store operations in our Rent-A-Center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The table below summarizes the store location activity for the nine-month period ended September 30, 2023 for our Rent-A-Center, Mexico and Franchising operating segments.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Rent-A-Center</w:t>
            </w:r>
          </w:p>
        </w:tc>
        <w:tc>
          <w:tcPr>
            <w:tcW w:w="280" w:type="dxa"/>
            <w:vAlign w:val="bottom"/>
          </w:tcPr>
          <w:p>
            <w:pPr>
              <w:spacing w:after="0"/>
              <w:rPr>
                <w:sz w:val="16"/>
                <w:szCs w:val="16"/>
                <w:color w:val="auto"/>
              </w:rPr>
            </w:pPr>
          </w:p>
        </w:tc>
        <w:tc>
          <w:tcPr>
            <w:tcW w:w="1360" w:type="dxa"/>
            <w:vAlign w:val="bottom"/>
            <w:gridSpan w:val="3"/>
          </w:tcPr>
          <w:p>
            <w:pPr>
              <w:ind w:left="160"/>
              <w:spacing w:after="0"/>
              <w:rPr>
                <w:sz w:val="20"/>
                <w:szCs w:val="20"/>
                <w:color w:val="auto"/>
              </w:rPr>
            </w:pPr>
            <w:r>
              <w:rPr>
                <w:rFonts w:ascii="Arial" w:cs="Arial" w:eastAsia="Arial" w:hAnsi="Arial"/>
                <w:sz w:val="14"/>
                <w:szCs w:val="14"/>
                <w:b w:val="1"/>
                <w:bCs w:val="1"/>
                <w:color w:val="auto"/>
              </w:rPr>
              <w:t>Mexico</w:t>
            </w:r>
          </w:p>
        </w:tc>
        <w:tc>
          <w:tcPr>
            <w:tcW w:w="1560" w:type="dxa"/>
            <w:vAlign w:val="bottom"/>
            <w:gridSpan w:val="3"/>
          </w:tcPr>
          <w:p>
            <w:pPr>
              <w:ind w:left="100"/>
              <w:spacing w:after="0"/>
              <w:rPr>
                <w:sz w:val="20"/>
                <w:szCs w:val="20"/>
                <w:color w:val="auto"/>
              </w:rPr>
            </w:pPr>
            <w:r>
              <w:rPr>
                <w:rFonts w:ascii="Arial" w:cs="Arial" w:eastAsia="Arial" w:hAnsi="Arial"/>
                <w:sz w:val="14"/>
                <w:szCs w:val="14"/>
                <w:b w:val="1"/>
                <w:bCs w:val="1"/>
                <w:color w:val="auto"/>
              </w:rPr>
              <w:t>Franchising</w:t>
            </w: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6"/>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Locations at beginning of period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New location openings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Closed locations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600" w:type="dxa"/>
            <w:vAlign w:val="bottom"/>
          </w:tcPr>
          <w:p>
            <w:pPr>
              <w:ind w:left="360"/>
              <w:spacing w:after="0"/>
              <w:rPr>
                <w:sz w:val="20"/>
                <w:szCs w:val="20"/>
                <w:color w:val="auto"/>
              </w:rPr>
            </w:pPr>
            <w:r>
              <w:rPr>
                <w:rFonts w:ascii="Arial" w:cs="Arial" w:eastAsia="Arial" w:hAnsi="Arial"/>
                <w:sz w:val="18"/>
                <w:szCs w:val="18"/>
                <w:color w:val="auto"/>
              </w:rPr>
              <w:t>Merged with existing locations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Sold or closed with no surviving location</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Locations at end of period</w:t>
            </w: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Acquired locations closed and accounts merged with existing locations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 xml:space="preserve">Total approximate purchase price of acquired store </w:t>
            </w:r>
            <w:r>
              <w:rPr>
                <w:rFonts w:ascii="Arial" w:cs="Arial" w:eastAsia="Arial" w:hAnsi="Arial"/>
                <w:sz w:val="18"/>
                <w:szCs w:val="18"/>
                <w:i w:val="1"/>
                <w:iCs w:val="1"/>
                <w:color w:val="auto"/>
              </w:rPr>
              <w:t>(in thousands)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gridSpan w:val="3"/>
          </w:tcPr>
          <w:p>
            <w:pPr>
              <w:ind w:left="800"/>
              <w:spacing w:after="0"/>
              <w:rPr>
                <w:sz w:val="20"/>
                <w:szCs w:val="20"/>
                <w:color w:val="auto"/>
              </w:rPr>
            </w:pPr>
            <w:r>
              <w:rPr>
                <w:rFonts w:ascii="Arial" w:cs="Arial" w:eastAsia="Arial" w:hAnsi="Arial"/>
                <w:sz w:val="18"/>
                <w:szCs w:val="18"/>
                <w:color w:val="auto"/>
              </w:rPr>
              <w:t>—  $</w:t>
            </w:r>
          </w:p>
        </w:tc>
        <w:tc>
          <w:tcPr>
            <w:tcW w:w="1560" w:type="dxa"/>
            <w:vAlign w:val="bottom"/>
            <w:gridSpan w:val="3"/>
          </w:tcPr>
          <w:p>
            <w:pPr>
              <w:ind w:left="880"/>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Senior Debt. </w:t>
      </w:r>
      <w:r>
        <w:rPr>
          <w:rFonts w:ascii="Arial" w:cs="Arial" w:eastAsia="Arial" w:hAnsi="Arial"/>
          <w:sz w:val="18"/>
          <w:szCs w:val="18"/>
          <w:color w:val="auto"/>
        </w:rPr>
        <w:t>On February 17, 2021, we entered into a credit agreement with JPMorgan Chase Bank, N.A., as administrative agent, and lenders party</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that provides for a five-year asset-based revolving credit facility with commitments of $550 million and a letter of credit sublimit of $150 million, which commitments may be increased, at our option and under certain conditions, by up to an additional $125 million in the aggregate. Under the ABL Credit Facility, we may borrow only up to the lesser of the level of the then-current borrowing base and the aggregate amount of commitments under the ABL Credit Facility. The borrowing base is tied to the amount of eligible installment sales accounts, inventory and eligible rental contracts, reduced by certain reserves. The ABL Credit Facility bears interest at a fluctuating rate determined by reference to Term SOFR plus an applicable margin of 1.50% to 2.00%, which, as of October 24, 2023, was 7.54%. A commitment fee equal to 0.250% to 0.375% of the unused portion of the ABL Credit Facility fluctuates dependent upon average utilization for the prior month as defined by a pricing grid included in the documentation governing the ABL Credit Facility. Loans under the ABL Credit Facility may be borrowed, repaid and re-borrowed until February 17, 2026, at which time all amounts borrowed must be repaid.</w:t>
      </w:r>
    </w:p>
    <w:p>
      <w:pPr>
        <w:spacing w:after="0" w:line="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obligations under the ABL Credit Facility are guaranteed by us and certain of our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17, 2021, we also entered into a term loan credit agreement with JPMorgan Chase Bank, N.A., as administrative agent, and lenders party thereto, that provides for a seven-year $875 million senior secured term loan facility (as amended on September 21, 2021 and June 15, 2023, the “Term Loan Facility”).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 Interest on borrowings under the Term Loan Facility is payable at a fluctuating rate of interest determined by reference to the Term SOFR rate plus an applicable margin of 3.51%, subject to a 0.50% Term SOFR floor, which, as of October 24, 2023 was 8.88%.</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Borrowings under the Term Loan Facility amortize in equal quarterly installments in an amount equal to 1.000% per annum of the original aggregate principal amount thereof, with the remaining balance due at final maturity. The Term Loan Facility is secured by a first-priority security interest in substantially all of present and future tangible and intangible personal property of us and our subsidiary guarantors, other than the ABL Priority Collateral,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Term Loan Facility was fully drawn at the closing of the Acima Holdings acquisition to fund a portion of the Aggregate Cash Consideration, repay our outstanding indebtedness under the previous term loan facility, repay all outstanding indebtedness of Acima and its subsidiaries and pay certain fees and expenses incurred in connection with the Acima Holdings acquisition.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October 24, 2023, we had outstanding borrowings of $815.5 million under the Term Loan Facility and available commitments of $485.6 million under our ABL Credit Facility, net of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5" w:name="page36"/>
    <w:bookmarkEnd w:id="35"/>
    <w:p>
      <w:pPr>
        <w:jc w:val="both"/>
        <w:ind w:right="20"/>
        <w:spacing w:after="0" w:line="277" w:lineRule="auto"/>
        <w:rPr>
          <w:sz w:val="20"/>
          <w:szCs w:val="20"/>
          <w:color w:val="auto"/>
        </w:rPr>
      </w:pPr>
      <w:r>
        <w:rPr>
          <w:rFonts w:ascii="Arial" w:cs="Arial" w:eastAsia="Arial" w:hAnsi="Arial"/>
          <w:sz w:val="18"/>
          <w:szCs w:val="18"/>
          <w:color w:val="auto"/>
        </w:rPr>
        <w:t>See Note 6 of our condensed consolidated financial statements included in this Quarterly Report on Form 10-Q for additional information regarding our senior debt.</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Senior Notes</w:t>
      </w:r>
      <w:r>
        <w:rPr>
          <w:rFonts w:ascii="Arial" w:cs="Arial" w:eastAsia="Arial" w:hAnsi="Arial"/>
          <w:sz w:val="16"/>
          <w:szCs w:val="16"/>
          <w:color w:val="auto"/>
        </w:rPr>
        <w:t>. On February 17, 2021, we issued $450 million in senior unsecured notes due February 15, 2029, at par value, bearing interest at 6.375% (the</w:t>
      </w:r>
      <w:r>
        <w:rPr>
          <w:rFonts w:ascii="Arial" w:cs="Arial" w:eastAsia="Arial" w:hAnsi="Arial"/>
          <w:sz w:val="16"/>
          <w:szCs w:val="16"/>
          <w:i w:val="1"/>
          <w:iCs w:val="1"/>
          <w:color w:val="auto"/>
        </w:rPr>
        <w:t xml:space="preserve"> </w:t>
      </w:r>
      <w:r>
        <w:rPr>
          <w:rFonts w:ascii="Arial" w:cs="Arial" w:eastAsia="Arial" w:hAnsi="Arial"/>
          <w:sz w:val="16"/>
          <w:szCs w:val="16"/>
          <w:color w:val="auto"/>
        </w:rPr>
        <w:t>“Notes”), the proceeds of which were used to fund a portion of the Aggregate Cash Consideration upon closing of the Acima Holdings acquisition. Interest on the Notes is payable in arrears on February 15 and August 15 of each year, beginning on August 15, 2021. We may redeem some or all of the Notes at any time on or after February 15, 2024 for cash at the redemption prices set forth in the indenture governing the Notes, plus accrued and unpaid interest to, but not including, the redemption date. Prior to February 15, 2024, we may redeem up to 40% of the aggregate principal amount of the Notes with the proceeds of certain equity offerings at a redemption price of 106.375% plus accrued and unpaid interest to, but not including, the redemption date. In addition, we may redeem some or all of the Notes prior to February 15, 2024, at a redemption price of 100% of the principal amount of the Notes plus accrued and unpaid interest to, but not including, the redemption date, plus a “make-whole” premium. If we experience specific kinds of change of control, it will be required to offer to purchase the Notes at a price equal to 101% of the principal amount thereof plus accrued and unpaid interest. See Note 7 of our condensed consolidated financial statements included in this Quarterly Report on Form 10-Q for additional information regarding our senior notes.</w:t>
      </w:r>
    </w:p>
    <w:p>
      <w:pPr>
        <w:spacing w:after="0" w:line="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Operating Leases</w:t>
      </w:r>
      <w:r>
        <w:rPr>
          <w:rFonts w:ascii="Arial" w:cs="Arial" w:eastAsia="Arial" w:hAnsi="Arial"/>
          <w:sz w:val="17"/>
          <w:szCs w:val="17"/>
          <w:color w:val="auto"/>
        </w:rPr>
        <w:t>. We lease space for all of our Rent-A-Center and Mexico stores under operating leases expiring at various times through 2034.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we lease space for certain support facilities under operating leases expiring at various times through 2032. Most of our store leases are five year leases and contain renewal options for additional periods ranging from three to five years at rental rates adjusted according to agreed-upon formulas. As of September 30, 2023, our total remaining obligation for existing store lease contracts was approximately $349.9 million.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lease vehicles for all of our Rent-A-Center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Condensed Consolidated Balance Sheets. As of September 30, 2023, our total remaining minimum obligation for existing Rent-A-Center vehicle lease contracts was approximately $1.6 million.</w:t>
      </w:r>
    </w:p>
    <w:p>
      <w:pPr>
        <w:spacing w:after="0" w:line="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also lease vehicles for all of our Mexico stores which have terms expiring at various times through 2026 with rental rates adjusted periodically for inflation. As of September 30, 2023, our total remaining obligation for existing Mexico vehicle lease contracts was approximately $2.9 million.</w:t>
      </w:r>
    </w:p>
    <w:p>
      <w:pPr>
        <w:spacing w:after="0" w:line="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4 of our condensed consolidated financial statements included in this Quarterly Report on Form 10-Q for additional discussion of our store operating leases.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Uncertain Tax Position. </w:t>
      </w:r>
      <w:r>
        <w:rPr>
          <w:rFonts w:ascii="Arial" w:cs="Arial" w:eastAsia="Arial" w:hAnsi="Arial"/>
          <w:sz w:val="18"/>
          <w:szCs w:val="18"/>
          <w:color w:val="auto"/>
        </w:rPr>
        <w:t>As of September 30, 2023, we have recorded $1.4 million in uncertain tax positions. Although these positions represent a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liability to us, the amounts and timing of such payments are uncertain.</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Our revenue mix is moderately seasonal, with the first quarter of each fiscal year generally providing higher merchandise sales than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during a fiscal year. Generally, our customers will more frequently exercise the early purchase option on their existing lease purchase agreements or purchase pre-leased merchandise off the showroom floor during the first quarter of each fiscal year, primarily due to the receipt of federal income tax refunds.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standards setting bodies that we adopt as of the specified effective date. As of September 30, 2023, we believe the impact of any recently issued standards that are not yet effective are either not applicable to us at this time, or will not have a material impact on our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 risk is the potential change in an instrument’s value caused by fluctuations in interest rates. 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2023, we had $450 million in Notes outstanding at a fixed interest rate of 6.375%. We also had $815.5 million outstanding under the Term Loan Facility at interest rates indexed to the Term SOFR rate or the prime rate. Carrying value approximates fair value for such indebtedness. Based on our overall interest rate exposure at September 30, 2023, a hypothetical 1.0% increase or decrease in market interest rates would have the effect of causing an additional $8.3 million additional annualized pre-tax charge or credit to our Condensed Consolidated Statement of Operations. We have not entered into any interest rate swap agreements as of September 30,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In accordance with Rule 13a-15(b) under the Securities Exchange Act of 1934, an evaluation was performed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Quarterly Report on Form 10-Q. Based on this evaluation, our management, including our Chief Executive Officer and our Chief Financial Officer, concluded that, as of September 30, 2023, our disclosure controls and procedures (as defined in Rules 13a–15(e) and 15d–15(e) under the Securities Exchange Act of 1934) were effective.</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Changes in Internal Controls over Financial Reporting</w:t>
      </w:r>
      <w:r>
        <w:rPr>
          <w:rFonts w:ascii="Arial" w:cs="Arial" w:eastAsia="Arial" w:hAnsi="Arial"/>
          <w:sz w:val="18"/>
          <w:szCs w:val="18"/>
          <w:color w:val="auto"/>
        </w:rPr>
        <w:t>. For the quarter ended September 30, 2023, there have been no changes in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(as defined in Rule 13a-15(f) under the Securities Exchange Act of 1934) that, in the aggregate,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From time to time, we, along with our subsidiaries, are party to various legal proceedings and governmental inquiries arising in the ordinary course of business. We reserve for loss contingencies that are both probable and reasonably estimable. We regularly monitor developments related to these legal proceedings, and review the adequacy of our legal reserves on a quarterly basis. We do not currently expect these losses to have a material impact on our consolidated financial statements if and when 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 In addition, claims and lawsuits against us may seek injunctive or other relief that requires changes to our business practices or operations and it is possible that any required changes may materially and adversely impact our business, financial condition, results of operations or reputation. Please see Note 12 of our condensed consolidated financial statements included in this Quarterly Report on Form 10-Q for additional discussion of certain of our legal proceedings.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risk factors disclosed in Item 1A of Part 1, “Risk Factors” of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following table presents information with respect to purchases of our common stock the Company made during the three months ended September 30, 2023:</w:t>
      </w: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Total Number of Shares</w:t>
            </w:r>
          </w:p>
        </w:tc>
        <w:tc>
          <w:tcPr>
            <w:tcW w:w="2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Maximum Dollar Value of Shares that</w:t>
            </w:r>
          </w:p>
        </w:tc>
        <w:tc>
          <w:tcPr>
            <w:tcW w:w="0" w:type="dxa"/>
            <w:vAlign w:val="bottom"/>
          </w:tcPr>
          <w:p>
            <w:pPr>
              <w:spacing w:after="0"/>
              <w:rPr>
                <w:sz w:val="1"/>
                <w:szCs w:val="1"/>
                <w:color w:val="auto"/>
              </w:rPr>
            </w:pPr>
          </w:p>
        </w:tc>
      </w:tr>
      <w:tr>
        <w:trPr>
          <w:trHeight w:val="144"/>
        </w:trPr>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 Number of</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 Price Paid</w:t>
            </w:r>
          </w:p>
        </w:tc>
        <w:tc>
          <w:tcPr>
            <w:tcW w:w="19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1"/>
              </w:rPr>
              <w:t>Purchased as Part of</w:t>
            </w:r>
          </w:p>
        </w:tc>
        <w:tc>
          <w:tcPr>
            <w:tcW w:w="25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may yet be Purchased Under Publicly</w:t>
            </w:r>
          </w:p>
        </w:tc>
        <w:tc>
          <w:tcPr>
            <w:tcW w:w="0" w:type="dxa"/>
            <w:vAlign w:val="bottom"/>
          </w:tcPr>
          <w:p>
            <w:pPr>
              <w:spacing w:after="0"/>
              <w:rPr>
                <w:sz w:val="1"/>
                <w:szCs w:val="1"/>
                <w:color w:val="auto"/>
              </w:rPr>
            </w:pPr>
          </w:p>
        </w:tc>
      </w:tr>
      <w:tr>
        <w:trPr>
          <w:trHeight w:val="148"/>
        </w:trPr>
        <w:tc>
          <w:tcPr>
            <w:tcW w:w="3620" w:type="dxa"/>
            <w:vAlign w:val="bottom"/>
            <w:vMerge w:val="restart"/>
          </w:tcPr>
          <w:p>
            <w:pPr>
              <w:ind w:left="1620"/>
              <w:spacing w:after="0"/>
              <w:rPr>
                <w:sz w:val="20"/>
                <w:szCs w:val="20"/>
                <w:color w:val="auto"/>
              </w:rPr>
            </w:pPr>
            <w:r>
              <w:rPr>
                <w:rFonts w:ascii="Arial" w:cs="Arial" w:eastAsia="Arial" w:hAnsi="Arial"/>
                <w:sz w:val="14"/>
                <w:szCs w:val="14"/>
                <w:b w:val="1"/>
                <w:bCs w:val="1"/>
                <w:color w:val="auto"/>
              </w:rPr>
              <w:t>Period</w:t>
            </w:r>
          </w:p>
        </w:tc>
        <w:tc>
          <w:tcPr>
            <w:tcW w:w="16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Publicly Announced Plans or</w:t>
            </w:r>
          </w:p>
        </w:tc>
        <w:tc>
          <w:tcPr>
            <w:tcW w:w="300" w:type="dxa"/>
            <w:vAlign w:val="bottom"/>
          </w:tcPr>
          <w:p>
            <w:pPr>
              <w:spacing w:after="0"/>
              <w:rPr>
                <w:sz w:val="12"/>
                <w:szCs w:val="12"/>
                <w:color w:val="auto"/>
              </w:rPr>
            </w:pPr>
          </w:p>
        </w:tc>
        <w:tc>
          <w:tcPr>
            <w:tcW w:w="220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0" w:type="dxa"/>
            <w:vAlign w:val="bottom"/>
          </w:tcPr>
          <w:p>
            <w:pPr>
              <w:spacing w:after="0"/>
              <w:rPr>
                <w:sz w:val="1"/>
                <w:szCs w:val="1"/>
                <w:color w:val="auto"/>
              </w:rPr>
            </w:pPr>
          </w:p>
        </w:tc>
      </w:tr>
      <w:tr>
        <w:trPr>
          <w:trHeight w:val="203"/>
        </w:trPr>
        <w:tc>
          <w:tcPr>
            <w:tcW w:w="36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vMerge w:val="continue"/>
          </w:tcPr>
          <w:p>
            <w:pPr>
              <w:spacing w:after="0"/>
              <w:rPr>
                <w:sz w:val="17"/>
                <w:szCs w:val="17"/>
                <w:color w:val="auto"/>
              </w:rPr>
            </w:pPr>
          </w:p>
        </w:tc>
        <w:tc>
          <w:tcPr>
            <w:tcW w:w="14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9"/>
              </w:rPr>
              <w:t>Programs</w:t>
            </w:r>
            <w:r>
              <w:rPr>
                <w:rFonts w:ascii="Arial" w:cs="Arial" w:eastAsia="Arial" w:hAnsi="Arial"/>
                <w:sz w:val="18"/>
                <w:szCs w:val="18"/>
                <w:b w:val="1"/>
                <w:bCs w:val="1"/>
                <w:color w:val="auto"/>
                <w:w w:val="89"/>
                <w:vertAlign w:val="superscript"/>
              </w:rPr>
              <w:t>(1)</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center"/>
              <w:ind w:right="224"/>
              <w:spacing w:after="0" w:line="202" w:lineRule="exact"/>
              <w:rPr>
                <w:sz w:val="20"/>
                <w:szCs w:val="20"/>
                <w:color w:val="auto"/>
              </w:rPr>
            </w:pPr>
            <w:r>
              <w:rPr>
                <w:rFonts w:ascii="Arial" w:cs="Arial" w:eastAsia="Arial" w:hAnsi="Arial"/>
                <w:sz w:val="14"/>
                <w:szCs w:val="14"/>
                <w:b w:val="1"/>
                <w:bCs w:val="1"/>
                <w:color w:val="auto"/>
                <w:w w:val="92"/>
              </w:rPr>
              <w:t>Programs (in Millions)</w:t>
            </w:r>
            <w:r>
              <w:rPr>
                <w:rFonts w:ascii="Arial" w:cs="Arial" w:eastAsia="Arial" w:hAnsi="Arial"/>
                <w:sz w:val="18"/>
                <w:szCs w:val="18"/>
                <w:b w:val="1"/>
                <w:bCs w:val="1"/>
                <w:color w:val="auto"/>
                <w:w w:val="92"/>
                <w:vertAlign w:val="superscript"/>
              </w:rPr>
              <w:t>(1)</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August 1, 2023 - August 31, 2023</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29.90</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170,035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w w:val="89"/>
              </w:rPr>
              <w:t>$</w:t>
            </w:r>
          </w:p>
        </w:tc>
        <w:tc>
          <w:tcPr>
            <w:tcW w:w="2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279.9</w:t>
            </w:r>
          </w:p>
        </w:tc>
        <w:tc>
          <w:tcPr>
            <w:tcW w:w="0" w:type="dxa"/>
            <w:vAlign w:val="bottom"/>
          </w:tcPr>
          <w:p>
            <w:pPr>
              <w:spacing w:after="0"/>
              <w:rPr>
                <w:sz w:val="1"/>
                <w:szCs w:val="1"/>
                <w:color w:val="auto"/>
              </w:rPr>
            </w:pPr>
          </w:p>
        </w:tc>
      </w:tr>
      <w:tr>
        <w:trPr>
          <w:trHeight w:val="210"/>
        </w:trPr>
        <w:tc>
          <w:tcPr>
            <w:tcW w:w="3780" w:type="dxa"/>
            <w:vAlign w:val="bottom"/>
            <w:gridSpan w:val="2"/>
          </w:tcPr>
          <w:p>
            <w:pPr>
              <w:ind w:left="20"/>
              <w:spacing w:after="0"/>
              <w:rPr>
                <w:sz w:val="20"/>
                <w:szCs w:val="20"/>
                <w:color w:val="auto"/>
              </w:rPr>
            </w:pPr>
            <w:r>
              <w:rPr>
                <w:rFonts w:ascii="Arial" w:cs="Arial" w:eastAsia="Arial" w:hAnsi="Arial"/>
                <w:sz w:val="16"/>
                <w:szCs w:val="16"/>
                <w:color w:val="auto"/>
              </w:rPr>
              <w:t>September 1, 2023 - September 30, 2023</w:t>
            </w:r>
          </w:p>
        </w:tc>
        <w:tc>
          <w:tcPr>
            <w:tcW w:w="1420" w:type="dxa"/>
            <w:vAlign w:val="bottom"/>
          </w:tcPr>
          <w:p>
            <w:pPr>
              <w:jc w:val="right"/>
              <w:spacing w:after="0"/>
              <w:rPr>
                <w:sz w:val="20"/>
                <w:szCs w:val="20"/>
                <w:color w:val="auto"/>
              </w:rPr>
            </w:pPr>
            <w:r>
              <w:rPr>
                <w:rFonts w:ascii="Arial" w:cs="Arial" w:eastAsia="Arial" w:hAnsi="Arial"/>
                <w:sz w:val="16"/>
                <w:szCs w:val="16"/>
                <w:color w:val="auto"/>
              </w:rPr>
              <w:t>746,234</w:t>
            </w:r>
          </w:p>
        </w:tc>
        <w:tc>
          <w:tcPr>
            <w:tcW w:w="100" w:type="dxa"/>
            <w:vAlign w:val="bottom"/>
          </w:tcPr>
          <w:p>
            <w:pPr>
              <w:spacing w:after="0"/>
              <w:rPr>
                <w:sz w:val="18"/>
                <w:szCs w:val="18"/>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29.55</w:t>
            </w:r>
          </w:p>
        </w:tc>
        <w:tc>
          <w:tcPr>
            <w:tcW w:w="120" w:type="dxa"/>
            <w:vAlign w:val="bottom"/>
          </w:tcPr>
          <w:p>
            <w:pPr>
              <w:spacing w:after="0"/>
              <w:rPr>
                <w:sz w:val="18"/>
                <w:szCs w:val="18"/>
                <w:color w:val="auto"/>
              </w:rPr>
            </w:pPr>
          </w:p>
        </w:tc>
        <w:tc>
          <w:tcPr>
            <w:tcW w:w="1840" w:type="dxa"/>
            <w:vAlign w:val="bottom"/>
          </w:tcPr>
          <w:p>
            <w:pPr>
              <w:jc w:val="right"/>
              <w:ind w:right="5"/>
              <w:spacing w:after="0"/>
              <w:rPr>
                <w:sz w:val="20"/>
                <w:szCs w:val="20"/>
                <w:color w:val="auto"/>
              </w:rPr>
            </w:pPr>
            <w:r>
              <w:rPr>
                <w:rFonts w:ascii="Arial" w:cs="Arial" w:eastAsia="Arial" w:hAnsi="Arial"/>
                <w:sz w:val="16"/>
                <w:szCs w:val="16"/>
                <w:color w:val="auto"/>
              </w:rPr>
              <w:t>746,234</w:t>
            </w:r>
          </w:p>
        </w:tc>
        <w:tc>
          <w:tcPr>
            <w:tcW w:w="80" w:type="dxa"/>
            <w:vAlign w:val="bottom"/>
          </w:tcPr>
          <w:p>
            <w:pPr>
              <w:spacing w:after="0"/>
              <w:rPr>
                <w:sz w:val="18"/>
                <w:szCs w:val="18"/>
                <w:color w:val="auto"/>
              </w:rPr>
            </w:pPr>
          </w:p>
        </w:tc>
        <w:tc>
          <w:tcPr>
            <w:tcW w:w="300" w:type="dxa"/>
            <w:vAlign w:val="bottom"/>
          </w:tcPr>
          <w:p>
            <w:pPr>
              <w:jc w:val="right"/>
              <w:ind w:right="124"/>
              <w:spacing w:after="0"/>
              <w:rPr>
                <w:sz w:val="20"/>
                <w:szCs w:val="20"/>
                <w:color w:val="auto"/>
              </w:rPr>
            </w:pPr>
            <w:r>
              <w:rPr>
                <w:rFonts w:ascii="Arial" w:cs="Arial" w:eastAsia="Arial" w:hAnsi="Arial"/>
                <w:sz w:val="16"/>
                <w:szCs w:val="16"/>
                <w:color w:val="auto"/>
                <w:w w:val="89"/>
              </w:rPr>
              <w:t>$</w:t>
            </w:r>
          </w:p>
        </w:tc>
        <w:tc>
          <w:tcPr>
            <w:tcW w:w="2200" w:type="dxa"/>
            <w:vAlign w:val="bottom"/>
          </w:tcPr>
          <w:p>
            <w:pPr>
              <w:jc w:val="right"/>
              <w:ind w:right="4"/>
              <w:spacing w:after="0"/>
              <w:rPr>
                <w:sz w:val="20"/>
                <w:szCs w:val="20"/>
                <w:color w:val="auto"/>
              </w:rPr>
            </w:pPr>
            <w:r>
              <w:rPr>
                <w:rFonts w:ascii="Arial" w:cs="Arial" w:eastAsia="Arial" w:hAnsi="Arial"/>
                <w:sz w:val="16"/>
                <w:szCs w:val="16"/>
                <w:color w:val="auto"/>
              </w:rPr>
              <w:t>257.9</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16"/>
          <w:szCs w:val="16"/>
          <w:color w:val="auto"/>
          <w:vertAlign w:val="superscript"/>
        </w:rPr>
      </w:pPr>
      <w:r>
        <w:rPr>
          <w:rFonts w:ascii="Arial" w:cs="Arial" w:eastAsia="Arial" w:hAnsi="Arial"/>
          <w:sz w:val="13"/>
          <w:szCs w:val="13"/>
          <w:color w:val="auto"/>
        </w:rPr>
        <w:t>Shares repurchased pursuant to the December 2021 Program.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Certain of our officers have made, or may make, elections to participate in, or are participating in, the Company's stock investment option and dividend reinvestment available through the Company's 401(k) plan. In addition, certain of our officers and directors may from time to time make elections to have shares withheld to cover withholding taxes owed in connection with long-term incentive plan awards or to pay the exercise price of options or make standing elections to reinvest dividends received on our shares or long-term incentive plan awards held by them, which may be designed to satisfy the affirmative defense conditions of Rule 10b5-1 under the Exchange Act, or may constitute non-Rule 10b5–1 trading arrangements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Exhibits.</w:t>
      </w:r>
    </w:p>
    <w:p>
      <w:pPr>
        <w:spacing w:after="0" w:line="50"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Exhibit No.</w:t>
            </w:r>
          </w:p>
        </w:tc>
        <w:tc>
          <w:tcPr>
            <w:tcW w:w="4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160" w:type="dxa"/>
            <w:vAlign w:val="bottom"/>
            <w:gridSpan w:val="19"/>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243"/>
        </w:trPr>
        <w:tc>
          <w:tcPr>
            <w:tcW w:w="1080" w:type="dxa"/>
            <w:vAlign w:val="bottom"/>
          </w:tcPr>
          <w:p>
            <w:pPr>
              <w:jc w:val="center"/>
              <w:ind w:right="90"/>
              <w:spacing w:after="0"/>
              <w:rPr>
                <w:sz w:val="20"/>
                <w:szCs w:val="20"/>
                <w:color w:val="auto"/>
              </w:rPr>
            </w:pPr>
            <w:r>
              <w:rPr>
                <w:rFonts w:ascii="Arial" w:cs="Arial" w:eastAsia="Arial" w:hAnsi="Arial"/>
                <w:sz w:val="18"/>
                <w:szCs w:val="18"/>
                <w:color w:val="auto"/>
                <w:w w:val="87"/>
              </w:rPr>
              <w:t>3.1</w:t>
            </w:r>
          </w:p>
        </w:tc>
        <w:tc>
          <w:tcPr>
            <w:tcW w:w="8720" w:type="dxa"/>
            <w:vAlign w:val="bottom"/>
            <w:gridSpan w:val="23"/>
          </w:tcPr>
          <w:p>
            <w:pPr>
              <w:spacing w:after="0"/>
              <w:rPr>
                <w:rFonts w:ascii="Arial" w:cs="Arial" w:eastAsia="Arial" w:hAnsi="Arial"/>
                <w:sz w:val="18"/>
                <w:szCs w:val="18"/>
                <w:color w:val="0000FF"/>
                <w:w w:val="98"/>
              </w:rPr>
            </w:pPr>
            <w:hyperlink r:id="rId56">
              <w:r>
                <w:rPr>
                  <w:rFonts w:ascii="Arial" w:cs="Arial" w:eastAsia="Arial" w:hAnsi="Arial"/>
                  <w:sz w:val="18"/>
                  <w:szCs w:val="18"/>
                  <w:color w:val="0000FF"/>
                  <w:w w:val="98"/>
                </w:rPr>
                <w:t>Certificate of Incorporation of the registrant, as amended (incorporated herein by reference to Exhibit 3.1 to the</w:t>
              </w:r>
            </w:hyperlink>
          </w:p>
        </w:tc>
      </w:tr>
      <w:tr>
        <w:trPr>
          <w:trHeight w:val="156"/>
        </w:trPr>
        <w:tc>
          <w:tcPr>
            <w:tcW w:w="1080" w:type="dxa"/>
            <w:vAlign w:val="bottom"/>
          </w:tcPr>
          <w:p>
            <w:pPr>
              <w:spacing w:after="0"/>
              <w:rPr>
                <w:sz w:val="13"/>
                <w:szCs w:val="13"/>
                <w:color w:val="auto"/>
              </w:rPr>
            </w:pPr>
          </w:p>
        </w:tc>
        <w:tc>
          <w:tcPr>
            <w:tcW w:w="87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registrant's Current Report on Form 8-K dated as of December 31, 2002.)</w:t>
              </w:r>
            </w:hyperlink>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080" w:type="dxa"/>
            <w:vAlign w:val="bottom"/>
          </w:tcPr>
          <w:p>
            <w:pPr>
              <w:jc w:val="center"/>
              <w:ind w:right="90"/>
              <w:spacing w:after="0"/>
              <w:rPr>
                <w:sz w:val="20"/>
                <w:szCs w:val="20"/>
                <w:color w:val="auto"/>
              </w:rPr>
            </w:pPr>
            <w:r>
              <w:rPr>
                <w:rFonts w:ascii="Arial" w:cs="Arial" w:eastAsia="Arial" w:hAnsi="Arial"/>
                <w:sz w:val="18"/>
                <w:szCs w:val="18"/>
                <w:color w:val="auto"/>
                <w:w w:val="87"/>
              </w:rPr>
              <w:t>3.2</w:t>
            </w:r>
          </w:p>
        </w:tc>
        <w:tc>
          <w:tcPr>
            <w:tcW w:w="8720" w:type="dxa"/>
            <w:vAlign w:val="bottom"/>
            <w:gridSpan w:val="23"/>
          </w:tcPr>
          <w:p>
            <w:pPr>
              <w:spacing w:after="0"/>
              <w:rPr>
                <w:rFonts w:ascii="Arial" w:cs="Arial" w:eastAsia="Arial" w:hAnsi="Arial"/>
                <w:sz w:val="18"/>
                <w:szCs w:val="18"/>
                <w:color w:val="0000FF"/>
                <w:w w:val="98"/>
              </w:rPr>
            </w:pPr>
            <w:hyperlink r:id="rId57">
              <w:r>
                <w:rPr>
                  <w:rFonts w:ascii="Arial" w:cs="Arial" w:eastAsia="Arial" w:hAnsi="Arial"/>
                  <w:sz w:val="18"/>
                  <w:szCs w:val="18"/>
                  <w:color w:val="0000FF"/>
                  <w:w w:val="98"/>
                </w:rPr>
                <w:t>Certificate of Amendment to the Certificate of Incorporation of the registrant, dated May 19, 2004 (incorporated</w:t>
              </w:r>
            </w:hyperlink>
          </w:p>
        </w:tc>
      </w:tr>
      <w:tr>
        <w:trPr>
          <w:trHeight w:val="156"/>
        </w:trPr>
        <w:tc>
          <w:tcPr>
            <w:tcW w:w="1080" w:type="dxa"/>
            <w:vAlign w:val="bottom"/>
          </w:tcPr>
          <w:p>
            <w:pPr>
              <w:spacing w:after="0"/>
              <w:rPr>
                <w:sz w:val="13"/>
                <w:szCs w:val="13"/>
                <w:color w:val="auto"/>
              </w:rPr>
            </w:pPr>
          </w:p>
        </w:tc>
        <w:tc>
          <w:tcPr>
            <w:tcW w:w="8660" w:type="dxa"/>
            <w:vAlign w:val="bottom"/>
            <w:tcBorders>
              <w:top w:val="single" w:sz="8" w:color="0000FF"/>
            </w:tcBorders>
            <w:gridSpan w:val="20"/>
          </w:tcPr>
          <w:p>
            <w:pPr>
              <w:spacing w:after="0" w:line="156" w:lineRule="exact"/>
              <w:rPr>
                <w:rFonts w:ascii="Arial" w:cs="Arial" w:eastAsia="Arial" w:hAnsi="Arial"/>
                <w:sz w:val="18"/>
                <w:szCs w:val="18"/>
                <w:color w:val="0000FF"/>
                <w:w w:val="95"/>
              </w:rPr>
            </w:pPr>
            <w:hyperlink r:id="rId57">
              <w:r>
                <w:rPr>
                  <w:rFonts w:ascii="Arial" w:cs="Arial" w:eastAsia="Arial" w:hAnsi="Arial"/>
                  <w:sz w:val="18"/>
                  <w:szCs w:val="18"/>
                  <w:color w:val="0000FF"/>
                  <w:w w:val="95"/>
                </w:rPr>
                <w:t>herein by reference to Exhibit 3.2 to the registrant's Quarterly Report on Form 10-Q for the quarter ended June 30,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080" w:type="dxa"/>
            <w:vAlign w:val="bottom"/>
          </w:tcPr>
          <w:p>
            <w:pPr>
              <w:spacing w:after="0"/>
              <w:rPr>
                <w:sz w:val="14"/>
                <w:szCs w:val="14"/>
                <w:color w:val="auto"/>
              </w:rPr>
            </w:pPr>
          </w:p>
        </w:tc>
        <w:tc>
          <w:tcPr>
            <w:tcW w:w="4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2004.</w:t>
              </w:r>
              <w:r>
                <w:rPr>
                  <w:rFonts w:ascii="Arial" w:cs="Arial" w:eastAsia="Arial" w:hAnsi="Arial"/>
                  <w:sz w:val="18"/>
                  <w:szCs w:val="18"/>
                  <w:u w:val="single" w:color="auto"/>
                  <w:color w:val="0000FF"/>
                  <w:w w:val="90"/>
                </w:rPr>
                <w:t>)</w:t>
              </w:r>
            </w:hyperlink>
          </w:p>
        </w:tc>
        <w:tc>
          <w:tcPr>
            <w:tcW w:w="1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6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080" w:type="dxa"/>
            <w:vAlign w:val="bottom"/>
          </w:tcPr>
          <w:p>
            <w:pPr>
              <w:jc w:val="center"/>
              <w:ind w:right="90"/>
              <w:spacing w:after="0"/>
              <w:rPr>
                <w:sz w:val="20"/>
                <w:szCs w:val="20"/>
                <w:color w:val="auto"/>
              </w:rPr>
            </w:pPr>
            <w:r>
              <w:rPr>
                <w:rFonts w:ascii="Arial" w:cs="Arial" w:eastAsia="Arial" w:hAnsi="Arial"/>
                <w:sz w:val="18"/>
                <w:szCs w:val="18"/>
                <w:color w:val="auto"/>
                <w:w w:val="87"/>
              </w:rPr>
              <w:t>3.3</w:t>
            </w:r>
          </w:p>
        </w:tc>
        <w:tc>
          <w:tcPr>
            <w:tcW w:w="8720" w:type="dxa"/>
            <w:vAlign w:val="bottom"/>
            <w:gridSpan w:val="23"/>
          </w:tcPr>
          <w:p>
            <w:pPr>
              <w:spacing w:after="0"/>
              <w:rPr>
                <w:rFonts w:ascii="Arial" w:cs="Arial" w:eastAsia="Arial" w:hAnsi="Arial"/>
                <w:sz w:val="18"/>
                <w:szCs w:val="18"/>
                <w:color w:val="0000FF"/>
                <w:w w:val="93"/>
              </w:rPr>
            </w:pPr>
            <w:hyperlink r:id="rId58">
              <w:r>
                <w:rPr>
                  <w:rFonts w:ascii="Arial" w:cs="Arial" w:eastAsia="Arial" w:hAnsi="Arial"/>
                  <w:sz w:val="18"/>
                  <w:szCs w:val="18"/>
                  <w:color w:val="0000FF"/>
                  <w:w w:val="93"/>
                </w:rPr>
                <w:t>Certificate of Amendment to the Certificate of Incorporation of the registrant, dated June 8, 2021 (incorporated herein</w:t>
              </w:r>
            </w:hyperlink>
          </w:p>
        </w:tc>
      </w:tr>
      <w:tr>
        <w:trPr>
          <w:trHeight w:val="156"/>
        </w:trPr>
        <w:tc>
          <w:tcPr>
            <w:tcW w:w="1080" w:type="dxa"/>
            <w:vAlign w:val="bottom"/>
          </w:tcPr>
          <w:p>
            <w:pPr>
              <w:spacing w:after="0"/>
              <w:rPr>
                <w:sz w:val="13"/>
                <w:szCs w:val="13"/>
                <w:color w:val="auto"/>
              </w:rPr>
            </w:pPr>
          </w:p>
        </w:tc>
        <w:tc>
          <w:tcPr>
            <w:tcW w:w="86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by reference to Exhibit 3.1 to the registrant's Current Report on Form 8-K dated as of June 9, 2021.)</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080" w:type="dxa"/>
            <w:vAlign w:val="bottom"/>
          </w:tcPr>
          <w:p>
            <w:pPr>
              <w:jc w:val="center"/>
              <w:ind w:right="90"/>
              <w:spacing w:after="0"/>
              <w:rPr>
                <w:sz w:val="20"/>
                <w:szCs w:val="20"/>
                <w:color w:val="auto"/>
              </w:rPr>
            </w:pPr>
            <w:r>
              <w:rPr>
                <w:rFonts w:ascii="Arial" w:cs="Arial" w:eastAsia="Arial" w:hAnsi="Arial"/>
                <w:sz w:val="18"/>
                <w:szCs w:val="18"/>
                <w:color w:val="auto"/>
                <w:w w:val="87"/>
              </w:rPr>
              <w:t>3.4</w:t>
            </w:r>
          </w:p>
        </w:tc>
        <w:tc>
          <w:tcPr>
            <w:tcW w:w="8620" w:type="dxa"/>
            <w:vAlign w:val="bottom"/>
            <w:tcBorders>
              <w:bottom w:val="single" w:sz="8" w:color="0000FF"/>
            </w:tcBorders>
            <w:gridSpan w:val="18"/>
          </w:tcPr>
          <w:p>
            <w:pPr>
              <w:spacing w:after="0"/>
              <w:rPr>
                <w:rFonts w:ascii="Arial" w:cs="Arial" w:eastAsia="Arial" w:hAnsi="Arial"/>
                <w:sz w:val="18"/>
                <w:szCs w:val="18"/>
                <w:color w:val="0000FF"/>
                <w:w w:val="93"/>
              </w:rPr>
            </w:pPr>
            <w:hyperlink r:id="rId59">
              <w:r>
                <w:rPr>
                  <w:rFonts w:ascii="Arial" w:cs="Arial" w:eastAsia="Arial" w:hAnsi="Arial"/>
                  <w:sz w:val="18"/>
                  <w:szCs w:val="18"/>
                  <w:color w:val="0000FF"/>
                  <w:w w:val="93"/>
                </w:rPr>
                <w:t>Certificate of Amendment to the Certificate of Incorporation of the registrant, dated February 21, 2023 (incorporated</w:t>
              </w:r>
            </w:hyperlink>
          </w:p>
        </w:tc>
        <w:tc>
          <w:tcPr>
            <w:tcW w:w="100" w:type="dxa"/>
            <w:vAlign w:val="bottom"/>
            <w:gridSpan w:val="5"/>
          </w:tcPr>
          <w:p>
            <w:pPr>
              <w:spacing w:after="0"/>
              <w:rPr>
                <w:sz w:val="24"/>
                <w:szCs w:val="24"/>
                <w:color w:val="auto"/>
              </w:rPr>
            </w:pPr>
          </w:p>
        </w:tc>
      </w:tr>
      <w:tr>
        <w:trPr>
          <w:trHeight w:val="156"/>
        </w:trPr>
        <w:tc>
          <w:tcPr>
            <w:tcW w:w="1080" w:type="dxa"/>
            <w:vAlign w:val="bottom"/>
          </w:tcPr>
          <w:p>
            <w:pPr>
              <w:spacing w:after="0"/>
              <w:rPr>
                <w:sz w:val="13"/>
                <w:szCs w:val="13"/>
                <w:color w:val="auto"/>
              </w:rPr>
            </w:pPr>
          </w:p>
        </w:tc>
        <w:tc>
          <w:tcPr>
            <w:tcW w:w="5620" w:type="dxa"/>
            <w:vAlign w:val="bottom"/>
            <w:tcBorders>
              <w:bottom w:val="single" w:sz="8" w:color="0000FF"/>
            </w:tcBorders>
            <w:gridSpan w:val="9"/>
          </w:tcPr>
          <w:p>
            <w:pPr>
              <w:spacing w:after="0" w:line="15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herein by reference to Exhibit 3.1 to the registrant's Current Report on Form 8</w:t>
              </w:r>
            </w:hyperlink>
          </w:p>
        </w:tc>
        <w:tc>
          <w:tcPr>
            <w:tcW w:w="2500" w:type="dxa"/>
            <w:vAlign w:val="bottom"/>
            <w:tcBorders>
              <w:bottom w:val="single" w:sz="8" w:color="0000FF"/>
            </w:tcBorders>
            <w:gridSpan w:val="3"/>
          </w:tcPr>
          <w:p>
            <w:pPr>
              <w:spacing w:after="0" w:line="15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-K dated as of February 23, 2023.)</w:t>
              </w:r>
            </w:hyperlink>
          </w:p>
        </w:tc>
        <w:tc>
          <w:tcPr>
            <w:tcW w:w="600" w:type="dxa"/>
            <w:vAlign w:val="bottom"/>
            <w:gridSpan w:val="11"/>
          </w:tcPr>
          <w:p>
            <w:pPr>
              <w:spacing w:after="0"/>
              <w:rPr>
                <w:sz w:val="13"/>
                <w:szCs w:val="13"/>
                <w:color w:val="auto"/>
              </w:rPr>
            </w:pPr>
          </w:p>
        </w:tc>
      </w:tr>
      <w:tr>
        <w:trPr>
          <w:trHeight w:val="277"/>
        </w:trPr>
        <w:tc>
          <w:tcPr>
            <w:tcW w:w="1080" w:type="dxa"/>
            <w:vAlign w:val="bottom"/>
          </w:tcPr>
          <w:p>
            <w:pPr>
              <w:jc w:val="center"/>
              <w:ind w:right="90"/>
              <w:spacing w:after="0"/>
              <w:rPr>
                <w:sz w:val="20"/>
                <w:szCs w:val="20"/>
                <w:color w:val="auto"/>
              </w:rPr>
            </w:pPr>
            <w:r>
              <w:rPr>
                <w:rFonts w:ascii="Arial" w:cs="Arial" w:eastAsia="Arial" w:hAnsi="Arial"/>
                <w:sz w:val="18"/>
                <w:szCs w:val="18"/>
                <w:color w:val="auto"/>
                <w:w w:val="87"/>
              </w:rPr>
              <w:t>3.5</w:t>
            </w:r>
          </w:p>
        </w:tc>
        <w:tc>
          <w:tcPr>
            <w:tcW w:w="8720" w:type="dxa"/>
            <w:vAlign w:val="bottom"/>
            <w:gridSpan w:val="23"/>
          </w:tcPr>
          <w:p>
            <w:pPr>
              <w:spacing w:after="0"/>
              <w:rPr>
                <w:rFonts w:ascii="Arial" w:cs="Arial" w:eastAsia="Arial" w:hAnsi="Arial"/>
                <w:sz w:val="18"/>
                <w:szCs w:val="18"/>
                <w:color w:val="0000FF"/>
                <w:w w:val="96"/>
              </w:rPr>
            </w:pPr>
            <w:hyperlink r:id="rId60">
              <w:r>
                <w:rPr>
                  <w:rFonts w:ascii="Arial" w:cs="Arial" w:eastAsia="Arial" w:hAnsi="Arial"/>
                  <w:sz w:val="18"/>
                  <w:szCs w:val="18"/>
                  <w:color w:val="0000FF"/>
                  <w:w w:val="96"/>
                </w:rPr>
                <w:t>Amended and Restated Bylaws of the registrant (incorporated herein by reference to Exhibit 3.2 to the registrant's</w:t>
              </w:r>
            </w:hyperlink>
          </w:p>
        </w:tc>
      </w:tr>
      <w:tr>
        <w:trPr>
          <w:trHeight w:val="156"/>
        </w:trPr>
        <w:tc>
          <w:tcPr>
            <w:tcW w:w="108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Current Report on Form 8-K dated as of February 23, 2023.)</w:t>
              </w:r>
            </w:hyperlink>
          </w:p>
        </w:tc>
        <w:tc>
          <w:tcPr>
            <w:tcW w:w="420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080" w:type="dxa"/>
            <w:vAlign w:val="bottom"/>
          </w:tcPr>
          <w:p>
            <w:pPr>
              <w:jc w:val="center"/>
              <w:ind w:right="90"/>
              <w:spacing w:after="0"/>
              <w:rPr>
                <w:sz w:val="20"/>
                <w:szCs w:val="20"/>
                <w:color w:val="auto"/>
              </w:rPr>
            </w:pPr>
            <w:r>
              <w:rPr>
                <w:rFonts w:ascii="Arial" w:cs="Arial" w:eastAsia="Arial" w:hAnsi="Arial"/>
                <w:sz w:val="18"/>
                <w:szCs w:val="18"/>
                <w:color w:val="auto"/>
                <w:w w:val="87"/>
              </w:rPr>
              <w:t>3.6</w:t>
            </w:r>
          </w:p>
        </w:tc>
        <w:tc>
          <w:tcPr>
            <w:tcW w:w="8720" w:type="dxa"/>
            <w:vAlign w:val="bottom"/>
            <w:gridSpan w:val="23"/>
          </w:tcPr>
          <w:p>
            <w:pPr>
              <w:spacing w:after="0"/>
              <w:rPr>
                <w:rFonts w:ascii="Arial" w:cs="Arial" w:eastAsia="Arial" w:hAnsi="Arial"/>
                <w:sz w:val="18"/>
                <w:szCs w:val="18"/>
                <w:color w:val="0000FF"/>
              </w:rPr>
            </w:pPr>
            <w:hyperlink r:id="rId61">
              <w:r>
                <w:rPr>
                  <w:rFonts w:ascii="Arial" w:cs="Arial" w:eastAsia="Arial" w:hAnsi="Arial"/>
                  <w:sz w:val="18"/>
                  <w:szCs w:val="18"/>
                  <w:color w:val="0000FF"/>
                </w:rPr>
                <w:t>Certificate of Designations of Series D Preferred Stock of the registrant (incorporated herein by reference to</w:t>
              </w:r>
            </w:hyperlink>
          </w:p>
        </w:tc>
      </w:tr>
      <w:tr>
        <w:trPr>
          <w:trHeight w:val="156"/>
        </w:trPr>
        <w:tc>
          <w:tcPr>
            <w:tcW w:w="1080" w:type="dxa"/>
            <w:vAlign w:val="bottom"/>
          </w:tcPr>
          <w:p>
            <w:pPr>
              <w:spacing w:after="0"/>
              <w:rPr>
                <w:sz w:val="13"/>
                <w:szCs w:val="13"/>
                <w:color w:val="auto"/>
              </w:rPr>
            </w:pPr>
          </w:p>
        </w:tc>
        <w:tc>
          <w:tcPr>
            <w:tcW w:w="63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Exhibit 3.1 to the registrant's Current Report on Form 8-K dated as of March 29, 2017.)</w:t>
              </w:r>
            </w:hyperlink>
          </w:p>
        </w:tc>
        <w:tc>
          <w:tcPr>
            <w:tcW w:w="236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080" w:type="dxa"/>
            <w:vAlign w:val="bottom"/>
          </w:tcPr>
          <w:p>
            <w:pPr>
              <w:jc w:val="center"/>
              <w:ind w:right="90"/>
              <w:spacing w:after="0"/>
              <w:rPr>
                <w:sz w:val="20"/>
                <w:szCs w:val="20"/>
                <w:color w:val="auto"/>
              </w:rPr>
            </w:pPr>
            <w:r>
              <w:rPr>
                <w:rFonts w:ascii="Arial" w:cs="Arial" w:eastAsia="Arial" w:hAnsi="Arial"/>
                <w:sz w:val="18"/>
                <w:szCs w:val="18"/>
                <w:color w:val="auto"/>
                <w:w w:val="87"/>
              </w:rPr>
              <w:t>4.1</w:t>
            </w:r>
          </w:p>
        </w:tc>
        <w:tc>
          <w:tcPr>
            <w:tcW w:w="8720" w:type="dxa"/>
            <w:vAlign w:val="bottom"/>
            <w:gridSpan w:val="23"/>
          </w:tcPr>
          <w:p>
            <w:pPr>
              <w:spacing w:after="0"/>
              <w:rPr>
                <w:rFonts w:ascii="Arial" w:cs="Arial" w:eastAsia="Arial" w:hAnsi="Arial"/>
                <w:sz w:val="18"/>
                <w:szCs w:val="18"/>
                <w:color w:val="0000FF"/>
                <w:w w:val="97"/>
              </w:rPr>
            </w:pPr>
            <w:hyperlink r:id="rId62">
              <w:r>
                <w:rPr>
                  <w:rFonts w:ascii="Arial" w:cs="Arial" w:eastAsia="Arial" w:hAnsi="Arial"/>
                  <w:sz w:val="18"/>
                  <w:szCs w:val="18"/>
                  <w:color w:val="0000FF"/>
                  <w:w w:val="97"/>
                </w:rPr>
                <w:t>Form of Certificate evidencing Common Stock (incorporated herein by reference to Exhibit 4.6 to the registrant's</w:t>
              </w:r>
            </w:hyperlink>
          </w:p>
        </w:tc>
      </w:tr>
      <w:tr>
        <w:trPr>
          <w:trHeight w:val="156"/>
        </w:trPr>
        <w:tc>
          <w:tcPr>
            <w:tcW w:w="108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r:id="rId62">
              <w:r>
                <w:rPr>
                  <w:rFonts w:ascii="Arial" w:cs="Arial" w:eastAsia="Arial" w:hAnsi="Arial"/>
                  <w:sz w:val="18"/>
                  <w:szCs w:val="18"/>
                  <w:color w:val="0000FF"/>
                  <w:w w:val="89"/>
                </w:rPr>
                <w:t>Registration Statement on Form S-8 dated as of June 7, 2023.)</w:t>
              </w:r>
            </w:hyperlink>
          </w:p>
        </w:tc>
        <w:tc>
          <w:tcPr>
            <w:tcW w:w="40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77"/>
        </w:trPr>
        <w:tc>
          <w:tcPr>
            <w:tcW w:w="1080" w:type="dxa"/>
            <w:vAlign w:val="bottom"/>
          </w:tcPr>
          <w:p>
            <w:pPr>
              <w:jc w:val="center"/>
              <w:ind w:right="90"/>
              <w:spacing w:after="0"/>
              <w:rPr>
                <w:sz w:val="20"/>
                <w:szCs w:val="20"/>
                <w:color w:val="auto"/>
              </w:rPr>
            </w:pPr>
            <w:r>
              <w:rPr>
                <w:rFonts w:ascii="Arial" w:cs="Arial" w:eastAsia="Arial" w:hAnsi="Arial"/>
                <w:sz w:val="18"/>
                <w:szCs w:val="18"/>
                <w:color w:val="auto"/>
                <w:w w:val="87"/>
              </w:rPr>
              <w:t>4.2</w:t>
            </w:r>
          </w:p>
        </w:tc>
        <w:tc>
          <w:tcPr>
            <w:tcW w:w="8720" w:type="dxa"/>
            <w:vAlign w:val="bottom"/>
            <w:gridSpan w:val="23"/>
          </w:tcPr>
          <w:p>
            <w:pPr>
              <w:spacing w:after="0"/>
              <w:rPr>
                <w:rFonts w:ascii="Arial" w:cs="Arial" w:eastAsia="Arial" w:hAnsi="Arial"/>
                <w:sz w:val="18"/>
                <w:szCs w:val="18"/>
                <w:color w:val="0000FF"/>
                <w:w w:val="93"/>
              </w:rPr>
            </w:pPr>
            <w:hyperlink r:id="rId63">
              <w:r>
                <w:rPr>
                  <w:rFonts w:ascii="Arial" w:cs="Arial" w:eastAsia="Arial" w:hAnsi="Arial"/>
                  <w:sz w:val="18"/>
                  <w:szCs w:val="18"/>
                  <w:color w:val="0000FF"/>
                  <w:w w:val="93"/>
                </w:rPr>
                <w:t>Indenture, dated as of February 17, 2021, by and between Radiant Funding SPV, LLC and Truist Bank (incorporated</w:t>
              </w:r>
            </w:hyperlink>
          </w:p>
        </w:tc>
      </w:tr>
      <w:tr>
        <w:trPr>
          <w:trHeight w:val="156"/>
        </w:trPr>
        <w:tc>
          <w:tcPr>
            <w:tcW w:w="1080" w:type="dxa"/>
            <w:vAlign w:val="bottom"/>
          </w:tcPr>
          <w:p>
            <w:pPr>
              <w:spacing w:after="0"/>
              <w:rPr>
                <w:sz w:val="13"/>
                <w:szCs w:val="13"/>
                <w:color w:val="auto"/>
              </w:rPr>
            </w:pPr>
          </w:p>
        </w:tc>
        <w:tc>
          <w:tcPr>
            <w:tcW w:w="81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herein by reference to Exhibit 4.1 to the registrant's Current Report on Form 8-K dated as of February 17, 2021.)</w:t>
              </w:r>
            </w:hyperlink>
          </w:p>
        </w:tc>
        <w:tc>
          <w:tcPr>
            <w:tcW w:w="42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77"/>
        </w:trPr>
        <w:tc>
          <w:tcPr>
            <w:tcW w:w="1080" w:type="dxa"/>
            <w:vAlign w:val="bottom"/>
          </w:tcPr>
          <w:p>
            <w:pPr>
              <w:jc w:val="center"/>
              <w:ind w:right="90"/>
              <w:spacing w:after="0"/>
              <w:rPr>
                <w:sz w:val="20"/>
                <w:szCs w:val="20"/>
                <w:color w:val="auto"/>
              </w:rPr>
            </w:pPr>
            <w:r>
              <w:rPr>
                <w:rFonts w:ascii="Arial" w:cs="Arial" w:eastAsia="Arial" w:hAnsi="Arial"/>
                <w:sz w:val="18"/>
                <w:szCs w:val="18"/>
                <w:color w:val="auto"/>
                <w:w w:val="87"/>
              </w:rPr>
              <w:t>4.3</w:t>
            </w:r>
          </w:p>
        </w:tc>
        <w:tc>
          <w:tcPr>
            <w:tcW w:w="8720" w:type="dxa"/>
            <w:vAlign w:val="bottom"/>
            <w:gridSpan w:val="23"/>
          </w:tcPr>
          <w:p>
            <w:pPr>
              <w:spacing w:after="0"/>
              <w:rPr>
                <w:rFonts w:ascii="Arial" w:cs="Arial" w:eastAsia="Arial" w:hAnsi="Arial"/>
                <w:sz w:val="18"/>
                <w:szCs w:val="18"/>
                <w:color w:val="0000FF"/>
                <w:w w:val="98"/>
              </w:rPr>
            </w:pPr>
            <w:hyperlink r:id="rId64">
              <w:r>
                <w:rPr>
                  <w:rFonts w:ascii="Arial" w:cs="Arial" w:eastAsia="Arial" w:hAnsi="Arial"/>
                  <w:sz w:val="18"/>
                  <w:szCs w:val="18"/>
                  <w:color w:val="0000FF"/>
                  <w:w w:val="98"/>
                </w:rPr>
                <w:t>Description of the registrant’s Common Stock (incorporated herein by reference to Exhibit 4.3 to the registrant’s</w:t>
              </w:r>
            </w:hyperlink>
          </w:p>
        </w:tc>
      </w:tr>
      <w:tr>
        <w:trPr>
          <w:trHeight w:val="156"/>
        </w:trPr>
        <w:tc>
          <w:tcPr>
            <w:tcW w:w="108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Annual Report on Form 10-K for the year ended December 31, 2020.)</w:t>
              </w:r>
            </w:hyperlink>
          </w:p>
        </w:tc>
        <w:tc>
          <w:tcPr>
            <w:tcW w:w="3560" w:type="dxa"/>
            <w:vAlign w:val="bottom"/>
            <w:tcBorders>
              <w:top w:val="single" w:sz="8" w:color="0000FF"/>
            </w:tcBorders>
            <w:gridSpan w:val="11"/>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77"/>
        </w:trPr>
        <w:tc>
          <w:tcPr>
            <w:tcW w:w="1080" w:type="dxa"/>
            <w:vAlign w:val="bottom"/>
          </w:tcPr>
          <w:p>
            <w:pPr>
              <w:jc w:val="center"/>
              <w:ind w:right="90"/>
              <w:spacing w:after="0"/>
              <w:rPr>
                <w:sz w:val="20"/>
                <w:szCs w:val="20"/>
                <w:color w:val="auto"/>
              </w:rPr>
            </w:pPr>
            <w:r>
              <w:rPr>
                <w:rFonts w:ascii="Arial" w:cs="Arial" w:eastAsia="Arial" w:hAnsi="Arial"/>
                <w:sz w:val="18"/>
                <w:szCs w:val="18"/>
                <w:color w:val="auto"/>
                <w:w w:val="99"/>
              </w:rPr>
              <w:t>31.1*</w:t>
            </w:r>
          </w:p>
        </w:tc>
        <w:tc>
          <w:tcPr>
            <w:tcW w:w="8720" w:type="dxa"/>
            <w:vAlign w:val="bottom"/>
            <w:gridSpan w:val="23"/>
          </w:tcPr>
          <w:p>
            <w:pPr>
              <w:spacing w:after="0"/>
              <w:rPr>
                <w:sz w:val="20"/>
                <w:szCs w:val="20"/>
                <w:color w:val="auto"/>
              </w:rPr>
            </w:pPr>
            <w:r>
              <w:rPr>
                <w:rFonts w:ascii="Arial" w:cs="Arial" w:eastAsia="Arial" w:hAnsi="Arial"/>
                <w:sz w:val="18"/>
                <w:szCs w:val="18"/>
                <w:color w:val="0000FF"/>
                <w:w w:val="97"/>
              </w:rPr>
              <w:t>Certification pursuant to Rule 13a-14(a) of the Securities Exchange Act of 1934 implementing Section 302 of the</w:t>
            </w:r>
          </w:p>
        </w:tc>
      </w:tr>
      <w:tr>
        <w:trPr>
          <w:trHeight w:val="156"/>
        </w:trPr>
        <w:tc>
          <w:tcPr>
            <w:tcW w:w="1080" w:type="dxa"/>
            <w:vAlign w:val="bottom"/>
          </w:tcPr>
          <w:p>
            <w:pPr>
              <w:spacing w:after="0"/>
              <w:rPr>
                <w:sz w:val="13"/>
                <w:szCs w:val="13"/>
                <w:color w:val="auto"/>
              </w:rPr>
            </w:pPr>
          </w:p>
        </w:tc>
        <w:tc>
          <w:tcPr>
            <w:tcW w:w="8600" w:type="dxa"/>
            <w:vAlign w:val="bottom"/>
            <w:tcBorders>
              <w:top w:val="single" w:sz="8" w:color="0000FF"/>
            </w:tcBorders>
            <w:gridSpan w:val="17"/>
          </w:tcPr>
          <w:p>
            <w:pPr>
              <w:spacing w:after="0" w:line="156" w:lineRule="exact"/>
              <w:rPr>
                <w:sz w:val="20"/>
                <w:szCs w:val="20"/>
                <w:color w:val="auto"/>
              </w:rPr>
            </w:pPr>
            <w:r>
              <w:rPr>
                <w:rFonts w:ascii="Arial" w:cs="Arial" w:eastAsia="Arial" w:hAnsi="Arial"/>
                <w:sz w:val="18"/>
                <w:szCs w:val="18"/>
                <w:color w:val="0000FF"/>
              </w:rPr>
              <w:t>Sarbanes-Oxley Act of 2002 by Mitchell E. Fadel</w:t>
            </w:r>
          </w:p>
        </w:tc>
        <w:tc>
          <w:tcPr>
            <w:tcW w:w="120" w:type="dxa"/>
            <w:vAlign w:val="bottom"/>
            <w:gridSpan w:val="6"/>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000" w:type="dxa"/>
            <w:vAlign w:val="bottom"/>
            <w:tcBorders>
              <w:left w:val="single" w:sz="8" w:color="0000FF"/>
            </w:tcBorders>
            <w:gridSpan w:val="11"/>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77"/>
        </w:trPr>
        <w:tc>
          <w:tcPr>
            <w:tcW w:w="1080" w:type="dxa"/>
            <w:vAlign w:val="bottom"/>
          </w:tcPr>
          <w:p>
            <w:pPr>
              <w:jc w:val="center"/>
              <w:ind w:right="90"/>
              <w:spacing w:after="0"/>
              <w:rPr>
                <w:sz w:val="20"/>
                <w:szCs w:val="20"/>
                <w:color w:val="auto"/>
              </w:rPr>
            </w:pPr>
            <w:r>
              <w:rPr>
                <w:rFonts w:ascii="Arial" w:cs="Arial" w:eastAsia="Arial" w:hAnsi="Arial"/>
                <w:sz w:val="18"/>
                <w:szCs w:val="18"/>
                <w:color w:val="auto"/>
                <w:w w:val="99"/>
              </w:rPr>
              <w:t>31.2*</w:t>
            </w:r>
          </w:p>
        </w:tc>
        <w:tc>
          <w:tcPr>
            <w:tcW w:w="8720" w:type="dxa"/>
            <w:vAlign w:val="bottom"/>
            <w:gridSpan w:val="23"/>
          </w:tcPr>
          <w:p>
            <w:pPr>
              <w:spacing w:after="0"/>
              <w:rPr>
                <w:sz w:val="20"/>
                <w:szCs w:val="20"/>
                <w:color w:val="auto"/>
              </w:rPr>
            </w:pPr>
            <w:r>
              <w:rPr>
                <w:rFonts w:ascii="Arial" w:cs="Arial" w:eastAsia="Arial" w:hAnsi="Arial"/>
                <w:sz w:val="18"/>
                <w:szCs w:val="18"/>
                <w:color w:val="0000FF"/>
                <w:w w:val="97"/>
              </w:rPr>
              <w:t>Certification pursuant to Rule 13a-14(a) of the Securities Exchange Act of 1934 implementing Section 302 of the</w:t>
            </w:r>
          </w:p>
        </w:tc>
      </w:tr>
      <w:tr>
        <w:trPr>
          <w:trHeight w:val="155"/>
        </w:trPr>
        <w:tc>
          <w:tcPr>
            <w:tcW w:w="1080" w:type="dxa"/>
            <w:vAlign w:val="bottom"/>
          </w:tcPr>
          <w:p>
            <w:pPr>
              <w:spacing w:after="0"/>
              <w:rPr>
                <w:sz w:val="13"/>
                <w:szCs w:val="13"/>
                <w:color w:val="auto"/>
              </w:rPr>
            </w:pPr>
          </w:p>
        </w:tc>
        <w:tc>
          <w:tcPr>
            <w:tcW w:w="8600" w:type="dxa"/>
            <w:vAlign w:val="bottom"/>
            <w:tcBorders>
              <w:top w:val="single" w:sz="8" w:color="0000FF"/>
            </w:tcBorders>
            <w:gridSpan w:val="17"/>
          </w:tcPr>
          <w:p>
            <w:pPr>
              <w:spacing w:after="0" w:line="156" w:lineRule="exact"/>
              <w:rPr>
                <w:sz w:val="20"/>
                <w:szCs w:val="20"/>
                <w:color w:val="auto"/>
              </w:rPr>
            </w:pPr>
            <w:r>
              <w:rPr>
                <w:rFonts w:ascii="Arial" w:cs="Arial" w:eastAsia="Arial" w:hAnsi="Arial"/>
                <w:sz w:val="18"/>
                <w:szCs w:val="18"/>
                <w:color w:val="0000FF"/>
              </w:rPr>
              <w:t>Sarbanes-Oxley Act of 2002 by Fahmi W. Karam</w:t>
            </w:r>
          </w:p>
        </w:tc>
        <w:tc>
          <w:tcPr>
            <w:tcW w:w="120" w:type="dxa"/>
            <w:vAlign w:val="bottom"/>
            <w:gridSpan w:val="6"/>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000" w:type="dxa"/>
            <w:vAlign w:val="bottom"/>
            <w:gridSpan w:val="11"/>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77"/>
        </w:trPr>
        <w:tc>
          <w:tcPr>
            <w:tcW w:w="1080" w:type="dxa"/>
            <w:vAlign w:val="bottom"/>
          </w:tcPr>
          <w:p>
            <w:pPr>
              <w:jc w:val="center"/>
              <w:ind w:right="90"/>
              <w:spacing w:after="0"/>
              <w:rPr>
                <w:sz w:val="20"/>
                <w:szCs w:val="20"/>
                <w:color w:val="auto"/>
              </w:rPr>
            </w:pPr>
            <w:r>
              <w:rPr>
                <w:rFonts w:ascii="Arial" w:cs="Arial" w:eastAsia="Arial" w:hAnsi="Arial"/>
                <w:sz w:val="18"/>
                <w:szCs w:val="18"/>
                <w:color w:val="auto"/>
                <w:w w:val="99"/>
              </w:rPr>
              <w:t>32.1*</w:t>
            </w:r>
          </w:p>
        </w:tc>
        <w:tc>
          <w:tcPr>
            <w:tcW w:w="8720" w:type="dxa"/>
            <w:vAlign w:val="bottom"/>
            <w:gridSpan w:val="23"/>
          </w:tcPr>
          <w:p>
            <w:pPr>
              <w:spacing w:after="0"/>
              <w:rPr>
                <w:sz w:val="20"/>
                <w:szCs w:val="20"/>
                <w:color w:val="auto"/>
              </w:rPr>
            </w:pPr>
            <w:r>
              <w:rPr>
                <w:rFonts w:ascii="Arial" w:cs="Arial" w:eastAsia="Arial" w:hAnsi="Arial"/>
                <w:sz w:val="18"/>
                <w:szCs w:val="18"/>
                <w:color w:val="0000FF"/>
                <w:w w:val="95"/>
              </w:rPr>
              <w:t>Certification pursuant to 18 U.S.C. Section 1350 as adopted pursuant to Section 906 of the Sarbanes-Oxley Act of</w:t>
            </w:r>
          </w:p>
        </w:tc>
      </w:tr>
      <w:tr>
        <w:trPr>
          <w:trHeight w:val="155"/>
        </w:trPr>
        <w:tc>
          <w:tcPr>
            <w:tcW w:w="108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3"/>
              </w:rPr>
              <w:t>2002 by Mitchell E. Fadel</w:t>
            </w:r>
          </w:p>
        </w:tc>
        <w:tc>
          <w:tcPr>
            <w:tcW w:w="6660" w:type="dxa"/>
            <w:vAlign w:val="bottom"/>
            <w:tcBorders>
              <w:top w:val="single" w:sz="8" w:color="0000FF"/>
            </w:tcBorders>
            <w:gridSpan w:val="1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77"/>
        </w:trPr>
        <w:tc>
          <w:tcPr>
            <w:tcW w:w="1080" w:type="dxa"/>
            <w:vAlign w:val="bottom"/>
          </w:tcPr>
          <w:p>
            <w:pPr>
              <w:jc w:val="center"/>
              <w:ind w:right="90"/>
              <w:spacing w:after="0"/>
              <w:rPr>
                <w:sz w:val="20"/>
                <w:szCs w:val="20"/>
                <w:color w:val="auto"/>
              </w:rPr>
            </w:pPr>
            <w:r>
              <w:rPr>
                <w:rFonts w:ascii="Arial" w:cs="Arial" w:eastAsia="Arial" w:hAnsi="Arial"/>
                <w:sz w:val="18"/>
                <w:szCs w:val="18"/>
                <w:color w:val="auto"/>
                <w:w w:val="99"/>
              </w:rPr>
              <w:t>32.2*</w:t>
            </w:r>
          </w:p>
        </w:tc>
        <w:tc>
          <w:tcPr>
            <w:tcW w:w="8720" w:type="dxa"/>
            <w:vAlign w:val="bottom"/>
            <w:gridSpan w:val="23"/>
          </w:tcPr>
          <w:p>
            <w:pPr>
              <w:spacing w:after="0"/>
              <w:rPr>
                <w:sz w:val="20"/>
                <w:szCs w:val="20"/>
                <w:color w:val="auto"/>
              </w:rPr>
            </w:pPr>
            <w:r>
              <w:rPr>
                <w:rFonts w:ascii="Arial" w:cs="Arial" w:eastAsia="Arial" w:hAnsi="Arial"/>
                <w:sz w:val="18"/>
                <w:szCs w:val="18"/>
                <w:color w:val="0000FF"/>
                <w:w w:val="95"/>
              </w:rPr>
              <w:t>Certification pursuant to 18 U.S.C. Section 1350 as adopted pursuant to Section 906 of the Sarbanes-Oxley Act of</w:t>
            </w:r>
          </w:p>
        </w:tc>
      </w:tr>
      <w:tr>
        <w:trPr>
          <w:trHeight w:val="155"/>
        </w:trPr>
        <w:tc>
          <w:tcPr>
            <w:tcW w:w="108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1"/>
              </w:rPr>
              <w:t>2002 by Fahmi W. Karam</w:t>
            </w:r>
          </w:p>
        </w:tc>
        <w:tc>
          <w:tcPr>
            <w:tcW w:w="6680" w:type="dxa"/>
            <w:vAlign w:val="bottom"/>
            <w:tcBorders>
              <w:top w:val="single" w:sz="8" w:color="0000FF"/>
            </w:tcBorders>
            <w:gridSpan w:val="13"/>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63"/>
        </w:trPr>
        <w:tc>
          <w:tcPr>
            <w:tcW w:w="1080" w:type="dxa"/>
            <w:vAlign w:val="bottom"/>
          </w:tcPr>
          <w:p>
            <w:pPr>
              <w:jc w:val="center"/>
              <w:ind w:right="90"/>
              <w:spacing w:after="0"/>
              <w:rPr>
                <w:sz w:val="20"/>
                <w:szCs w:val="20"/>
                <w:color w:val="auto"/>
              </w:rPr>
            </w:pPr>
            <w:r>
              <w:rPr>
                <w:rFonts w:ascii="Arial" w:cs="Arial" w:eastAsia="Arial" w:hAnsi="Arial"/>
                <w:sz w:val="18"/>
                <w:szCs w:val="18"/>
                <w:color w:val="auto"/>
                <w:w w:val="97"/>
              </w:rPr>
              <w:t>101.INS*</w:t>
            </w:r>
          </w:p>
        </w:tc>
        <w:tc>
          <w:tcPr>
            <w:tcW w:w="8720" w:type="dxa"/>
            <w:vAlign w:val="bottom"/>
            <w:gridSpan w:val="23"/>
          </w:tcPr>
          <w:p>
            <w:pPr>
              <w:spacing w:after="0"/>
              <w:rPr>
                <w:sz w:val="20"/>
                <w:szCs w:val="20"/>
                <w:color w:val="auto"/>
              </w:rPr>
            </w:pPr>
            <w:r>
              <w:rPr>
                <w:rFonts w:ascii="Arial" w:cs="Arial" w:eastAsia="Arial" w:hAnsi="Arial"/>
                <w:sz w:val="18"/>
                <w:szCs w:val="18"/>
                <w:color w:val="auto"/>
                <w:w w:val="95"/>
              </w:rPr>
              <w:t>XBRL Instance Document - The instance document does not appear in the interactive data files because its XBRL</w:t>
            </w:r>
          </w:p>
        </w:tc>
      </w:tr>
      <w:tr>
        <w:trPr>
          <w:trHeight w:val="230"/>
        </w:trPr>
        <w:tc>
          <w:tcPr>
            <w:tcW w:w="1080" w:type="dxa"/>
            <w:vAlign w:val="bottom"/>
          </w:tcPr>
          <w:p>
            <w:pPr>
              <w:spacing w:after="0"/>
              <w:rPr>
                <w:sz w:val="20"/>
                <w:szCs w:val="20"/>
                <w:color w:val="auto"/>
              </w:rPr>
            </w:pPr>
          </w:p>
        </w:tc>
        <w:tc>
          <w:tcPr>
            <w:tcW w:w="8720" w:type="dxa"/>
            <w:vAlign w:val="bottom"/>
            <w:gridSpan w:val="23"/>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296"/>
        </w:trPr>
        <w:tc>
          <w:tcPr>
            <w:tcW w:w="1080" w:type="dxa"/>
            <w:vAlign w:val="bottom"/>
          </w:tcPr>
          <w:p>
            <w:pPr>
              <w:jc w:val="center"/>
              <w:ind w:right="90"/>
              <w:spacing w:after="0"/>
              <w:rPr>
                <w:sz w:val="20"/>
                <w:szCs w:val="20"/>
                <w:color w:val="auto"/>
              </w:rPr>
            </w:pPr>
            <w:r>
              <w:rPr>
                <w:rFonts w:ascii="Arial" w:cs="Arial" w:eastAsia="Arial" w:hAnsi="Arial"/>
                <w:sz w:val="18"/>
                <w:szCs w:val="18"/>
                <w:color w:val="auto"/>
                <w:w w:val="92"/>
              </w:rPr>
              <w:t>101.SCH*</w:t>
            </w:r>
          </w:p>
        </w:tc>
        <w:tc>
          <w:tcPr>
            <w:tcW w:w="8720" w:type="dxa"/>
            <w:vAlign w:val="bottom"/>
            <w:gridSpan w:val="2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4"/>
        </w:trPr>
        <w:tc>
          <w:tcPr>
            <w:tcW w:w="1080" w:type="dxa"/>
            <w:vAlign w:val="bottom"/>
          </w:tcPr>
          <w:p>
            <w:pPr>
              <w:jc w:val="center"/>
              <w:ind w:right="90"/>
              <w:spacing w:after="0"/>
              <w:rPr>
                <w:sz w:val="20"/>
                <w:szCs w:val="20"/>
                <w:color w:val="auto"/>
              </w:rPr>
            </w:pPr>
            <w:r>
              <w:rPr>
                <w:rFonts w:ascii="Arial" w:cs="Arial" w:eastAsia="Arial" w:hAnsi="Arial"/>
                <w:sz w:val="18"/>
                <w:szCs w:val="18"/>
                <w:color w:val="auto"/>
              </w:rPr>
              <w:t>101.CAL*</w:t>
            </w:r>
          </w:p>
        </w:tc>
        <w:tc>
          <w:tcPr>
            <w:tcW w:w="8720" w:type="dxa"/>
            <w:vAlign w:val="bottom"/>
            <w:gridSpan w:val="2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1080" w:type="dxa"/>
            <w:vAlign w:val="bottom"/>
          </w:tcPr>
          <w:p>
            <w:pPr>
              <w:jc w:val="center"/>
              <w:ind w:right="90"/>
              <w:spacing w:after="0"/>
              <w:rPr>
                <w:sz w:val="20"/>
                <w:szCs w:val="20"/>
                <w:color w:val="auto"/>
              </w:rPr>
            </w:pPr>
            <w:r>
              <w:rPr>
                <w:rFonts w:ascii="Arial" w:cs="Arial" w:eastAsia="Arial" w:hAnsi="Arial"/>
                <w:sz w:val="18"/>
                <w:szCs w:val="18"/>
                <w:color w:val="auto"/>
                <w:w w:val="94"/>
              </w:rPr>
              <w:t>101.DEF*</w:t>
            </w:r>
          </w:p>
        </w:tc>
        <w:tc>
          <w:tcPr>
            <w:tcW w:w="8720" w:type="dxa"/>
            <w:vAlign w:val="bottom"/>
            <w:gridSpan w:val="2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1080" w:type="dxa"/>
            <w:vAlign w:val="bottom"/>
          </w:tcPr>
          <w:p>
            <w:pPr>
              <w:jc w:val="center"/>
              <w:ind w:right="90"/>
              <w:spacing w:after="0"/>
              <w:rPr>
                <w:sz w:val="20"/>
                <w:szCs w:val="20"/>
                <w:color w:val="auto"/>
              </w:rPr>
            </w:pPr>
            <w:r>
              <w:rPr>
                <w:rFonts w:ascii="Arial" w:cs="Arial" w:eastAsia="Arial" w:hAnsi="Arial"/>
                <w:sz w:val="18"/>
                <w:szCs w:val="18"/>
                <w:color w:val="auto"/>
              </w:rPr>
              <w:t>101.LAB*</w:t>
            </w:r>
          </w:p>
        </w:tc>
        <w:tc>
          <w:tcPr>
            <w:tcW w:w="8720" w:type="dxa"/>
            <w:vAlign w:val="bottom"/>
            <w:gridSpan w:val="2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4"/>
        </w:trPr>
        <w:tc>
          <w:tcPr>
            <w:tcW w:w="1080" w:type="dxa"/>
            <w:vAlign w:val="bottom"/>
          </w:tcPr>
          <w:p>
            <w:pPr>
              <w:jc w:val="center"/>
              <w:ind w:right="90"/>
              <w:spacing w:after="0"/>
              <w:rPr>
                <w:sz w:val="20"/>
                <w:szCs w:val="20"/>
                <w:color w:val="auto"/>
              </w:rPr>
            </w:pPr>
            <w:r>
              <w:rPr>
                <w:rFonts w:ascii="Arial" w:cs="Arial" w:eastAsia="Arial" w:hAnsi="Arial"/>
                <w:sz w:val="18"/>
                <w:szCs w:val="18"/>
                <w:color w:val="auto"/>
                <w:w w:val="93"/>
              </w:rPr>
              <w:t>101.PRE*</w:t>
            </w:r>
          </w:p>
        </w:tc>
        <w:tc>
          <w:tcPr>
            <w:tcW w:w="8720" w:type="dxa"/>
            <w:vAlign w:val="bottom"/>
            <w:gridSpan w:val="23"/>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3"/>
        </w:trPr>
        <w:tc>
          <w:tcPr>
            <w:tcW w:w="1080" w:type="dxa"/>
            <w:vAlign w:val="bottom"/>
          </w:tcPr>
          <w:p>
            <w:pPr>
              <w:jc w:val="center"/>
              <w:ind w:right="110"/>
              <w:spacing w:after="0"/>
              <w:rPr>
                <w:sz w:val="20"/>
                <w:szCs w:val="20"/>
                <w:color w:val="auto"/>
              </w:rPr>
            </w:pPr>
            <w:r>
              <w:rPr>
                <w:rFonts w:ascii="Arial" w:cs="Arial" w:eastAsia="Arial" w:hAnsi="Arial"/>
                <w:sz w:val="18"/>
                <w:szCs w:val="18"/>
                <w:color w:val="auto"/>
                <w:w w:val="97"/>
              </w:rPr>
              <w:t>104*</w:t>
            </w:r>
          </w:p>
        </w:tc>
        <w:tc>
          <w:tcPr>
            <w:tcW w:w="8720" w:type="dxa"/>
            <w:vAlign w:val="bottom"/>
            <w:gridSpan w:val="23"/>
          </w:tcPr>
          <w:p>
            <w:pPr>
              <w:spacing w:after="0"/>
              <w:rPr>
                <w:sz w:val="20"/>
                <w:szCs w:val="20"/>
                <w:color w:val="auto"/>
              </w:rPr>
            </w:pPr>
            <w:r>
              <w:rPr>
                <w:rFonts w:ascii="Arial" w:cs="Arial" w:eastAsia="Arial" w:hAnsi="Arial"/>
                <w:sz w:val="18"/>
                <w:szCs w:val="18"/>
                <w:color w:val="auto"/>
              </w:rPr>
              <w:t>Cover page Interactive Data File (embedded within the inline XBRL document contained in Exhibit 101)</w:t>
            </w:r>
          </w:p>
        </w:tc>
      </w:tr>
    </w:tbl>
    <w:p>
      <w:pPr>
        <w:spacing w:after="0" w:line="49"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4" w:right="1440"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UPBOUND GROUP, INC.</w:t>
      </w:r>
    </w:p>
    <w:p>
      <w:pPr>
        <w:spacing w:after="0" w:line="293" w:lineRule="exact"/>
        <w:rPr>
          <w:sz w:val="20"/>
          <w:szCs w:val="20"/>
          <w:color w:val="auto"/>
        </w:rPr>
      </w:pPr>
    </w:p>
    <w:p>
      <w:pPr>
        <w:ind w:left="6760"/>
        <w:spacing w:after="0"/>
        <w:tabs>
          <w:tab w:leader="none" w:pos="8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FAHMI W. KARAM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23495</wp:posOffset>
            </wp:positionV>
            <wp:extent cx="26403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0"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Fahmi W. Karam</w:t>
      </w:r>
    </w:p>
    <w:p>
      <w:pPr>
        <w:spacing w:after="0" w:line="23" w:lineRule="exact"/>
        <w:rPr>
          <w:sz w:val="20"/>
          <w:szCs w:val="20"/>
          <w:color w:val="auto"/>
        </w:rPr>
      </w:pPr>
    </w:p>
    <w:p>
      <w:pPr>
        <w:jc w:val="center"/>
        <w:ind w:left="6980"/>
        <w:spacing w:after="0"/>
        <w:rPr>
          <w:sz w:val="20"/>
          <w:szCs w:val="20"/>
          <w:color w:val="auto"/>
        </w:rPr>
      </w:pPr>
      <w:r>
        <w:rPr>
          <w:rFonts w:ascii="Arial" w:cs="Arial" w:eastAsia="Arial" w:hAnsi="Arial"/>
          <w:sz w:val="18"/>
          <w:szCs w:val="18"/>
          <w:i w:val="1"/>
          <w:iCs w:val="1"/>
          <w:color w:val="auto"/>
        </w:rPr>
        <w:t>EVP,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80"/>
          </w:cols>
          <w:pgMar w:left="320" w:top="1039" w:right="129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u w:val="single" w:color="auto"/>
          <w:color w:val="auto"/>
        </w:rPr>
        <w:t>Exhibit 31.1</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Mitchell E. Fadel, certify that:</w:t>
      </w:r>
    </w:p>
    <w:p>
      <w:pPr>
        <w:spacing w:after="0" w:line="225"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Upbound Group, Inc.;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jc w:val="both"/>
        <w:ind w:left="1300" w:hanging="644"/>
        <w:spacing w:after="0" w:line="263" w:lineRule="auto"/>
        <w:tabs>
          <w:tab w:leader="none" w:pos="12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1300" w:right="20" w:hanging="644"/>
        <w:spacing w:after="0" w:line="308" w:lineRule="auto"/>
        <w:tabs>
          <w:tab w:leader="none" w:pos="1297"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Mitchell E. Fadel</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Mitchell E. Fadel</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32"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u w:val="single" w:color="auto"/>
          <w:color w:val="auto"/>
        </w:rPr>
        <w:t>Exhibit 31.2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Fahmi W. Karam, certify that:</w:t>
      </w:r>
    </w:p>
    <w:p>
      <w:pPr>
        <w:spacing w:after="0" w:line="225"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Upbound Group, Inc.;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jc w:val="both"/>
        <w:ind w:left="1300" w:hanging="644"/>
        <w:spacing w:after="0" w:line="263" w:lineRule="auto"/>
        <w:tabs>
          <w:tab w:leader="none" w:pos="1297"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1300" w:right="20" w:hanging="644"/>
        <w:spacing w:after="0" w:line="308" w:lineRule="auto"/>
        <w:tabs>
          <w:tab w:leader="none" w:pos="1297"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Fahmi W. Karam</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Fahmi W. Karam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Executive Vice President - Chief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3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u w:val="single" w:color="auto"/>
          <w:color w:val="auto"/>
        </w:rPr>
        <w:t>Exhibit 32.1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242" w:lineRule="exact"/>
        <w:rPr>
          <w:sz w:val="20"/>
          <w:szCs w:val="20"/>
          <w:color w:val="auto"/>
        </w:rPr>
      </w:pPr>
    </w:p>
    <w:p>
      <w:pPr>
        <w:jc w:val="both"/>
        <w:ind w:firstLine="328"/>
        <w:spacing w:after="0" w:line="265" w:lineRule="auto"/>
        <w:rPr>
          <w:sz w:val="20"/>
          <w:szCs w:val="20"/>
          <w:color w:val="auto"/>
        </w:rPr>
      </w:pPr>
      <w:r>
        <w:rPr>
          <w:rFonts w:ascii="Arial" w:cs="Arial" w:eastAsia="Arial" w:hAnsi="Arial"/>
          <w:sz w:val="21"/>
          <w:szCs w:val="21"/>
          <w:color w:val="auto"/>
        </w:rPr>
        <w:t>In connection with the Quarterly Report on Form 10-Q of Upbound Group,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for the period ended September 30, 2023, as filed with the Securities and Exchange Commission on the date hereof (the "</w:t>
      </w:r>
      <w:r>
        <w:rPr>
          <w:rFonts w:ascii="Arial" w:cs="Arial" w:eastAsia="Arial" w:hAnsi="Arial"/>
          <w:sz w:val="21"/>
          <w:szCs w:val="21"/>
          <w:b w:val="1"/>
          <w:bCs w:val="1"/>
          <w:i w:val="1"/>
          <w:iCs w:val="1"/>
          <w:color w:val="auto"/>
        </w:rPr>
        <w:t>Report</w:t>
      </w:r>
      <w:r>
        <w:rPr>
          <w:rFonts w:ascii="Arial" w:cs="Arial" w:eastAsia="Arial" w:hAnsi="Arial"/>
          <w:sz w:val="21"/>
          <w:szCs w:val="21"/>
          <w:color w:val="auto"/>
        </w:rPr>
        <w:t>"), I, Mitchell E. Fadel, Chief Executive Officer and Director of the Company, hereby certify, pursuant to 18 U.S.C. Section 1350, as adopted pursuant to Section 906 of the Sarbanes-Oxley Act of 2002, that, to the best of my knowledge:</w:t>
      </w:r>
    </w:p>
    <w:p>
      <w:pPr>
        <w:spacing w:after="0" w:line="216"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81" w:lineRule="exact"/>
        <w:rPr>
          <w:rFonts w:ascii="Arial" w:cs="Arial" w:eastAsia="Arial" w:hAnsi="Arial"/>
          <w:sz w:val="19"/>
          <w:szCs w:val="19"/>
          <w:color w:val="auto"/>
        </w:rPr>
      </w:pPr>
    </w:p>
    <w:p>
      <w:pPr>
        <w:ind w:left="660" w:hanging="652"/>
        <w:spacing w:after="0" w:line="263" w:lineRule="auto"/>
        <w:tabs>
          <w:tab w:leader="none" w:pos="633"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/s/ Mitchell E. Fadel</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Mitchell E. Fadel</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Chief Executive Officer and Director</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Dated: November 2, 2023</w:t>
      </w:r>
    </w:p>
    <w:p>
      <w:pPr>
        <w:spacing w:after="0" w:line="200" w:lineRule="exact"/>
        <w:rPr>
          <w:sz w:val="20"/>
          <w:szCs w:val="20"/>
          <w:color w:val="auto"/>
        </w:rPr>
      </w:pPr>
    </w:p>
    <w:p>
      <w:pPr>
        <w:spacing w:after="0" w:line="29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signed original of this written statement required by Section 906 has been provided to Upbound Group, Inc. and will be retained by Upbound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3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u w:val="single" w:color="auto"/>
          <w:color w:val="auto"/>
        </w:rPr>
        <w:t>Exhibit 32.2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242" w:lineRule="exact"/>
        <w:rPr>
          <w:sz w:val="20"/>
          <w:szCs w:val="20"/>
          <w:color w:val="auto"/>
        </w:rPr>
      </w:pPr>
    </w:p>
    <w:p>
      <w:pPr>
        <w:jc w:val="both"/>
        <w:ind w:firstLine="328"/>
        <w:spacing w:after="0" w:line="265" w:lineRule="auto"/>
        <w:rPr>
          <w:sz w:val="20"/>
          <w:szCs w:val="20"/>
          <w:color w:val="auto"/>
        </w:rPr>
      </w:pPr>
      <w:r>
        <w:rPr>
          <w:rFonts w:ascii="Arial" w:cs="Arial" w:eastAsia="Arial" w:hAnsi="Arial"/>
          <w:sz w:val="21"/>
          <w:szCs w:val="21"/>
          <w:color w:val="auto"/>
        </w:rPr>
        <w:t>In connection with the Quarterly Report on Form 10-Q of Upbound Group,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for the period ended September 30, 2023, as filed with the Securities and Exchange Commission on the date hereof (the "</w:t>
      </w:r>
      <w:r>
        <w:rPr>
          <w:rFonts w:ascii="Arial" w:cs="Arial" w:eastAsia="Arial" w:hAnsi="Arial"/>
          <w:sz w:val="21"/>
          <w:szCs w:val="21"/>
          <w:b w:val="1"/>
          <w:bCs w:val="1"/>
          <w:i w:val="1"/>
          <w:iCs w:val="1"/>
          <w:color w:val="auto"/>
        </w:rPr>
        <w:t>Report</w:t>
      </w:r>
      <w:r>
        <w:rPr>
          <w:rFonts w:ascii="Arial" w:cs="Arial" w:eastAsia="Arial" w:hAnsi="Arial"/>
          <w:sz w:val="21"/>
          <w:szCs w:val="21"/>
          <w:color w:val="auto"/>
        </w:rPr>
        <w:t>"), I, Fahmi W. Karam, Chief Financial Officer of the Company, hereby certify, pursuant to 18 U.S.C. Section 1350, as adopted pursuant to Section 906 of the Sarbanes-Oxley Act of 2002, that, to the best of my knowledge:</w:t>
      </w:r>
    </w:p>
    <w:p>
      <w:pPr>
        <w:spacing w:after="0" w:line="216"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81" w:lineRule="exact"/>
        <w:rPr>
          <w:rFonts w:ascii="Arial" w:cs="Arial" w:eastAsia="Arial" w:hAnsi="Arial"/>
          <w:sz w:val="19"/>
          <w:szCs w:val="19"/>
          <w:color w:val="auto"/>
        </w:rPr>
      </w:pPr>
    </w:p>
    <w:p>
      <w:pPr>
        <w:ind w:left="660" w:hanging="652"/>
        <w:spacing w:after="0" w:line="263" w:lineRule="auto"/>
        <w:tabs>
          <w:tab w:leader="none" w:pos="633"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/s/ Fahmi W. Karam</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Fahmi W. Karam</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Executive Vice President, Chief Financial Officer</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Dated: November 2, 2023</w:t>
      </w:r>
    </w:p>
    <w:p>
      <w:pPr>
        <w:spacing w:after="0" w:line="200" w:lineRule="exact"/>
        <w:rPr>
          <w:sz w:val="20"/>
          <w:szCs w:val="20"/>
          <w:color w:val="auto"/>
        </w:rPr>
      </w:pPr>
    </w:p>
    <w:p>
      <w:pPr>
        <w:spacing w:after="0" w:line="29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signed original of this written statement required by Section 906 has been provided to Upbound Group, Inc. and will be retained by Upbound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5"/>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5"/>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56" Type="http://schemas.openxmlformats.org/officeDocument/2006/relationships/hyperlink" Target="http://www.sec.gov/Archives/edgar/data/933036/000095013402016210/d02215exv3w1.txt" TargetMode="External"/><Relationship Id="rId57" Type="http://schemas.openxmlformats.org/officeDocument/2006/relationships/hyperlink" Target="http://www.sec.gov/Archives/edgar/data/933036/000095013404010948/d17068exv3w2.txt" TargetMode="External"/><Relationship Id="rId58" Type="http://schemas.openxmlformats.org/officeDocument/2006/relationships/hyperlink" Target="http://www.sec.gov/Archives/edgar/data/933036/000110465921078652/tm2119045d1_ex3-1.htm" TargetMode="External"/><Relationship Id="rId59" Type="http://schemas.openxmlformats.org/officeDocument/2006/relationships/hyperlink" Target="http://www.sec.gov/Archives/edgar/data/933036/000093303623000044/ex-31_certificateofamendme.htm" TargetMode="External"/><Relationship Id="rId60" Type="http://schemas.openxmlformats.org/officeDocument/2006/relationships/hyperlink" Target="http://www.sec.gov/Archives/edgar/data/933036/000093303623000044/ex-32rentxaxcenterxbylaw.htm" TargetMode="External"/><Relationship Id="rId61" Type="http://schemas.openxmlformats.org/officeDocument/2006/relationships/hyperlink" Target="http://www.sec.gov/Archives/edgar/data/933036/000093303617000022/exhibit31march282017america.htm" TargetMode="External"/><Relationship Id="rId62" Type="http://schemas.openxmlformats.org/officeDocument/2006/relationships/hyperlink" Target="http://www.sec.gov/Archives/edgar/data/933036/000110465923068936/tm2316186d1_ex4-6.htm" TargetMode="External"/><Relationship Id="rId63" Type="http://schemas.openxmlformats.org/officeDocument/2006/relationships/hyperlink" Target="http://www.sec.gov/Archives/edgar/data/933036/000110465921024846/tm216741d1_ex4-1.htm" TargetMode="External"/><Relationship Id="rId64" Type="http://schemas.openxmlformats.org/officeDocument/2006/relationships/hyperlink" Target="http://www.sec.gov/Archives/edgar/data/933036/000093303621000049/ex-43_q42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2023-11-02T13:00:19Z</dcterms:created>
  <dcterms:modified xsi:type="dcterms:W3CDTF">2023-11-02T13:00:19Z</dcterms:modified>
</cp:coreProperties>
</file>