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001-38047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Rent-A-Center,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84" w:right="339" w:bottom="1440" w:gutter="0" w:footer="0" w:header="0"/>
        </w:sectPr>
      </w:pPr>
    </w:p>
    <w:p>
      <w:pPr>
        <w:spacing w:after="0" w:line="30"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45-0491516</w:t>
      </w:r>
    </w:p>
    <w:p>
      <w:pPr>
        <w:spacing w:after="0" w:line="50" w:lineRule="exact"/>
        <w:rPr>
          <w:sz w:val="24"/>
          <w:szCs w:val="24"/>
          <w:color w:val="auto"/>
        </w:rPr>
      </w:pPr>
    </w:p>
    <w:p>
      <w:pPr>
        <w:sectPr>
          <w:pgSz w:w="11900" w:h="16838" w:orient="portrait"/>
          <w:cols w:equalWidth="0" w:num="2">
            <w:col w:w="7280" w:space="720"/>
            <w:col w:w="3240"/>
          </w:cols>
          <w:pgMar w:left="320" w:top="1084" w:right="339" w:bottom="1440" w:gutter="0" w:footer="0" w:header="0"/>
          <w:type w:val="continuous"/>
        </w:sect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spacing w:after="0" w:line="30"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38" w:lineRule="exact"/>
        <w:rPr>
          <w:sz w:val="24"/>
          <w:szCs w:val="24"/>
          <w:color w:val="auto"/>
        </w:rPr>
      </w:pPr>
    </w:p>
    <w:p>
      <w:pPr>
        <w:sectPr>
          <w:pgSz w:w="11900" w:h="16838" w:orient="portrait"/>
          <w:cols w:equalWidth="0" w:num="2">
            <w:col w:w="7140" w:space="720"/>
            <w:col w:w="3380"/>
          </w:cols>
          <w:pgMar w:left="320" w:top="1084"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5501 Headquarters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Plano, Texas 75024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972-801-1100</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084" w:right="339" w:bottom="1440" w:gutter="0" w:footer="0" w:header="0"/>
          <w:type w:val="continuous"/>
        </w:sectPr>
      </w:pPr>
    </w:p>
    <w:p>
      <w:pPr>
        <w:spacing w:after="0" w:line="50"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RCII</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The Nasdaq Stock Market</w:t>
      </w:r>
    </w:p>
    <w:p>
      <w:pPr>
        <w:spacing w:after="0" w:line="121" w:lineRule="exact"/>
        <w:rPr>
          <w:sz w:val="24"/>
          <w:szCs w:val="24"/>
          <w:color w:val="auto"/>
        </w:rPr>
      </w:pPr>
    </w:p>
    <w:p>
      <w:pPr>
        <w:sectPr>
          <w:pgSz w:w="11900" w:h="16838" w:orient="portrait"/>
          <w:cols w:equalWidth="0" w:num="3">
            <w:col w:w="4260" w:space="720"/>
            <w:col w:w="1620" w:space="720"/>
            <w:col w:w="3920"/>
          </w:cols>
          <w:pgMar w:left="320" w:top="1084" w:right="339" w:bottom="1440" w:gutter="0" w:footer="0" w:header="0"/>
          <w:type w:val="continuous"/>
        </w:sectPr>
      </w:pPr>
    </w:p>
    <w:p>
      <w:pPr>
        <w:ind w:right="3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84"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1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43"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w:t>
      </w:r>
    </w:p>
    <w:tbl>
      <w:tblPr>
        <w:tblLayout w:type="fixed"/>
        <w:tblInd w:w="0" w:type="dxa"/>
        <w:tblCellMar>
          <w:top w:w="0" w:type="dxa"/>
          <w:left w:w="0" w:type="dxa"/>
          <w:bottom w:w="0" w:type="dxa"/>
          <w:right w:w="0" w:type="dxa"/>
        </w:tblCellMar>
      </w:tblPr>
      <w:tr>
        <w:trPr>
          <w:trHeight w:val="254"/>
        </w:trPr>
        <w:tc>
          <w:tcPr>
            <w:tcW w:w="7700" w:type="dxa"/>
            <w:vAlign w:val="bottom"/>
          </w:tcPr>
          <w:p>
            <w:pPr>
              <w:ind w:left="2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3540" w:type="dxa"/>
            <w:vAlign w:val="bottom"/>
          </w:tcPr>
          <w:p>
            <w:pPr>
              <w:ind w:left="3120"/>
              <w:spacing w:after="0" w:line="161" w:lineRule="exact"/>
              <w:rPr>
                <w:sz w:val="20"/>
                <w:szCs w:val="20"/>
                <w:color w:val="auto"/>
              </w:rPr>
            </w:pPr>
            <w:r>
              <w:rPr>
                <w:rFonts w:ascii="MS PGothic" w:cs="MS PGothic" w:eastAsia="MS PGothic" w:hAnsi="MS PGothic"/>
                <w:sz w:val="16"/>
                <w:szCs w:val="16"/>
                <w:color w:val="auto"/>
              </w:rPr>
              <w:t>☐</w:t>
            </w:r>
          </w:p>
        </w:tc>
      </w:tr>
      <w:tr>
        <w:trPr>
          <w:trHeight w:val="207"/>
        </w:trPr>
        <w:tc>
          <w:tcPr>
            <w:tcW w:w="7700" w:type="dxa"/>
            <w:vAlign w:val="bottom"/>
          </w:tcPr>
          <w:p>
            <w:pPr>
              <w:spacing w:after="0"/>
              <w:rPr>
                <w:sz w:val="20"/>
                <w:szCs w:val="20"/>
                <w:color w:val="auto"/>
              </w:rPr>
            </w:pPr>
            <w:r>
              <w:rPr>
                <w:rFonts w:ascii="Arial" w:cs="Arial" w:eastAsia="Arial" w:hAnsi="Arial"/>
                <w:sz w:val="16"/>
                <w:szCs w:val="16"/>
                <w:color w:val="auto"/>
                <w:w w:val="96"/>
              </w:rPr>
              <w:t>Indicate by check mark whether the registrant is a shell company (as defined in Rule 12b-2 of the Exchange Act).</w:t>
            </w:r>
          </w:p>
        </w:tc>
        <w:tc>
          <w:tcPr>
            <w:tcW w:w="3540" w:type="dxa"/>
            <w:vAlign w:val="bottom"/>
          </w:tcPr>
          <w:p>
            <w:pPr>
              <w:spacing w:after="0"/>
              <w:rPr>
                <w:sz w:val="18"/>
                <w:szCs w:val="18"/>
                <w:color w:val="auto"/>
              </w:rPr>
            </w:pPr>
          </w:p>
        </w:tc>
      </w:tr>
      <w:tr>
        <w:trPr>
          <w:trHeight w:val="254"/>
        </w:trPr>
        <w:tc>
          <w:tcPr>
            <w:tcW w:w="770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3540" w:type="dxa"/>
            <w:vAlign w:val="bottom"/>
          </w:tcPr>
          <w:p>
            <w:pPr>
              <w:spacing w:after="0"/>
              <w:rPr>
                <w:sz w:val="22"/>
                <w:szCs w:val="22"/>
                <w:color w:val="auto"/>
              </w:rPr>
            </w:pPr>
          </w:p>
        </w:tc>
      </w:tr>
      <w:tr>
        <w:trPr>
          <w:trHeight w:val="279"/>
        </w:trPr>
        <w:tc>
          <w:tcPr>
            <w:tcW w:w="7700" w:type="dxa"/>
            <w:vAlign w:val="bottom"/>
          </w:tcPr>
          <w:p>
            <w:pPr>
              <w:spacing w:after="0"/>
              <w:rPr>
                <w:sz w:val="20"/>
                <w:szCs w:val="20"/>
                <w:color w:val="auto"/>
              </w:rPr>
            </w:pPr>
            <w:r>
              <w:rPr>
                <w:rFonts w:ascii="Arial" w:cs="Arial" w:eastAsia="Arial" w:hAnsi="Arial"/>
                <w:sz w:val="16"/>
                <w:szCs w:val="16"/>
                <w:color w:val="auto"/>
                <w:w w:val="96"/>
              </w:rPr>
              <w:t>Indicate the number of shares outstanding of each of the issuer’s classes of common stock, as of April 28, 2021:</w:t>
            </w:r>
          </w:p>
        </w:tc>
        <w:tc>
          <w:tcPr>
            <w:tcW w:w="3540" w:type="dxa"/>
            <w:vAlign w:val="bottom"/>
          </w:tcPr>
          <w:p>
            <w:pPr>
              <w:spacing w:after="0"/>
              <w:rPr>
                <w:sz w:val="24"/>
                <w:szCs w:val="24"/>
                <w:color w:val="auto"/>
              </w:rPr>
            </w:pPr>
          </w:p>
        </w:tc>
      </w:tr>
      <w:tr>
        <w:trPr>
          <w:trHeight w:val="230"/>
        </w:trPr>
        <w:tc>
          <w:tcPr>
            <w:tcW w:w="7700" w:type="dxa"/>
            <w:vAlign w:val="bottom"/>
          </w:tcPr>
          <w:p>
            <w:pPr>
              <w:ind w:left="2600"/>
              <w:spacing w:after="0"/>
              <w:rPr>
                <w:sz w:val="20"/>
                <w:szCs w:val="20"/>
                <w:color w:val="auto"/>
              </w:rPr>
            </w:pPr>
            <w:r>
              <w:rPr>
                <w:rFonts w:ascii="Arial" w:cs="Arial" w:eastAsia="Arial" w:hAnsi="Arial"/>
                <w:sz w:val="16"/>
                <w:szCs w:val="16"/>
                <w:color w:val="auto"/>
              </w:rPr>
              <w:t>Class</w:t>
            </w:r>
          </w:p>
        </w:tc>
        <w:tc>
          <w:tcPr>
            <w:tcW w:w="3540" w:type="dxa"/>
            <w:vAlign w:val="bottom"/>
          </w:tcPr>
          <w:p>
            <w:pPr>
              <w:jc w:val="center"/>
              <w:ind w:right="1979"/>
              <w:spacing w:after="0"/>
              <w:rPr>
                <w:sz w:val="20"/>
                <w:szCs w:val="20"/>
                <w:color w:val="auto"/>
              </w:rPr>
            </w:pPr>
            <w:r>
              <w:rPr>
                <w:rFonts w:ascii="Arial" w:cs="Arial" w:eastAsia="Arial" w:hAnsi="Arial"/>
                <w:sz w:val="16"/>
                <w:szCs w:val="16"/>
                <w:color w:val="auto"/>
                <w:w w:val="92"/>
              </w:rPr>
              <w:t>Outstanding</w:t>
            </w:r>
          </w:p>
        </w:tc>
      </w:tr>
      <w:tr>
        <w:trPr>
          <w:trHeight w:val="216"/>
        </w:trPr>
        <w:tc>
          <w:tcPr>
            <w:tcW w:w="7700" w:type="dxa"/>
            <w:vAlign w:val="bottom"/>
          </w:tcPr>
          <w:p>
            <w:pPr>
              <w:ind w:left="1780"/>
              <w:spacing w:after="0"/>
              <w:rPr>
                <w:sz w:val="20"/>
                <w:szCs w:val="20"/>
                <w:color w:val="auto"/>
              </w:rPr>
            </w:pPr>
            <w:r>
              <w:rPr>
                <w:rFonts w:ascii="Arial" w:cs="Arial" w:eastAsia="Arial" w:hAnsi="Arial"/>
                <w:sz w:val="16"/>
                <w:szCs w:val="16"/>
                <w:color w:val="auto"/>
              </w:rPr>
              <w:t>Common stock, $.01 par value</w:t>
            </w:r>
          </w:p>
        </w:tc>
        <w:tc>
          <w:tcPr>
            <w:tcW w:w="3540" w:type="dxa"/>
            <w:vAlign w:val="bottom"/>
          </w:tcPr>
          <w:p>
            <w:pPr>
              <w:jc w:val="right"/>
              <w:ind w:right="2359"/>
              <w:spacing w:after="0"/>
              <w:rPr>
                <w:sz w:val="20"/>
                <w:szCs w:val="20"/>
                <w:color w:val="auto"/>
              </w:rPr>
            </w:pPr>
            <w:r>
              <w:rPr>
                <w:rFonts w:ascii="Arial" w:cs="Arial" w:eastAsia="Arial" w:hAnsi="Arial"/>
                <w:sz w:val="16"/>
                <w:szCs w:val="16"/>
                <w:color w:val="auto"/>
              </w:rPr>
              <w:t>66,309,348</w:t>
            </w:r>
          </w:p>
        </w:tc>
      </w:tr>
      <w:tr>
        <w:trPr>
          <w:trHeight w:val="1363"/>
        </w:trPr>
        <w:tc>
          <w:tcPr>
            <w:tcW w:w="77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16"/>
        </w:trPr>
        <w:tc>
          <w:tcPr>
            <w:tcW w:w="900" w:type="dxa"/>
            <w:vAlign w:val="bottom"/>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440" w:type="dxa"/>
            <w:vAlign w:val="bottom"/>
          </w:tcPr>
          <w:p>
            <w:pPr>
              <w:ind w:left="20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2">
              <w:r>
                <w:rPr>
                  <w:rFonts w:ascii="Arial" w:cs="Arial" w:eastAsia="Arial" w:hAnsi="Arial"/>
                  <w:sz w:val="18"/>
                  <w:szCs w:val="18"/>
                  <w:color w:val="auto"/>
                </w:rPr>
                <w:t>Item 1.</w:t>
              </w:r>
            </w:hyperlink>
          </w:p>
        </w:tc>
        <w:tc>
          <w:tcPr>
            <w:tcW w:w="9440" w:type="dxa"/>
            <w:vAlign w:val="bottom"/>
          </w:tcPr>
          <w:p>
            <w:pPr>
              <w:ind w:left="200"/>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Financial Statements</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Condensed Consolidated Statements of Operations for the </w:t>
              </w:r>
            </w:hyperlink>
            <w:r>
              <w:rPr>
                <w:rFonts w:ascii="Arial" w:cs="Arial" w:eastAsia="Arial" w:hAnsi="Arial"/>
                <w:sz w:val="18"/>
                <w:szCs w:val="18"/>
                <w:color w:val="auto"/>
              </w:rPr>
              <w:t xml:space="preserve">three-month </w:t>
            </w:r>
            <w:hyperlink w:anchor="page3">
              <w:r>
                <w:rPr>
                  <w:rFonts w:ascii="Arial" w:cs="Arial" w:eastAsia="Arial" w:hAnsi="Arial"/>
                  <w:sz w:val="18"/>
                  <w:szCs w:val="18"/>
                  <w:color w:val="auto"/>
                </w:rPr>
                <w:t xml:space="preserve">periods ended </w:t>
              </w:r>
            </w:hyperlink>
            <w:r>
              <w:rPr>
                <w:rFonts w:ascii="Arial" w:cs="Arial" w:eastAsia="Arial" w:hAnsi="Arial"/>
                <w:sz w:val="18"/>
                <w:szCs w:val="18"/>
                <w:color w:val="auto"/>
              </w:rPr>
              <w:t xml:space="preserve">March 31, 2021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8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 xml:space="preserve">Condensed Consolidated Statements of Comprehensive Income for the </w:t>
              </w:r>
            </w:hyperlink>
            <w:r>
              <w:rPr>
                <w:rFonts w:ascii="Arial" w:cs="Arial" w:eastAsia="Arial" w:hAnsi="Arial"/>
                <w:sz w:val="18"/>
                <w:szCs w:val="18"/>
                <w:color w:val="auto"/>
                <w:w w:val="92"/>
              </w:rPr>
              <w:t xml:space="preserve">three-month </w:t>
            </w:r>
            <w:hyperlink w:anchor="page3">
              <w:r>
                <w:rPr>
                  <w:rFonts w:ascii="Arial" w:cs="Arial" w:eastAsia="Arial" w:hAnsi="Arial"/>
                  <w:sz w:val="18"/>
                  <w:szCs w:val="18"/>
                  <w:color w:val="auto"/>
                  <w:w w:val="92"/>
                </w:rPr>
                <w:t xml:space="preserve">periods ended </w:t>
              </w:r>
            </w:hyperlink>
            <w:r>
              <w:rPr>
                <w:rFonts w:ascii="Arial" w:cs="Arial" w:eastAsia="Arial" w:hAnsi="Arial"/>
                <w:sz w:val="18"/>
                <w:szCs w:val="18"/>
                <w:color w:val="auto"/>
                <w:w w:val="92"/>
              </w:rPr>
              <w:t xml:space="preserve">March 31, 2021 </w:t>
            </w:r>
            <w:hyperlink w:anchor="page3">
              <w:r>
                <w:rPr>
                  <w:rFonts w:ascii="Arial" w:cs="Arial" w:eastAsia="Arial" w:hAnsi="Arial"/>
                  <w:sz w:val="18"/>
                  <w:szCs w:val="18"/>
                  <w:color w:val="auto"/>
                  <w:w w:val="92"/>
                </w:rPr>
                <w:t xml:space="preserve">and </w:t>
              </w:r>
            </w:hyperlink>
            <w:r>
              <w:rPr>
                <w:rFonts w:ascii="Arial" w:cs="Arial" w:eastAsia="Arial" w:hAnsi="Arial"/>
                <w:sz w:val="18"/>
                <w:szCs w:val="18"/>
                <w:color w:val="auto"/>
                <w:w w:val="92"/>
              </w:rPr>
              <w:t>2020</w:t>
            </w:r>
          </w:p>
        </w:tc>
        <w:tc>
          <w:tcPr>
            <w:tcW w:w="8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March 31,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December 31, 2020</w:t>
            </w: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w w:val="95"/>
              </w:rPr>
            </w:pPr>
            <w:hyperlink w:anchor="page5">
              <w:r>
                <w:rPr>
                  <w:rFonts w:ascii="Arial" w:cs="Arial" w:eastAsia="Arial" w:hAnsi="Arial"/>
                  <w:sz w:val="18"/>
                  <w:szCs w:val="18"/>
                  <w:color w:val="auto"/>
                  <w:w w:val="95"/>
                </w:rPr>
                <w:t xml:space="preserve">Condensed Consolidated Statement of Stockholders' Equity for the </w:t>
              </w:r>
            </w:hyperlink>
            <w:r>
              <w:rPr>
                <w:rFonts w:ascii="Arial" w:cs="Arial" w:eastAsia="Arial" w:hAnsi="Arial"/>
                <w:sz w:val="18"/>
                <w:szCs w:val="18"/>
                <w:color w:val="auto"/>
                <w:w w:val="95"/>
              </w:rPr>
              <w:t xml:space="preserve">three-month </w:t>
            </w:r>
            <w:hyperlink w:anchor="page5">
              <w:r>
                <w:rPr>
                  <w:rFonts w:ascii="Arial" w:cs="Arial" w:eastAsia="Arial" w:hAnsi="Arial"/>
                  <w:sz w:val="18"/>
                  <w:szCs w:val="18"/>
                  <w:color w:val="auto"/>
                  <w:w w:val="95"/>
                </w:rPr>
                <w:t xml:space="preserve">periods ending </w:t>
              </w:r>
            </w:hyperlink>
            <w:r>
              <w:rPr>
                <w:rFonts w:ascii="Arial" w:cs="Arial" w:eastAsia="Arial" w:hAnsi="Arial"/>
                <w:sz w:val="18"/>
                <w:szCs w:val="18"/>
                <w:color w:val="auto"/>
                <w:w w:val="95"/>
              </w:rPr>
              <w:t xml:space="preserve">March 31, 2021 </w:t>
            </w:r>
            <w:hyperlink w:anchor="page5">
              <w:r>
                <w:rPr>
                  <w:rFonts w:ascii="Arial" w:cs="Arial" w:eastAsia="Arial" w:hAnsi="Arial"/>
                  <w:sz w:val="18"/>
                  <w:szCs w:val="18"/>
                  <w:color w:val="auto"/>
                  <w:w w:val="95"/>
                </w:rPr>
                <w:t xml:space="preserve">and </w:t>
              </w:r>
            </w:hyperlink>
            <w:r>
              <w:rPr>
                <w:rFonts w:ascii="Arial" w:cs="Arial" w:eastAsia="Arial" w:hAnsi="Arial"/>
                <w:sz w:val="18"/>
                <w:szCs w:val="18"/>
                <w:color w:val="auto"/>
                <w:w w:val="95"/>
              </w:rPr>
              <w:t>2020</w:t>
            </w:r>
          </w:p>
        </w:tc>
        <w:tc>
          <w:tcPr>
            <w:tcW w:w="8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Condensed Consolidated Statements of Cash Flows for the </w:t>
              </w:r>
            </w:hyperlink>
            <w:r>
              <w:rPr>
                <w:rFonts w:ascii="Arial" w:cs="Arial" w:eastAsia="Arial" w:hAnsi="Arial"/>
                <w:sz w:val="18"/>
                <w:szCs w:val="18"/>
                <w:color w:val="auto"/>
              </w:rPr>
              <w:t xml:space="preserve">three-month </w:t>
            </w:r>
            <w:hyperlink w:anchor="page6">
              <w:r>
                <w:rPr>
                  <w:rFonts w:ascii="Arial" w:cs="Arial" w:eastAsia="Arial" w:hAnsi="Arial"/>
                  <w:sz w:val="18"/>
                  <w:szCs w:val="18"/>
                  <w:color w:val="auto"/>
                </w:rPr>
                <w:t xml:space="preserve">periods ended </w:t>
              </w:r>
            </w:hyperlink>
            <w:r>
              <w:rPr>
                <w:rFonts w:ascii="Arial" w:cs="Arial" w:eastAsia="Arial" w:hAnsi="Arial"/>
                <w:sz w:val="18"/>
                <w:szCs w:val="18"/>
                <w:color w:val="auto"/>
              </w:rPr>
              <w:t xml:space="preserve">March 31, 2021 </w:t>
            </w:r>
            <w:hyperlink w:anchor="page6">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8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w:t>
              </w:r>
            </w:hyperlink>
          </w:p>
        </w:tc>
        <w:tc>
          <w:tcPr>
            <w:tcW w:w="8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23">
              <w:r>
                <w:rPr>
                  <w:rFonts w:ascii="Arial" w:cs="Arial" w:eastAsia="Arial" w:hAnsi="Arial"/>
                  <w:sz w:val="18"/>
                  <w:szCs w:val="18"/>
                  <w:color w:val="auto"/>
                </w:rPr>
                <w:t>Item 2.</w:t>
              </w:r>
            </w:hyperlink>
          </w:p>
        </w:tc>
        <w:tc>
          <w:tcPr>
            <w:tcW w:w="9440" w:type="dxa"/>
            <w:vAlign w:val="bottom"/>
          </w:tcPr>
          <w:p>
            <w:pPr>
              <w:ind w:left="200"/>
              <w:spacing w:after="0"/>
              <w:rPr>
                <w:rFonts w:ascii="Arial" w:cs="Arial" w:eastAsia="Arial" w:hAnsi="Arial"/>
                <w:sz w:val="18"/>
                <w:szCs w:val="18"/>
                <w:color w:val="auto"/>
              </w:rPr>
            </w:pPr>
            <w:hyperlink w:anchor="page23">
              <w:r>
                <w:rPr>
                  <w:rFonts w:ascii="Arial" w:cs="Arial" w:eastAsia="Arial" w:hAnsi="Arial"/>
                  <w:sz w:val="18"/>
                  <w:szCs w:val="18"/>
                  <w:color w:val="auto"/>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9440" w:type="dxa"/>
            <w:vAlign w:val="bottom"/>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Quantitative and Qualitative Disclosures About Market Risk</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4.</w:t>
              </w:r>
            </w:hyperlink>
          </w:p>
        </w:tc>
        <w:tc>
          <w:tcPr>
            <w:tcW w:w="9440" w:type="dxa"/>
            <w:vAlign w:val="bottom"/>
          </w:tcPr>
          <w:p>
            <w:pPr>
              <w:ind w:left="200"/>
              <w:spacing w:after="0"/>
              <w:rPr>
                <w:rFonts w:ascii="Arial" w:cs="Arial" w:eastAsia="Arial" w:hAnsi="Arial"/>
                <w:sz w:val="18"/>
                <w:szCs w:val="18"/>
                <w:color w:val="auto"/>
              </w:rPr>
            </w:pPr>
            <w:hyperlink w:anchor="page36">
              <w:r>
                <w:rPr>
                  <w:rFonts w:ascii="Arial" w:cs="Arial" w:eastAsia="Arial" w:hAnsi="Arial"/>
                  <w:sz w:val="18"/>
                  <w:szCs w:val="18"/>
                  <w:color w:val="auto"/>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PART II.</w:t>
              </w:r>
            </w:hyperlink>
          </w:p>
        </w:tc>
        <w:tc>
          <w:tcPr>
            <w:tcW w:w="9440" w:type="dxa"/>
            <w:vAlign w:val="bottom"/>
          </w:tcPr>
          <w:p>
            <w:pPr>
              <w:ind w:left="200"/>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OTHER INFORMATION</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w:t>
              </w:r>
            </w:hyperlink>
          </w:p>
        </w:tc>
        <w:tc>
          <w:tcPr>
            <w:tcW w:w="9440" w:type="dxa"/>
            <w:vAlign w:val="bottom"/>
          </w:tcPr>
          <w:p>
            <w:pPr>
              <w:ind w:left="200"/>
              <w:spacing w:after="0"/>
              <w:rPr>
                <w:rFonts w:ascii="Arial" w:cs="Arial" w:eastAsia="Arial" w:hAnsi="Arial"/>
                <w:sz w:val="18"/>
                <w:szCs w:val="18"/>
                <w:color w:val="auto"/>
              </w:rPr>
            </w:pPr>
            <w:hyperlink w:anchor="page36">
              <w:r>
                <w:rPr>
                  <w:rFonts w:ascii="Arial" w:cs="Arial" w:eastAsia="Arial" w:hAnsi="Arial"/>
                  <w:sz w:val="18"/>
                  <w:szCs w:val="18"/>
                  <w:color w:val="auto"/>
                </w:rPr>
                <w:t>Legal Proceedings</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1A.</w:t>
              </w:r>
            </w:hyperlink>
          </w:p>
        </w:tc>
        <w:tc>
          <w:tcPr>
            <w:tcW w:w="9440" w:type="dxa"/>
            <w:vAlign w:val="bottom"/>
          </w:tcPr>
          <w:p>
            <w:pPr>
              <w:ind w:left="200"/>
              <w:spacing w:after="0"/>
              <w:rPr>
                <w:rFonts w:ascii="Arial" w:cs="Arial" w:eastAsia="Arial" w:hAnsi="Arial"/>
                <w:sz w:val="18"/>
                <w:szCs w:val="18"/>
                <w:color w:val="auto"/>
              </w:rPr>
            </w:pPr>
            <w:hyperlink w:anchor="page36">
              <w:r>
                <w:rPr>
                  <w:rFonts w:ascii="Arial" w:cs="Arial" w:eastAsia="Arial" w:hAnsi="Arial"/>
                  <w:sz w:val="18"/>
                  <w:szCs w:val="18"/>
                  <w:color w:val="auto"/>
                </w:rPr>
                <w:t>Risk Factors</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2.</w:t>
              </w:r>
            </w:hyperlink>
          </w:p>
        </w:tc>
        <w:tc>
          <w:tcPr>
            <w:tcW w:w="9440" w:type="dxa"/>
            <w:vAlign w:val="bottom"/>
          </w:tcPr>
          <w:p>
            <w:pPr>
              <w:ind w:left="200"/>
              <w:spacing w:after="0"/>
              <w:rPr>
                <w:rFonts w:ascii="Arial" w:cs="Arial" w:eastAsia="Arial" w:hAnsi="Arial"/>
                <w:sz w:val="18"/>
                <w:szCs w:val="18"/>
                <w:color w:val="auto"/>
              </w:rPr>
            </w:pPr>
            <w:hyperlink w:anchor="page36">
              <w:r>
                <w:rPr>
                  <w:rFonts w:ascii="Arial" w:cs="Arial" w:eastAsia="Arial" w:hAnsi="Arial"/>
                  <w:sz w:val="18"/>
                  <w:szCs w:val="18"/>
                  <w:color w:val="auto"/>
                </w:rPr>
                <w:t>Unregistered Sales of Equity Securities and Use of Proceeds</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9440" w:type="dxa"/>
            <w:vAlign w:val="bottom"/>
            <w:vMerge w:val="restart"/>
          </w:tcPr>
          <w:p>
            <w:pPr>
              <w:ind w:left="200"/>
              <w:spacing w:after="0"/>
              <w:rPr>
                <w:rFonts w:ascii="Arial" w:cs="Arial" w:eastAsia="Arial" w:hAnsi="Arial"/>
                <w:sz w:val="18"/>
                <w:szCs w:val="18"/>
                <w:color w:val="auto"/>
              </w:rPr>
            </w:pPr>
            <w:hyperlink w:anchor="page36">
              <w:r>
                <w:rPr>
                  <w:rFonts w:ascii="Arial" w:cs="Arial" w:eastAsia="Arial" w:hAnsi="Arial"/>
                  <w:sz w:val="18"/>
                  <w:szCs w:val="18"/>
                  <w:color w:val="auto"/>
                </w:rPr>
                <w:t>Defaults Upon Senior Securities</w:t>
              </w:r>
            </w:hyperlink>
          </w:p>
        </w:tc>
        <w:tc>
          <w:tcPr>
            <w:tcW w:w="880" w:type="dxa"/>
            <w:vAlign w:val="bottom"/>
            <w:vMerge w:val="restart"/>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94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9440" w:type="dxa"/>
            <w:vAlign w:val="bottom"/>
          </w:tcPr>
          <w:p>
            <w:pPr>
              <w:ind w:left="200"/>
              <w:spacing w:after="0"/>
              <w:rPr>
                <w:rFonts w:ascii="Arial" w:cs="Arial" w:eastAsia="Arial" w:hAnsi="Arial"/>
                <w:sz w:val="18"/>
                <w:szCs w:val="18"/>
                <w:color w:val="auto"/>
              </w:rPr>
            </w:pPr>
            <w:hyperlink w:anchor="page37">
              <w:r>
                <w:rPr>
                  <w:rFonts w:ascii="Arial" w:cs="Arial" w:eastAsia="Arial" w:hAnsi="Arial"/>
                  <w:sz w:val="18"/>
                  <w:szCs w:val="18"/>
                  <w:color w:val="auto"/>
                </w:rPr>
                <w:t>Mine Safety Disclosures</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5.</w:t>
              </w:r>
            </w:hyperlink>
          </w:p>
        </w:tc>
        <w:tc>
          <w:tcPr>
            <w:tcW w:w="9440" w:type="dxa"/>
            <w:vAlign w:val="bottom"/>
          </w:tcPr>
          <w:p>
            <w:pPr>
              <w:ind w:left="200"/>
              <w:spacing w:after="0"/>
              <w:rPr>
                <w:rFonts w:ascii="Arial" w:cs="Arial" w:eastAsia="Arial" w:hAnsi="Arial"/>
                <w:sz w:val="18"/>
                <w:szCs w:val="18"/>
                <w:color w:val="auto"/>
              </w:rPr>
            </w:pPr>
            <w:hyperlink w:anchor="page37">
              <w:r>
                <w:rPr>
                  <w:rFonts w:ascii="Arial" w:cs="Arial" w:eastAsia="Arial" w:hAnsi="Arial"/>
                  <w:sz w:val="18"/>
                  <w:szCs w:val="18"/>
                  <w:color w:val="auto"/>
                </w:rPr>
                <w:t>Other Information</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6.</w:t>
              </w:r>
            </w:hyperlink>
          </w:p>
        </w:tc>
        <w:tc>
          <w:tcPr>
            <w:tcW w:w="9440" w:type="dxa"/>
            <w:vAlign w:val="bottom"/>
          </w:tcPr>
          <w:p>
            <w:pPr>
              <w:ind w:left="200"/>
              <w:spacing w:after="0"/>
              <w:rPr>
                <w:rFonts w:ascii="Arial" w:cs="Arial" w:eastAsia="Arial" w:hAnsi="Arial"/>
                <w:sz w:val="18"/>
                <w:szCs w:val="18"/>
                <w:color w:val="auto"/>
              </w:rPr>
            </w:pPr>
            <w:hyperlink w:anchor="page37">
              <w:r>
                <w:rPr>
                  <w:rFonts w:ascii="Arial" w:cs="Arial" w:eastAsia="Arial" w:hAnsi="Arial"/>
                  <w:sz w:val="18"/>
                  <w:szCs w:val="18"/>
                  <w:color w:val="auto"/>
                </w:rPr>
                <w:t>Exhibits</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RENT-A-CENTER,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7"/>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Store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Rentals and fees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568,000</w:t>
            </w:r>
          </w:p>
        </w:tc>
        <w:tc>
          <w:tcPr>
            <w:tcW w:w="0" w:type="dxa"/>
            <w:vAlign w:val="bottom"/>
          </w:tcPr>
          <w:p>
            <w:pPr>
              <w:spacing w:after="0"/>
              <w:rPr>
                <w:sz w:val="1"/>
                <w:szCs w:val="1"/>
                <w:color w:val="auto"/>
              </w:rPr>
            </w:pP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Merchandise sales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232,793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101,380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Installment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store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684,849</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Franchise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Merchandise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Royalty income and fees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701,939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Cost of rentals and fees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247,035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165,455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Cost of merchandise sold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Cost of installment sales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cost of store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269,237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Franchise cost of merchandise sold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281,761</w:t>
            </w:r>
          </w:p>
        </w:tc>
        <w:tc>
          <w:tcPr>
            <w:tcW w:w="0" w:type="dxa"/>
            <w:vAlign w:val="bottom"/>
          </w:tcPr>
          <w:p>
            <w:pPr>
              <w:spacing w:after="0"/>
              <w:rPr>
                <w:sz w:val="1"/>
                <w:szCs w:val="1"/>
                <w:color w:val="auto"/>
              </w:rPr>
            </w:pPr>
          </w:p>
        </w:tc>
      </w:tr>
      <w:tr>
        <w:trPr>
          <w:trHeight w:val="223"/>
        </w:trPr>
        <w:tc>
          <w:tcPr>
            <w:tcW w:w="8180" w:type="dxa"/>
            <w:vAlign w:val="bottom"/>
          </w:tcPr>
          <w:p>
            <w:pPr>
              <w:ind w:left="68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510,523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420,178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Store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Labor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153,794</w:t>
            </w:r>
          </w:p>
        </w:tc>
        <w:tc>
          <w:tcPr>
            <w:tcW w:w="0" w:type="dxa"/>
            <w:vAlign w:val="bottom"/>
          </w:tcPr>
          <w:p>
            <w:pPr>
              <w:spacing w:after="0"/>
              <w:rPr>
                <w:sz w:val="1"/>
                <w:szCs w:val="1"/>
                <w:color w:val="auto"/>
              </w:rPr>
            </w:pPr>
          </w:p>
        </w:tc>
      </w:tr>
      <w:tr>
        <w:trPr>
          <w:trHeight w:val="230"/>
        </w:trPr>
        <w:tc>
          <w:tcPr>
            <w:tcW w:w="8180" w:type="dxa"/>
            <w:vAlign w:val="bottom"/>
          </w:tcPr>
          <w:p>
            <w:pPr>
              <w:ind w:left="680"/>
              <w:spacing w:after="0"/>
              <w:rPr>
                <w:sz w:val="20"/>
                <w:szCs w:val="20"/>
                <w:color w:val="auto"/>
              </w:rPr>
            </w:pPr>
            <w:r>
              <w:rPr>
                <w:rFonts w:ascii="Arial" w:cs="Arial" w:eastAsia="Arial" w:hAnsi="Arial"/>
                <w:sz w:val="18"/>
                <w:szCs w:val="18"/>
                <w:color w:val="auto"/>
              </w:rPr>
              <w:t>Other store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161,718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39,175</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14,913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371,303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48,875</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Debt refinancing charges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Earnings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44,572</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7"/>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49,292</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Foreign currency translation adjustments, net of tax of $(227) and $(1,038) for the three</w:t>
            </w:r>
          </w:p>
        </w:tc>
        <w:tc>
          <w:tcPr>
            <w:tcW w:w="9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w w:val="94"/>
              </w:rPr>
              <w:t>(3,906)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months ended March 31, 2021 and 2020, respectively</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other comprehensive loss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4"/>
              </w:rPr>
              <w:t>(3,906)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8"/>
              </w:rPr>
              <w:t>45,386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par value data)</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123,019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159,449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Receivables, net of allowance for doubtful accounts of $7,981 and $8,047 in 2021 and 2020, respectively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90,003</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50,006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On 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1,115,913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762,886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Held for rent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146,266</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Merchandise held for installment sale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Property assets, net of accumulated depreciation of $517,765 and $505,074 in 2021 and 2020, respectively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141,641</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297,577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283,422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33,782</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311,991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23"/>
        </w:trPr>
        <w:tc>
          <w:tcPr>
            <w:tcW w:w="778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3,006,958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1,750,980</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179,933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186,063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320,583</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299,892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285,354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176,410</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Senior debt,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897,912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190,490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2,264,771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1,158,900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line="176" w:lineRule="exact"/>
              <w:rPr>
                <w:sz w:val="20"/>
                <w:szCs w:val="20"/>
                <w:color w:val="auto"/>
              </w:rPr>
            </w:pPr>
            <w:r>
              <w:rPr>
                <w:rFonts w:ascii="Arial" w:cs="Arial" w:eastAsia="Arial" w:hAnsi="Arial"/>
                <w:sz w:val="18"/>
                <w:szCs w:val="18"/>
                <w:color w:val="auto"/>
                <w:w w:val="94"/>
              </w:rPr>
              <w:t>Common stock, $0.01 par value; 250,000,000 shares authorized; 124,193,049 and 112,180,517 shares</w:t>
            </w:r>
          </w:p>
        </w:tc>
        <w:tc>
          <w:tcPr>
            <w:tcW w:w="2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issued in March 31, 2021 and December 31, 2020, respectively</w:t>
            </w:r>
          </w:p>
        </w:tc>
        <w:tc>
          <w:tcPr>
            <w:tcW w:w="2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886,902</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1,112,840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1,091,010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cost, 57,891,859 shares in March 31, 2021 and December 31, 2020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(1,375,541)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(1,375,541)</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592,080</w:t>
            </w:r>
          </w:p>
        </w:tc>
        <w:tc>
          <w:tcPr>
            <w:tcW w:w="0" w:type="dxa"/>
            <w:vAlign w:val="bottom"/>
          </w:tcPr>
          <w:p>
            <w:pPr>
              <w:spacing w:after="0"/>
              <w:rPr>
                <w:sz w:val="1"/>
                <w:szCs w:val="1"/>
                <w:color w:val="auto"/>
              </w:rPr>
            </w:pPr>
          </w:p>
        </w:tc>
      </w:tr>
      <w:tr>
        <w:trPr>
          <w:trHeight w:val="223"/>
        </w:trPr>
        <w:tc>
          <w:tcPr>
            <w:tcW w:w="7780" w:type="dxa"/>
            <w:vAlign w:val="bottom"/>
          </w:tcPr>
          <w:p>
            <w:pPr>
              <w:ind w:left="10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3,006,958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1,750,980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280"/>
              <w:spacing w:after="0" w:line="115"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ind w:left="60"/>
              <w:spacing w:after="0" w:line="115" w:lineRule="exact"/>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3"/>
          </w:tcPr>
          <w:p>
            <w:pPr>
              <w:ind w:left="80"/>
              <w:spacing w:after="0" w:line="115" w:lineRule="exact"/>
              <w:rPr>
                <w:sz w:val="20"/>
                <w:szCs w:val="20"/>
                <w:color w:val="auto"/>
              </w:rPr>
            </w:pPr>
            <w:r>
              <w:rPr>
                <w:rFonts w:ascii="Arial" w:cs="Arial" w:eastAsia="Arial" w:hAnsi="Arial"/>
                <w:sz w:val="13"/>
                <w:szCs w:val="13"/>
                <w:b w:val="1"/>
                <w:bCs w:val="1"/>
                <w:color w:val="auto"/>
              </w:rPr>
              <w:t>Treasury</w:t>
            </w:r>
          </w:p>
        </w:tc>
        <w:tc>
          <w:tcPr>
            <w:tcW w:w="40" w:type="dxa"/>
            <w:vAlign w:val="bottom"/>
          </w:tcPr>
          <w:p>
            <w:pPr>
              <w:spacing w:after="0"/>
              <w:rPr>
                <w:sz w:val="10"/>
                <w:szCs w:val="10"/>
                <w:color w:val="auto"/>
              </w:rPr>
            </w:pPr>
          </w:p>
        </w:tc>
        <w:tc>
          <w:tcPr>
            <w:tcW w:w="1380" w:type="dxa"/>
            <w:vAlign w:val="bottom"/>
            <w:gridSpan w:val="4"/>
          </w:tcPr>
          <w:p>
            <w:pPr>
              <w:ind w:left="20"/>
              <w:spacing w:after="0" w:line="115" w:lineRule="exact"/>
              <w:rPr>
                <w:sz w:val="20"/>
                <w:szCs w:val="20"/>
                <w:color w:val="auto"/>
              </w:rPr>
            </w:pPr>
            <w:r>
              <w:rPr>
                <w:rFonts w:ascii="Arial" w:cs="Arial" w:eastAsia="Arial" w:hAnsi="Arial"/>
                <w:sz w:val="13"/>
                <w:szCs w:val="13"/>
                <w:b w:val="1"/>
                <w:bCs w:val="1"/>
                <w:color w:val="auto"/>
              </w:rPr>
              <w:t>Accumulated Other</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Stock</w:t>
            </w: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980" w:type="dxa"/>
            <w:vAlign w:val="bottom"/>
            <w:gridSpan w:val="2"/>
          </w:tcPr>
          <w:p>
            <w:pPr>
              <w:ind w:left="6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112,181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886,902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1,091,010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(1,375,541)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Arial" w:cs="Arial" w:eastAsia="Arial" w:hAnsi="Arial"/>
                <w:sz w:val="16"/>
                <w:szCs w:val="16"/>
                <w:color w:val="auto"/>
              </w:rPr>
              <w:t>Net earnings</w:t>
            </w:r>
          </w:p>
        </w:tc>
        <w:tc>
          <w:tcPr>
            <w:tcW w:w="6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2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comprehensive loss</w:t>
            </w:r>
          </w:p>
        </w:tc>
        <w:tc>
          <w:tcPr>
            <w:tcW w:w="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Arial" w:cs="Arial" w:eastAsia="Arial" w:hAnsi="Arial"/>
                <w:sz w:val="16"/>
                <w:szCs w:val="16"/>
                <w:color w:val="auto"/>
              </w:rPr>
              <w:t>Exercise of stock options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8,941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shd w:val="clear" w:color="auto" w:fill="CCEEFF"/>
          </w:tcPr>
          <w:p>
            <w:pPr>
              <w:spacing w:after="0"/>
              <w:rPr>
                <w:sz w:val="14"/>
                <w:szCs w:val="14"/>
                <w:color w:val="auto"/>
              </w:rPr>
            </w:pPr>
          </w:p>
        </w:tc>
        <w:tc>
          <w:tcPr>
            <w:tcW w:w="2920" w:type="dxa"/>
            <w:vAlign w:val="bottom"/>
            <w:shd w:val="clear" w:color="auto" w:fill="CCEEFF"/>
          </w:tcPr>
          <w:p>
            <w:pPr>
              <w:ind w:left="80"/>
              <w:spacing w:after="0" w:line="169" w:lineRule="exact"/>
              <w:rPr>
                <w:sz w:val="20"/>
                <w:szCs w:val="20"/>
                <w:color w:val="auto"/>
              </w:rPr>
            </w:pPr>
            <w:r>
              <w:rPr>
                <w:rFonts w:ascii="Arial" w:cs="Arial" w:eastAsia="Arial" w:hAnsi="Arial"/>
                <w:sz w:val="16"/>
                <w:szCs w:val="16"/>
                <w:color w:val="auto"/>
              </w:rPr>
              <w:t>Vesting of restricted share units, net of</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(20,910)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2920" w:type="dxa"/>
            <w:vAlign w:val="bottom"/>
            <w:shd w:val="clear" w:color="auto" w:fill="CCEEFF"/>
          </w:tcPr>
          <w:p>
            <w:pPr>
              <w:ind w:left="80"/>
              <w:spacing w:after="0" w:line="213" w:lineRule="exact"/>
              <w:rPr>
                <w:sz w:val="20"/>
                <w:szCs w:val="20"/>
                <w:color w:val="auto"/>
              </w:rPr>
            </w:pPr>
            <w:r>
              <w:rPr>
                <w:rFonts w:ascii="Arial" w:cs="Arial" w:eastAsia="Arial" w:hAnsi="Arial"/>
                <w:sz w:val="16"/>
                <w:szCs w:val="16"/>
                <w:color w:val="auto"/>
              </w:rPr>
              <w:t>shares withheld for employee taxes</w:t>
            </w:r>
            <w:r>
              <w:rPr>
                <w:rFonts w:ascii="Arial" w:cs="Arial" w:eastAsia="Arial" w:hAnsi="Arial"/>
                <w:sz w:val="21"/>
                <w:szCs w:val="21"/>
                <w:color w:val="auto"/>
                <w:vertAlign w:val="superscript"/>
              </w:rPr>
              <w:t>(1)</w:t>
            </w: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Arial" w:cs="Arial" w:eastAsia="Arial" w:hAnsi="Arial"/>
                <w:sz w:val="16"/>
                <w:szCs w:val="16"/>
                <w:color w:val="auto"/>
              </w:rPr>
              <w:t>Stock-based compensation</w:t>
            </w:r>
          </w:p>
        </w:tc>
        <w:tc>
          <w:tcPr>
            <w:tcW w:w="6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20,148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2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w:t>
            </w:r>
          </w:p>
        </w:tc>
        <w:tc>
          <w:tcPr>
            <w:tcW w:w="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Arial" w:cs="Arial" w:eastAsia="Arial" w:hAnsi="Arial"/>
                <w:sz w:val="16"/>
                <w:szCs w:val="16"/>
                <w:color w:val="auto"/>
              </w:rPr>
              <w:t>Acima acquisition</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10,780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120,914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124,193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1,015,995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1,112,840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(1,375,541)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060" w:type="dxa"/>
            <w:vAlign w:val="bottom"/>
            <w:gridSpan w:val="11"/>
          </w:tcPr>
          <w:p>
            <w:pPr>
              <w:spacing w:after="0"/>
              <w:rPr>
                <w:sz w:val="20"/>
                <w:szCs w:val="20"/>
                <w:color w:val="auto"/>
              </w:rPr>
            </w:pPr>
            <w:r>
              <w:rPr>
                <w:rFonts w:ascii="Arial" w:cs="Arial" w:eastAsia="Arial" w:hAnsi="Arial"/>
                <w:sz w:val="16"/>
                <w:szCs w:val="16"/>
                <w:color w:val="auto"/>
                <w:w w:val="94"/>
                <w:vertAlign w:val="superscript"/>
              </w:rPr>
              <w:t>(1)</w:t>
            </w:r>
            <w:r>
              <w:rPr>
                <w:rFonts w:ascii="Arial" w:cs="Arial" w:eastAsia="Arial" w:hAnsi="Arial"/>
                <w:sz w:val="13"/>
                <w:szCs w:val="13"/>
                <w:color w:val="auto"/>
                <w:w w:val="94"/>
              </w:rPr>
              <w:t>Includes shares released from escrow related to the 2019 Merchant's Preferred acquisition</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8"/>
          </w:tcPr>
          <w:p>
            <w:pPr>
              <w:ind w:left="5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3"/>
                <w:szCs w:val="3"/>
                <w:color w:val="auto"/>
              </w:rPr>
            </w:pPr>
          </w:p>
        </w:tc>
        <w:tc>
          <w:tcPr>
            <w:tcW w:w="13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Comprehensive Loss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9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111,166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869,617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947,875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(1,348,969)</w:t>
            </w: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(10,670)</w:t>
            </w: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458,963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6"/>
                <w:szCs w:val="16"/>
                <w:color w:val="auto"/>
              </w:rPr>
              <w:t>ASC 326 adoption</w:t>
            </w:r>
          </w:p>
        </w:tc>
        <w:tc>
          <w:tcPr>
            <w:tcW w:w="6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w w:val="96"/>
              </w:rPr>
              <w:t>(769)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6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(3,906)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(26,525)</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9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Vesting of restricted share units, net of</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(5,274)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(5,270)</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employee taxes</w:t>
            </w: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111,669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868,580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996,398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(1,375,480)</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(14,576)</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67"/>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42,552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49,292</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Depreciation of rental merchandise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237,636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160,445</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Bad debt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3,043</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of property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14,597</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Loss on sale or disposal of property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Amortization of financing fees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Write-off of debt financing fees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 of acquired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Rental merchandise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(222,054)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(106,739)</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5,935</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right-of-use assets and lease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Accounts payable – trade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(61,265)</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(33,795)</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135,793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47,400</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Purchase of property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(9,151)</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assets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Acquisitions of businesses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(1,267,903)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repurchases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(26,511)</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withheld for payment of employee tax withholdings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debt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Repayments of debt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(75,500)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(15,912)</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1,107,340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76,003</w:t>
            </w:r>
          </w:p>
        </w:tc>
      </w:tr>
      <w:tr>
        <w:trPr>
          <w:trHeight w:val="229"/>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112,425</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70,494</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182,919</w:t>
            </w:r>
          </w:p>
        </w:tc>
      </w:tr>
      <w:tr>
        <w:trPr>
          <w:trHeight w:val="20"/>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condensed consolidated financial statements of Rent-A-Center,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2020.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may affect certain estimates and assumptions inherent in the financial reporting process, which may impact reported amounts of assets and liabilities in future periods and cause actual results to differ from those estimates.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Nature of Operations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included herein include the accounts of Rent-A-Center, Inc. and its direct and indirect subsidiaries. All intercompany accounts and transactions have been eliminated. Unless the context indicates otherwise, references to “Rent-A-Center” refer only to Rent-A-Center, Inc., the parent, and references to the “Company”, “we,” “us” and “our” refer to the consolidated business operations of Rent-A-Center and any or all of its direct and indirect subsidiaries. We report four operating segments: Rent-A-Center Business, Acima (formerly Preferred Lease), Mexico and Franchising.</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Acima segment (formerly Preferred Lease), which operates in the United States and Puerto Rico and which, includes the operations of Acima Holdings (as defined in Note 2 below) acquired in February 2021 and our Preferred Lease virtual and staffed locations, generally offers the lease-to-own transaction to consumers who do not qualify for financing from the traditional retailer. The Acima segment offers the lease-to-own transaction through our virtual offering solutions across e-commerce, digital, and mobile channels, and through staffed and unstaffed kiosks located within such retailer’s locations.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Mexico segment consists of our company-owned lease-to-own stores in Mexico that lease household durable goods to customers on a lease-to-own basis.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Rent-A-Center Franchising International, Inc., an indirect wholly-owned subsidiary of Rent-A-Center, is a franchisor of lease-to-own stores.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is intended to simplify various aspects related to accounting for income taxes. The standard removes certain exceptions to the general principles in Topic 740 and also clarifies and amends existing guidance to improve consistent application. We adopted ASU 2019-12 beginning January 1, 2021 using a prospective approach. Impacts to our financial statements for the three months ended March 31, 2021 resulting from the adoption of this ASU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20, 2020, we entered into the Merger Agreement with Radalta, LLC, a Utah limited liability company and wholly owned subsidiary of the company, Acima ("Acima Holdings"), and Aaron Allred, solely in his capacity as the representative of the former owners of Acima Holdings, providing for the merger of Radalta, LLC with and into Acima Holdings, with Acima Holdings surviving the Merger as a wholly owned subsidiary of the Company for total estimated consideration of $1.65 billion, including cash consideration of $1.3 billion and approximately 10.8 million shares with an estimated value of approximately $377 million. On February 17, 2021, we completed the acquisition of the membership interest of Acima Holdings, LLC. Acima Holdings is a leading platform offering customers virtual lease-to-own solutions at the point-of-sale via web and mobile technology.</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Merger Agreement, we issued to the former owners of Acima Holdings an aggregate of 10,779,923 shares of our common stock (the “Aggregate Stock Consideration”) and paid to them aggregate cash consideration of $1.3 billion (the “Aggregate Cash Consideration”). In accordance with the terms of the Merger Agreement, the portion of the Aggregate Stock Consideration issued to former owners of Acima Holdings who are also employees of Acima Holdings is subject to restricted stock agreements providing vesting conditions over a 36-month period beginning upon closing of the Merger. The portion of the Aggregate Stock Consideration issued to nonemployee former owners of Acima Holdings is subject to the terms of an 18-month lockup agreement, pursuant to which one-third of the aggregate shares of our common stock received by a non-employee former owner in the Merger becomes transferable after each six month period following the closing of the Merger. We entered into a Registration Rights Agreement, dated as of February 17, 2021, pursuant to which certain former owners of Acima are entitled to registration rights in respect of the portion of the Aggregate Stock Consideration received by them in the Merger.</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purchase price was approximately $1.4 billion, including net cash consideration of approximately $1.3 billion, and 2,683,328 shares of the Aggregate Stock Consideration subject to 18-month lockup agreements valued at $51.14 per share, as of the date of closing, and adjusted by a discount for lack of marketability to account for the transfer restrictions in three tranches, each in 6-month intervals after the closing date. The Aggregate Cash Consideration for the acquisition was financed with a combination of cash on hand, borrowings under our ABL Credit Facility and proceeds from issuances under our Term Loan Facility, as defined in Note 7, in addition to proceeds from the issuance of new unsecured senior notes. See Note 7 and Note 8 for additional information.</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remaining 8,096,595 common shares included in the Aggregate Stock Consideration subject to restricted stock agreements and 36-month vesting conditions were valued at $414.1 million, as of the date of closing. These shares have been excluded from the aggregate purchase price and instead will be recognized as stock-based compensation expense subject to ASC Topic 718, “Stock-based Compensation” over the required vesting period, and recorded to Other charges in our unaudited Condensed Consolidated Statements of Operations. However, for tax purposes the value of Aggregate Stock Consideration subject to restricted stock agreements is treated as goodwill. In addition, the total value of the common shares subject to restricted stock agreements noted above, resulted in a decrease in the deferred tax liability included in the net assets acquired of approximately $103.5 million based on the fair value of the shares, as of the date of closing, multiplied by the blended federal and state statutory rate of approximately 24%, as included in the below net assets acquired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Assets acquired and liabilities assumed in connection with the acquisition have been recorded at their fair values. The following table provides the preliminary estimated fair values of the identifiable assets acquired and liabilities assumed as of the acquisition date:</w:t>
      </w: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February 17, 2021</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cash consideration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1,273,263</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Aggregate stock consideration, subject to lockup agreements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120,929</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1,394,192</w:t>
            </w:r>
          </w:p>
        </w:tc>
      </w:tr>
      <w:tr>
        <w:trPr>
          <w:trHeight w:val="209"/>
        </w:trPr>
        <w:tc>
          <w:tcPr>
            <w:tcW w:w="9480" w:type="dxa"/>
            <w:vAlign w:val="bottom"/>
          </w:tcPr>
          <w:p>
            <w:pPr>
              <w:ind w:left="3920"/>
              <w:spacing w:after="0"/>
              <w:rPr>
                <w:sz w:val="20"/>
                <w:szCs w:val="20"/>
                <w:color w:val="auto"/>
              </w:rPr>
            </w:pPr>
            <w:r>
              <w:rPr>
                <w:rFonts w:ascii="Arial" w:cs="Arial" w:eastAsia="Arial" w:hAnsi="Arial"/>
                <w:sz w:val="18"/>
                <w:szCs w:val="18"/>
                <w:color w:val="auto"/>
              </w:rPr>
              <w:t>ASSETS ACQUIRED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Receivables, net</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9480" w:type="dxa"/>
            <w:vAlign w:val="bottom"/>
          </w:tcPr>
          <w:p>
            <w:pPr>
              <w:ind w:left="240"/>
              <w:spacing w:after="0"/>
              <w:rPr>
                <w:sz w:val="20"/>
                <w:szCs w:val="20"/>
                <w:color w:val="auto"/>
              </w:rPr>
            </w:pPr>
            <w:r>
              <w:rPr>
                <w:rFonts w:ascii="Arial" w:cs="Arial" w:eastAsia="Arial" w:hAnsi="Arial"/>
                <w:sz w:val="18"/>
                <w:szCs w:val="18"/>
                <w:color w:val="auto"/>
              </w:rPr>
              <w:t>On rent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357,692</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171,455</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9,136</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241,774</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520,000</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1,331,221</w:t>
            </w:r>
          </w:p>
        </w:tc>
      </w:tr>
      <w:tr>
        <w:trPr>
          <w:trHeight w:val="209"/>
        </w:trPr>
        <w:tc>
          <w:tcPr>
            <w:tcW w:w="9480" w:type="dxa"/>
            <w:vAlign w:val="bottom"/>
          </w:tcPr>
          <w:p>
            <w:pPr>
              <w:ind w:left="3780"/>
              <w:spacing w:after="0"/>
              <w:rPr>
                <w:sz w:val="20"/>
                <w:szCs w:val="20"/>
                <w:color w:val="auto"/>
              </w:rPr>
            </w:pPr>
            <w:r>
              <w:rPr>
                <w:rFonts w:ascii="Arial" w:cs="Arial" w:eastAsia="Arial" w:hAnsi="Arial"/>
                <w:sz w:val="18"/>
                <w:szCs w:val="18"/>
                <w:color w:val="auto"/>
              </w:rPr>
              <w:t>LIABILITIES ASSUMED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 trade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24,277</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(112,960)</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(62,971)</w:t>
            </w: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Total equity value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1,394,192</w:t>
            </w:r>
          </w:p>
        </w:tc>
      </w:tr>
    </w:tbl>
    <w:p>
      <w:pPr>
        <w:spacing w:after="0" w:line="8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Includes gross contractual receivables of $65.2 million related to merchandise lease contracts, of which we have estimated $35.5 million are uncollectible.</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Carrying value for assets and liabilities assumed as part of the acquisition, including receivables, prepaid expenses and other assets, rental merchandise, accounts payable and accrued liabilities were recorded as fair value, as of the date of acquisition, due to the short term nature of these balances. Operating lease right-of-use assets and liabilities were recorded as the discounted value of future obligations in accordance with ASC 842. The fair value measurements for acquired intangible assets and developed technology were primarily based on significant unobservable inputs (level 3) developed using company-specific information. Certain fair value estimates were determined based on an independent valuation of the net assets acquired, including $520 million of identifiable intangible assets with an estimated weighted average useful life of 8 years, as follows:</w:t>
      </w:r>
    </w:p>
    <w:tbl>
      <w:tblPr>
        <w:tblLayout w:type="fixed"/>
        <w:tblInd w:w="0" w:type="dxa"/>
        <w:tblCellMar>
          <w:top w:w="0" w:type="dxa"/>
          <w:left w:w="0" w:type="dxa"/>
          <w:bottom w:w="0" w:type="dxa"/>
          <w:right w:w="0" w:type="dxa"/>
        </w:tblCellMar>
      </w:tblPr>
      <w:tr>
        <w:trPr>
          <w:trHeight w:val="148"/>
        </w:trPr>
        <w:tc>
          <w:tcPr>
            <w:tcW w:w="520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Asset Class</w:t>
            </w:r>
          </w:p>
        </w:tc>
        <w:tc>
          <w:tcPr>
            <w:tcW w:w="1780" w:type="dxa"/>
            <w:vAlign w:val="bottom"/>
          </w:tcPr>
          <w:p>
            <w:pPr>
              <w:spacing w:after="0"/>
              <w:rPr>
                <w:sz w:val="12"/>
                <w:szCs w:val="12"/>
                <w:color w:val="auto"/>
              </w:rPr>
            </w:pPr>
          </w:p>
        </w:tc>
        <w:tc>
          <w:tcPr>
            <w:tcW w:w="1960" w:type="dxa"/>
            <w:vAlign w:val="bottom"/>
          </w:tcPr>
          <w:p>
            <w:pPr>
              <w:jc w:val="right"/>
              <w:ind w:right="376"/>
              <w:spacing w:after="0" w:line="148" w:lineRule="exact"/>
              <w:rPr>
                <w:sz w:val="20"/>
                <w:szCs w:val="20"/>
                <w:color w:val="auto"/>
              </w:rPr>
            </w:pPr>
            <w:r>
              <w:rPr>
                <w:rFonts w:ascii="Arial" w:cs="Arial" w:eastAsia="Arial" w:hAnsi="Arial"/>
                <w:sz w:val="14"/>
                <w:szCs w:val="14"/>
                <w:b w:val="1"/>
                <w:bCs w:val="1"/>
                <w:color w:val="auto"/>
              </w:rPr>
              <w:t>Estimated Fair Value</w:t>
            </w:r>
          </w:p>
        </w:tc>
        <w:tc>
          <w:tcPr>
            <w:tcW w:w="23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4"/>
              </w:rPr>
              <w:t>Estimated Remaining Useful Life (in</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Relationship with existing lessees</w:t>
            </w:r>
          </w:p>
        </w:tc>
        <w:tc>
          <w:tcPr>
            <w:tcW w:w="17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60,000</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7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40,000</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Developed technology, included in Property assets, net, in line with our accounting policies, was also acquired with a value of $170.0 million and an estimated remaining useful life of 10 years. The fair value for these intangible and property assets were estimated using common industry valuation methods for similar asset types, based primarily on cost inputs and projected cash flows.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recorded goodwill of $241.8 million in our Acima operating segment, which consists of the excess of the net purchase price over the fair value of the net assets acquired and assembled workforce of $10 million. Goodwill represents expected cost and revenue synergies and other benefits expected to result within our retail partner business from the acquisition of Acima Holdings. The total value of goodwill for tax purposes, including our recorded goodwill, plus the value of Aggregate Stock Consideration subject to restricted stock agreements described above, and acquisition-related expenses described below, is fully deductible and will be amortized over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values above reflect our preliminary purchase price allocation and may change as we finalize our assessments of the acquired assets and liabilities during the measurement period. Acima Holdings results of operations are reflected in our unaudited Condensed Consolidated Statements of Operations from the date of acquisition.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this acquisition, we incurred approximately $22.5 million in acquisition-related expenses including expenses related to legal, professional, and banking transaction fees, which are treated as an addition to goodwill for tax purposes. In addition, we recognized a decrease in deferred tax liability included in the net assets acquired of $7.6 million related to these expenditures. These costs were included in Other charges in our unaudited Condensed Consolidated Statements of Operations .</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unaudited pro forma combined results of operations present our financial results as if the acquisition of Acima had been completed on January 1, 2020. These unaudited pro forma results may not necessarily reflect the actual results of operations that would have been achieved, nor are they necessarily indicative of future results of operations. The unaudited pro forma information reflects the step-up depreciation and amortization adjustments for the fair value of the assets acquired, adjustments to stock compensation expense as a result of Aggregate Stock Consideration subject to restricted stock awards, the adjustments in interest expense due to the elimination of historical debt and placement of the new debt, and the related adjustments to the income tax provision. In addition, the pro forma net income has been adjusted to include transaction expenses and other non-recurring costs as of January 1, 2020. The unaudited pro forma financial information is as follows:</w:t>
      </w:r>
    </w:p>
    <w:tbl>
      <w:tblPr>
        <w:tblLayout w:type="fixed"/>
        <w:tblInd w:w="0" w:type="dxa"/>
        <w:tblCellMar>
          <w:top w:w="0" w:type="dxa"/>
          <w:left w:w="0" w:type="dxa"/>
          <w:bottom w:w="0" w:type="dxa"/>
          <w:right w:w="0" w:type="dxa"/>
        </w:tblCellMar>
      </w:tblPr>
      <w:tr>
        <w:trPr>
          <w:trHeight w:val="149"/>
        </w:trPr>
        <w:tc>
          <w:tcPr>
            <w:tcW w:w="6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2"/>
                <w:szCs w:val="12"/>
                <w:color w:val="auto"/>
              </w:rPr>
            </w:pPr>
          </w:p>
        </w:tc>
        <w:tc>
          <w:tcPr>
            <w:tcW w:w="21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Three Months Ended March 31,</w:t>
            </w:r>
          </w:p>
        </w:tc>
        <w:tc>
          <w:tcPr>
            <w:tcW w:w="140" w:type="dxa"/>
            <w:vAlign w:val="bottom"/>
          </w:tcPr>
          <w:p>
            <w:pPr>
              <w:spacing w:after="0"/>
              <w:rPr>
                <w:sz w:val="12"/>
                <w:szCs w:val="12"/>
                <w:color w:val="auto"/>
              </w:rPr>
            </w:pPr>
          </w:p>
        </w:tc>
        <w:tc>
          <w:tcPr>
            <w:tcW w:w="21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88"/>
        </w:trPr>
        <w:tc>
          <w:tcPr>
            <w:tcW w:w="66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92"/>
              </w:rPr>
              <w:t>(unaudited)</w:t>
            </w: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2"/>
              </w:rPr>
              <w:t>(unaudited)</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Pro Forma total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1,231,386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ind w:left="1500"/>
              <w:spacing w:after="0"/>
              <w:rPr>
                <w:sz w:val="20"/>
                <w:szCs w:val="20"/>
                <w:color w:val="auto"/>
              </w:rPr>
            </w:pPr>
            <w:r>
              <w:rPr>
                <w:rFonts w:ascii="Arial" w:cs="Arial" w:eastAsia="Arial" w:hAnsi="Arial"/>
                <w:sz w:val="18"/>
                <w:szCs w:val="18"/>
                <w:color w:val="auto"/>
                <w:w w:val="98"/>
              </w:rPr>
              <w:t>986,747</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 Forma net earnings</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56,413</w:t>
            </w: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92"/>
              </w:rPr>
              <w:t>(16,966)</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Total pro forma adjustments to net earnings for the three months ended March 31, 2021 and March 31, 2020 were decreases of $13.2 million and $106.2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amounts of revenue and earnings of Acima Holdings included in our Condensed Consolidated Statements of Operations from the acquisition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94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February 17, 2021 -</w:t>
            </w:r>
          </w:p>
        </w:tc>
        <w:tc>
          <w:tcPr>
            <w:tcW w:w="340" w:type="dxa"/>
            <w:vAlign w:val="bottom"/>
          </w:tcPr>
          <w:p>
            <w:pPr>
              <w:spacing w:after="0"/>
              <w:rPr>
                <w:sz w:val="14"/>
                <w:szCs w:val="14"/>
                <w:color w:val="auto"/>
              </w:rPr>
            </w:pPr>
          </w:p>
        </w:tc>
        <w:tc>
          <w:tcPr>
            <w:tcW w:w="196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February 17, 2020 -</w:t>
            </w:r>
          </w:p>
        </w:tc>
        <w:tc>
          <w:tcPr>
            <w:tcW w:w="0" w:type="dxa"/>
            <w:vAlign w:val="bottom"/>
          </w:tcPr>
          <w:p>
            <w:pPr>
              <w:spacing w:after="0"/>
              <w:rPr>
                <w:sz w:val="1"/>
                <w:szCs w:val="1"/>
                <w:color w:val="auto"/>
              </w:rPr>
            </w:pPr>
          </w:p>
        </w:tc>
      </w:tr>
      <w:tr>
        <w:trPr>
          <w:trHeight w:val="188"/>
        </w:trPr>
        <w:tc>
          <w:tcPr>
            <w:tcW w:w="66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March 31, 2021</w:t>
            </w: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ind w:right="217"/>
              <w:spacing w:after="0"/>
              <w:rPr>
                <w:sz w:val="20"/>
                <w:szCs w:val="20"/>
                <w:color w:val="auto"/>
              </w:rPr>
            </w:pPr>
            <w:r>
              <w:rPr>
                <w:rFonts w:ascii="Arial" w:cs="Arial" w:eastAsia="Arial" w:hAnsi="Arial"/>
                <w:sz w:val="18"/>
                <w:szCs w:val="18"/>
                <w:color w:val="auto"/>
                <w:w w:val="92"/>
              </w:rPr>
              <w:t>(unaudited)</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right="237"/>
              <w:spacing w:after="0"/>
              <w:rPr>
                <w:sz w:val="20"/>
                <w:szCs w:val="20"/>
                <w:color w:val="auto"/>
              </w:rPr>
            </w:pPr>
            <w:r>
              <w:rPr>
                <w:rFonts w:ascii="Arial" w:cs="Arial" w:eastAsia="Arial" w:hAnsi="Arial"/>
                <w:sz w:val="18"/>
                <w:szCs w:val="18"/>
                <w:color w:val="auto"/>
                <w:w w:val="92"/>
              </w:rPr>
              <w:t>(unaudited)</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210,569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143,439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19,006</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21,025</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Net Earnings for the period February 17, 2021 - March 31, 2021 includes amortization of intangible assets acquired upon closing of the Acima Holdings acquisition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for the periods ended March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 2021</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429,301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302,526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745,534</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232,793</w:t>
            </w: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17,773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997,018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33,055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524,866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1,036,782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 2020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393,165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161,998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568,000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101,380</w:t>
            </w:r>
          </w:p>
        </w:tc>
        <w:tc>
          <w:tcPr>
            <w:tcW w:w="0" w:type="dxa"/>
            <w:vAlign w:val="bottom"/>
          </w:tcPr>
          <w:p>
            <w:pPr>
              <w:spacing w:after="0"/>
              <w:rPr>
                <w:sz w:val="1"/>
                <w:szCs w:val="1"/>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14,747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684,849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12,437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454,965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216,127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701,939</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Purchase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Acima, and Mexico</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Rentals and Fees. </w:t>
      </w:r>
      <w:r>
        <w:rPr>
          <w:rFonts w:ascii="Arial" w:cs="Arial" w:eastAsia="Arial" w:hAnsi="Arial"/>
          <w:sz w:val="18"/>
          <w:szCs w:val="18"/>
          <w:color w:val="auto"/>
        </w:rPr>
        <w:t>Rental merchandise is leased to customers pursuant to rental purchase agreements, which provide for weekly, semi-monthly or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rental terms with non-refundable rental payments. At the expiration of each rental term, customers may renew the rental agreement for the next rental term. Generally, the customer has the right to acquire title of the merchandise either through a purchase option or through payment of all required rental terms. Customers can terminate the rental agreement at the end of any rental term without penalty. Therefore, rental transactions are accounted for as operating leases.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Rental payments received at our Rent-A-Center Business, Acima (excluding virtual) and Mexico locations must be prepaid in advance of the next rental term. Under the virtual business model, revenues may be earned prior to the rental payment due date, in which case revenue is accrued prior to receipt of the rental payment, net of estimated returns and uncollectible renewal payments. Under both models, rental revenue is recognized over the rental term. See Note 4 for additional information regarding accrued rental revenue.</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received for rental payments, including fees, prior to the period in which it should be recognized, is deferred and recognized according to the rental term. At March 31, 2021 and December 31, 2020, we had $58.3 million and $45.8 million, respectively, in deferred revenue included in accrued liabilities related to our rental purchase agreements. Revenue related to various payment, reinstatement or late fees is recognized when paid by the customer at the point service is provided. Rental merchandise in our Rent-A-Center Business, formerly Preferred Lease, and Mexico locations is depreciated using the income forecasting method and is recognized in cost of sales over the rental term. Rental merchandise in the recently acquired Acima Holdings is depreciated over the rental term using a straight-line depreciation method.</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offer additional product plans along with our rental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Acima, and Mexico</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Merchandise Sales. </w:t>
      </w:r>
      <w:r>
        <w:rPr>
          <w:rFonts w:ascii="Arial" w:cs="Arial" w:eastAsia="Arial" w:hAnsi="Arial"/>
          <w:sz w:val="16"/>
          <w:szCs w:val="16"/>
          <w:color w:val="auto"/>
        </w:rPr>
        <w:t>Merchandise sales include payments received for the exercise of the early purchase option offered through our rental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Installment Sales. </w:t>
      </w:r>
      <w:r>
        <w:rPr>
          <w:rFonts w:ascii="Arial" w:cs="Arial" w:eastAsia="Arial" w:hAnsi="Arial"/>
          <w:sz w:val="18"/>
          <w:szCs w:val="18"/>
          <w:color w:val="auto"/>
        </w:rPr>
        <w:t>Revenue from the sale of merchandise in our retail installment stores is recognized when the installment note is signed and control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has passed to the customer. The cost of merchandise sold through installment agreements is recognized in cost of sales at the time of the transaction. We offer extended service plans with our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March 31, 2021 and December 31, 2020, we had $2.9 million and $3.1 million in deferred revenue included in accrued liabilities related to extended service plans.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consisted of revenue generated by other miscellaneous product plans offered to our rental and installment customers. Revenue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product plans is recognized in accordance with the terms of the applicable plan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Merchandise Sales. </w:t>
      </w:r>
      <w:r>
        <w:rPr>
          <w:rFonts w:ascii="Arial" w:cs="Arial" w:eastAsia="Arial" w:hAnsi="Arial"/>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Royalty Income and Fees. </w:t>
      </w:r>
      <w:r>
        <w:rPr>
          <w:rFonts w:ascii="Arial" w:cs="Arial" w:eastAsia="Arial" w:hAnsi="Arial"/>
          <w:sz w:val="18"/>
          <w:szCs w:val="18"/>
          <w:color w:val="auto"/>
        </w:rPr>
        <w:t>Franchise royalties, including franchisee contributions to corporate advertising funds, represent sales-based royalties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both March 31, 2021 and December 31, 2020, we had $4.7 million in deferred revenue included in accrued liabilities related to franchise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Allowance for Doubtful Accounts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Installment sales receivables consist primarily of receivables due from customers for the sale of merchandise in our retail installment stores. Installment sales receivable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the three months ended March 31, 2021 and 2020 was $3.1 million and $2.8 million, respectively.</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Trade and notes receivables consist of amounts due from our rental customers for renewal and uncollected rental payments; amounts owed from our franchisees for inventory purchases, earned royalties and other obligations; and other corporate related receivables. Credit is extended based on an evaluation of a franchisee’s financial condition and collateral is generally not required. Trade receivables are generally due within 30 days.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Installment sales receivables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60,798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61,794</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and notes receivables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36,256</w:t>
            </w:r>
          </w:p>
        </w:tc>
      </w:tr>
      <w:tr>
        <w:trPr>
          <w:trHeight w:val="213"/>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receivables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98,050</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doubtful accounts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w w:val="94"/>
              </w:rPr>
              <w:t>(8,047)</w:t>
            </w:r>
          </w:p>
        </w:tc>
      </w:tr>
      <w:tr>
        <w:trPr>
          <w:trHeight w:val="238"/>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receivables, net of allowance for doubtful accounts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90,003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our Franchising trade and note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doubtful accounts related to trade and notes receivable was $1.0 million, and the allowance for doubtful accounts related to installment sales receivable was $7.0 million at both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allowance for doubtful accounts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March 31, 2021</w:t>
            </w: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allowance for doubtful accounts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center"/>
              <w:ind w:left="861"/>
              <w:spacing w:after="0"/>
              <w:rPr>
                <w:sz w:val="20"/>
                <w:szCs w:val="20"/>
                <w:color w:val="auto"/>
              </w:rPr>
            </w:pPr>
            <w:r>
              <w:rPr>
                <w:rFonts w:ascii="Arial" w:cs="Arial" w:eastAsia="Arial" w:hAnsi="Arial"/>
                <w:sz w:val="16"/>
                <w:szCs w:val="16"/>
                <w:color w:val="auto"/>
                <w:w w:val="94"/>
              </w:rPr>
              <w:t>8,047</w:t>
            </w:r>
          </w:p>
        </w:tc>
      </w:tr>
      <w:tr>
        <w:trPr>
          <w:trHeight w:val="216"/>
        </w:trPr>
        <w:tc>
          <w:tcPr>
            <w:tcW w:w="95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Bad debt expense </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440" w:type="dxa"/>
            <w:vAlign w:val="bottom"/>
          </w:tcPr>
          <w:p>
            <w:pPr>
              <w:jc w:val="center"/>
              <w:ind w:left="861"/>
              <w:spacing w:after="0"/>
              <w:rPr>
                <w:sz w:val="20"/>
                <w:szCs w:val="20"/>
                <w:color w:val="auto"/>
              </w:rPr>
            </w:pPr>
            <w:r>
              <w:rPr>
                <w:rFonts w:ascii="Arial" w:cs="Arial" w:eastAsia="Arial" w:hAnsi="Arial"/>
                <w:sz w:val="16"/>
                <w:szCs w:val="16"/>
                <w:color w:val="auto"/>
                <w:w w:val="94"/>
              </w:rPr>
              <w:t>3,449</w:t>
            </w:r>
          </w:p>
        </w:tc>
      </w:tr>
      <w:tr>
        <w:trPr>
          <w:trHeight w:val="213"/>
        </w:trPr>
        <w:tc>
          <w:tcPr>
            <w:tcW w:w="9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written off, net of recoveries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841"/>
              <w:spacing w:after="0"/>
              <w:rPr>
                <w:sz w:val="20"/>
                <w:szCs w:val="20"/>
                <w:color w:val="auto"/>
              </w:rPr>
            </w:pPr>
            <w:r>
              <w:rPr>
                <w:rFonts w:ascii="Arial" w:cs="Arial" w:eastAsia="Arial" w:hAnsi="Arial"/>
                <w:sz w:val="16"/>
                <w:szCs w:val="16"/>
                <w:color w:val="auto"/>
                <w:w w:val="94"/>
              </w:rPr>
              <w:t>(3,515)</w:t>
            </w:r>
          </w:p>
        </w:tc>
      </w:tr>
      <w:tr>
        <w:trPr>
          <w:trHeight w:val="213"/>
        </w:trPr>
        <w:tc>
          <w:tcPr>
            <w:tcW w:w="9580" w:type="dxa"/>
            <w:vAlign w:val="bottom"/>
          </w:tcPr>
          <w:p>
            <w:pPr>
              <w:ind w:left="60"/>
              <w:spacing w:after="0"/>
              <w:rPr>
                <w:sz w:val="20"/>
                <w:szCs w:val="20"/>
                <w:color w:val="auto"/>
              </w:rPr>
            </w:pPr>
            <w:r>
              <w:rPr>
                <w:rFonts w:ascii="Arial" w:cs="Arial" w:eastAsia="Arial" w:hAnsi="Arial"/>
                <w:sz w:val="16"/>
                <w:szCs w:val="16"/>
                <w:color w:val="auto"/>
              </w:rPr>
              <w:t>Ending allowance for doubtful accounts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center"/>
              <w:ind w:left="861"/>
              <w:spacing w:after="0"/>
              <w:rPr>
                <w:sz w:val="20"/>
                <w:szCs w:val="20"/>
                <w:color w:val="auto"/>
              </w:rPr>
            </w:pPr>
            <w:r>
              <w:rPr>
                <w:rFonts w:ascii="Arial" w:cs="Arial" w:eastAsia="Arial" w:hAnsi="Arial"/>
                <w:sz w:val="16"/>
                <w:szCs w:val="16"/>
                <w:color w:val="auto"/>
                <w:w w:val="94"/>
              </w:rPr>
              <w:t>7,981</w:t>
            </w:r>
          </w:p>
        </w:tc>
      </w:tr>
      <w:tr>
        <w:trPr>
          <w:trHeight w:val="20"/>
        </w:trPr>
        <w:tc>
          <w:tcPr>
            <w:tcW w:w="9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3"/>
          <w:szCs w:val="13"/>
          <w:color w:val="auto"/>
          <w:vertAlign w:val="superscript"/>
        </w:rPr>
      </w:pPr>
      <w:r>
        <w:rPr>
          <w:rFonts w:ascii="Arial" w:cs="Arial" w:eastAsia="Arial" w:hAnsi="Arial"/>
          <w:sz w:val="10"/>
          <w:szCs w:val="10"/>
          <w:color w:val="auto"/>
        </w:rPr>
        <w:t>Uncollectible installment payments, franchisee obligations, and other corporate receivables are recognized in other store operating expenses in our condensed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lease space for all of our Rent-A-Center Business and Mexico stores under operating leases expiring at various times through 2027. 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 We include month-to-month leases in operating lease right-of-use assets and operating lease liabilities in our Condensed Consolidated Balance Sheet. In certain situations involving the sale of a Rent-A-Center Business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 We also lease vehicles for all of our Mexico stores which have terms expiring at various times through 2025 with rental rates adjusted periodically for inflation. Finally, we have a minimal number of equipment leases, primarily related to temporary storage containers and certain back office technology hardware assets.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all of the leases described above, we have elected not to separate the lease and non-lease components and instead account for these as a single component. In addition, we have elected to use available practical expedients that eliminate the requirement to reassess whether expired or existing contracts contained leases and the requirement to reassess the lease classification for any existing leases prior to our adoption of ASU 2016-02 on January 1, 2019.</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lease right-of-use assets and operating lease liabilities are discounted using our incremental borrowing rate, since the implicit rate is not readily determinable. We do not currently have any financing leases.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are recorded on a straight-line basis within other store expenses in our Condensed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costs by expense type: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4"/>
          </w:tcPr>
          <w:p>
            <w:pPr>
              <w:jc w:val="right"/>
              <w:ind w:right="1074"/>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7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6"/>
                <w:szCs w:val="16"/>
                <w:color w:val="auto"/>
              </w:rPr>
            </w:pPr>
          </w:p>
        </w:tc>
        <w:tc>
          <w:tcPr>
            <w:tcW w:w="152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 2020</w:t>
            </w:r>
          </w:p>
        </w:tc>
      </w:tr>
      <w:tr>
        <w:trPr>
          <w:trHeight w:val="229"/>
        </w:trPr>
        <w:tc>
          <w:tcPr>
            <w:tcW w:w="76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Operating lease cost included in Other store expenses</w:t>
            </w:r>
            <w:r>
              <w:rPr>
                <w:rFonts w:ascii="Arial" w:cs="Arial" w:eastAsia="Arial" w:hAnsi="Arial"/>
                <w:sz w:val="23"/>
                <w:szCs w:val="23"/>
                <w:color w:val="auto"/>
                <w:vertAlign w:val="superscript"/>
              </w:rPr>
              <w:t>(1)(2)</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37,439</w:t>
            </w:r>
          </w:p>
        </w:tc>
      </w:tr>
      <w:tr>
        <w:trPr>
          <w:trHeight w:val="230"/>
        </w:trPr>
        <w:tc>
          <w:tcPr>
            <w:tcW w:w="7620" w:type="dxa"/>
            <w:vAlign w:val="bottom"/>
          </w:tcPr>
          <w:p>
            <w:pPr>
              <w:ind w:left="20"/>
              <w:spacing w:after="0" w:line="230" w:lineRule="exact"/>
              <w:rPr>
                <w:sz w:val="20"/>
                <w:szCs w:val="20"/>
                <w:color w:val="auto"/>
              </w:rPr>
            </w:pPr>
            <w:r>
              <w:rPr>
                <w:rFonts w:ascii="Arial" w:cs="Arial" w:eastAsia="Arial" w:hAnsi="Arial"/>
                <w:sz w:val="18"/>
                <w:szCs w:val="18"/>
                <w:color w:val="auto"/>
              </w:rPr>
              <w:t>Operating lease cost included in Other charges</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receipts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Total operating lease charges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35,891</w:t>
            </w: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Includes short-term lease costs, which are not significant.</w:t>
      </w:r>
    </w:p>
    <w:p>
      <w:pPr>
        <w:spacing w:after="0" w:line="9" w:lineRule="exact"/>
        <w:rPr>
          <w:rFonts w:ascii="Arial" w:cs="Arial" w:eastAsia="Arial" w:hAnsi="Arial"/>
          <w:sz w:val="13"/>
          <w:szCs w:val="13"/>
          <w:color w:val="auto"/>
          <w:vertAlign w:val="superscript"/>
        </w:rPr>
      </w:pPr>
    </w:p>
    <w:p>
      <w:pPr>
        <w:ind w:left="140" w:hanging="132"/>
        <w:spacing w:after="0" w:line="195"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Excludes variable lease costs of $8.5 million and $8.9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2460"/>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w:t>
      </w:r>
    </w:p>
    <w:p>
      <w:pPr>
        <w:sectPr>
          <w:pgSz w:w="11900" w:h="16838" w:orient="portrait"/>
          <w:cols w:equalWidth="0" w:num="1">
            <w:col w:w="11240"/>
          </w:cols>
          <w:pgMar w:left="320" w:top="121" w:right="339" w:bottom="1440" w:gutter="0" w:footer="0" w:header="0"/>
        </w:sect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right="400"/>
        <w:spacing w:after="0"/>
        <w:tabs>
          <w:tab w:leader="none" w:pos="900" w:val="left"/>
        </w:tabs>
        <w:rPr>
          <w:sz w:val="20"/>
          <w:szCs w:val="20"/>
          <w:color w:val="auto"/>
        </w:rPr>
      </w:pPr>
      <w:r>
        <w:rPr>
          <w:rFonts w:ascii="Arial" w:cs="Arial" w:eastAsia="Arial" w:hAnsi="Arial"/>
          <w:sz w:val="14"/>
          <w:szCs w:val="14"/>
          <w:b w:val="1"/>
          <w:bCs w:val="1"/>
          <w:color w:val="auto"/>
        </w:rPr>
        <w:t>March 31, 2021</w:t>
      </w:r>
      <w:r>
        <w:rPr>
          <w:sz w:val="20"/>
          <w:szCs w:val="20"/>
          <w:color w:val="auto"/>
        </w:rPr>
        <w:tab/>
      </w:r>
      <w:r>
        <w:rPr>
          <w:rFonts w:ascii="Arial" w:cs="Arial" w:eastAsia="Arial" w:hAnsi="Arial"/>
          <w:sz w:val="13"/>
          <w:szCs w:val="13"/>
          <w:b w:val="1"/>
          <w:bCs w:val="1"/>
          <w:color w:val="auto"/>
        </w:rPr>
        <w:t>March 31, 2020</w:t>
      </w:r>
    </w:p>
    <w:p>
      <w:pPr>
        <w:spacing w:after="0" w:line="25" w:lineRule="exact"/>
        <w:rPr>
          <w:sz w:val="20"/>
          <w:szCs w:val="20"/>
          <w:color w:val="auto"/>
        </w:rPr>
      </w:pPr>
    </w:p>
    <w:p>
      <w:pPr>
        <w:sectPr>
          <w:pgSz w:w="11900" w:h="16838" w:orient="portrait"/>
          <w:cols w:equalWidth="0" w:num="2">
            <w:col w:w="7300" w:space="720"/>
            <w:col w:w="3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operating lease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26,572</w:t>
            </w: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29,881</w:t>
            </w: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Cash paid for short-term operating leases not included in operating lease liabilities</w:t>
            </w:r>
          </w:p>
        </w:tc>
        <w:tc>
          <w:tcPr>
            <w:tcW w:w="18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4,580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6,736</w:t>
            </w:r>
          </w:p>
        </w:tc>
      </w:tr>
      <w:tr>
        <w:trPr>
          <w:trHeight w:val="23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20,619</w:t>
            </w:r>
          </w:p>
        </w:tc>
      </w:tr>
      <w:tr>
        <w:trPr>
          <w:trHeight w:val="324"/>
        </w:trPr>
        <w:tc>
          <w:tcPr>
            <w:tcW w:w="7600" w:type="dxa"/>
            <w:vAlign w:val="bottom"/>
            <w:gridSpan w:val="2"/>
          </w:tcPr>
          <w:p>
            <w:pPr>
              <w:spacing w:after="0"/>
              <w:rPr>
                <w:sz w:val="20"/>
                <w:szCs w:val="20"/>
                <w:color w:val="auto"/>
              </w:rPr>
            </w:pPr>
            <w:r>
              <w:rPr>
                <w:rFonts w:ascii="Arial" w:cs="Arial" w:eastAsia="Arial" w:hAnsi="Arial"/>
                <w:sz w:val="18"/>
                <w:szCs w:val="18"/>
                <w:color w:val="auto"/>
              </w:rPr>
              <w:t>Weighted-average discount rate and weighted-average remaining lease term:</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0"/>
        </w:trPr>
        <w:tc>
          <w:tcPr>
            <w:tcW w:w="7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8"/>
                <w:szCs w:val="18"/>
                <w:color w:val="auto"/>
              </w:rPr>
            </w:pPr>
          </w:p>
        </w:tc>
        <w:tc>
          <w:tcPr>
            <w:tcW w:w="170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8"/>
                <w:szCs w:val="18"/>
                <w:color w:val="auto"/>
              </w:rPr>
            </w:pPr>
          </w:p>
        </w:tc>
        <w:tc>
          <w:tcPr>
            <w:tcW w:w="1600" w:type="dxa"/>
            <w:vAlign w:val="bottom"/>
          </w:tcPr>
          <w:p>
            <w:pPr>
              <w:jc w:val="right"/>
              <w:ind w:right="273"/>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38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Weighted-average discount rate</w:t>
            </w:r>
            <w:r>
              <w:rPr>
                <w:rFonts w:ascii="Arial" w:cs="Arial" w:eastAsia="Arial" w:hAnsi="Arial"/>
                <w:sz w:val="23"/>
                <w:szCs w:val="23"/>
                <w:color w:val="auto"/>
                <w:vertAlign w:val="superscript"/>
              </w:rPr>
              <w:t>(1)</w:t>
            </w:r>
          </w:p>
        </w:tc>
        <w:tc>
          <w:tcPr>
            <w:tcW w:w="2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93"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The January 1, 2019 incremental borrowing rate was used for leases in existence at the time of adoption of ASU 2016-02.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undiscounted operating lease liabilities to the present value operating lease liabilities at March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rPr>
              <w:t>Operating Leases</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84,302</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2022</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90,915</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64,787</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2024</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46,838</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31,296</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22,304</w:t>
            </w: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undiscounted operating lease liabilities</w:t>
            </w:r>
          </w:p>
        </w:tc>
        <w:tc>
          <w:tcPr>
            <w:tcW w:w="5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340,442</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(40,550)</w:t>
            </w:r>
          </w:p>
        </w:tc>
      </w:tr>
      <w:tr>
        <w:trPr>
          <w:trHeight w:val="23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present value of operating lease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299,892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and related government restrictions negatively impacting our operations, we renegotiated approximately 500 store lease agreements in the second quarter of 2020 to obtain rent relief, in order to help offset the negative financial impacts of COVID-19. Lease amendments executed as a result of our renegotiations included near term rent abatements of approximately $2.3 million and rent deferrals of approximately $2.1 million. As of March 31, 2021, remaining unpaid deferred rent associated with these lease amendments was approximately $0.4 million, the majority of which will be repaid in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effective tax rate was 13.8% for the three months ended March 31, 2021, compared to (10.6)% in 2020. The effective tax rate for the three months ended March 31, 2021 was impacted by the tax effect of the equity consideration included in the Aggregate Stock Consideration subject to vesting conditions, and discrete income tax items related to excess tax benefits from the vesting of our annual restricted stock award grants and stock option exercises, and the release of domestic and foreign tax valuation allowances. The effective tax rate for the three months ended March 31, 2020 was primarily impacted as a result of the tax benefit of net operating loss carrybacks at a 35% tax rate that became available as a result of the Coronavirus Aid, Relief, and Economic Security Act, enacted on March 27, 2020 (the “CARES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Debt, net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2021, we entered into a credit agreement with JPMorgan Chase Bank, N.A., as administrative agent, and lenders party thereto, that provides for a seven-year $875 million senior secured term loan facility (the “Term Loan Facility”) and an Asset Based Loan Credit Facility (the “ABL Credit Facility”) that provides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outstanding under the Term Loan Facility was $875.0 million at March 31, 2021. In addition, we had $55.0 million outstanding under our ABL Credit Facility at March 31, 2021 and borrowing capacity availability of $405.2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Proceeds from the Term Loan Credit Facility were net of original issue discount of $4.4 million upon issuance from the lenders. In addition, in connection with the closing of the Term Loan Credit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Condensed Consolidated Balance Sheet. Remaining debt issuance costs incurred of $4.9 million were expensed and recorded to Other charges in our Condensed Consolidated Statement of Operations. The original issue discount and capitalized debt issuance costs will be amortized as interest expense over the terms of the respective credit agreements. As of March 31, 2021, the total balance of unamortized of debt issuance costs relating to our senior debt, including rollover debt issuance costs from our previous senior debt credit facilities of approximately $3.0 million, and original issue discount reported in the Condensed Consolidated Balance Sheet were $27.8 million and $4.3 million, respectively.</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utilize the ABL Credit Facility for the issuance of letters of credit. As of March 31, 2021, we have issued letters of credit in the aggregate outstanding amount of $89.8 million primarily relating to workers compensation insurance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on borrowings under the Term Loan Facility is payable at a fluctuating rate of interest determined by reference to the eurodollar rate plus an applicable margin of 4.00%, subject to a 0.75% LIBOR floor. Borrowings under the Term Loan Facility amortize in equal quarterly installments in an amount equal to 1.000% per annum of the original aggregate principal amount thereof, with the remaining balance due at final maturity.</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Term Loan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Any voluntary prepayment of the Term Loan Facility made using proceeds from a substantially concurrent incurrence of indebtedness and in connection with a repricing transaction in the first six months following the closing date of the Acquisition will be subject to a 1.00% prepayment premium, except that no such prepayment premium will be required in connection with a change of control or a transformative acquisition. These covenants are subject to a number of limitations and exceptions set forth in the documentation governing the Term Loan.</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payable in the transaction, repay certain of our outstanding indebtedness and our subsidiaries, repay all outstanding indebtedness of Acima Holdings and its subsidiaries and pay certain fees and expenses incurred in connection with the transaction. A portion of such proceeds were used to repay $197.5 million outstanding under the prior term loan facility, dated as of August 5, 2019, among us, JPMorgan Chase Bank, N.A., as administrative agent, and the lenders party thereto (the “Prior Term Loan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Credit Facility bears interest at a fluctuating rate determined by reference to the eurodollar rate plus an applicable margin of 1.50% to 2.00%. The total interest rate on the ABL Credit Facility at March 31, 2021 was 2.125%. A commitment fee equal to 0.250% to 0.375% of the unused portion of the ABL Credit Facility fluctuates dependent upon average utilization for the prior month as defined by a pricing grid included in the documentation governing the ABL Credit Facility. The commitment fee at March 31, 2021 was 0.375%. We paid $0.7 million of commitment fees during the first quarter of 2021.</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ABL Facility also requires the maintenance of a consolidated fixed charge coverage ratio of 1.10 to 1.00 at the end of each fiscal quarter when either</w:t>
      </w:r>
    </w:p>
    <w:p>
      <w:pPr>
        <w:spacing w:after="0" w:line="46" w:lineRule="exact"/>
        <w:rPr>
          <w:sz w:val="20"/>
          <w:szCs w:val="20"/>
          <w:color w:val="auto"/>
        </w:rPr>
      </w:pPr>
    </w:p>
    <w:p>
      <w:pPr>
        <w:jc w:val="both"/>
        <w:ind w:firstLine="8"/>
        <w:spacing w:after="0" w:line="255" w:lineRule="auto"/>
        <w:tabs>
          <w:tab w:leader="none" w:pos="222"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specified events of default have occurred and are continuing or (ii) availability is less than or equal to the greater of $56.25 million and 15% of the line cap then in effect. These covenants are subject to a number of limitations and exceptions set forth in the documentation governing the ABL Facility. The fixed charge coverage ratio as of March 31, 2021 was 1.99 to 1.00.</w:t>
      </w:r>
    </w:p>
    <w:p>
      <w:pPr>
        <w:spacing w:after="0" w:line="8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documentation governing the ABL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scheduled maturity dates of our outstanding debt at March 31, 2021 for each of the years ending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 Loan</w:t>
            </w:r>
          </w:p>
        </w:tc>
        <w:tc>
          <w:tcPr>
            <w:tcW w:w="18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ABL Credit</w:t>
            </w:r>
          </w:p>
        </w:tc>
        <w:tc>
          <w:tcPr>
            <w:tcW w:w="260" w:type="dxa"/>
            <w:vAlign w:val="bottom"/>
          </w:tcPr>
          <w:p>
            <w:pPr>
              <w:spacing w:after="0"/>
              <w:rPr>
                <w:sz w:val="14"/>
                <w:szCs w:val="14"/>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833,437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888,437</w:t>
            </w:r>
          </w:p>
        </w:tc>
        <w:tc>
          <w:tcPr>
            <w:tcW w:w="0" w:type="dxa"/>
            <w:vAlign w:val="bottom"/>
          </w:tcPr>
          <w:p>
            <w:pPr>
              <w:spacing w:after="0"/>
              <w:rPr>
                <w:sz w:val="1"/>
                <w:szCs w:val="1"/>
                <w:color w:val="auto"/>
              </w:rPr>
            </w:pPr>
          </w:p>
        </w:tc>
      </w:tr>
      <w:tr>
        <w:trPr>
          <w:trHeight w:val="235"/>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senior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930,000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8 -Senior Notes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beginning on August 15, 2021.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 Debt issuance costs will be amortized as interest expense over the term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March 31, 2021 and December 31, 2020,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Notes is based on Level 1 inputs and was as follows at March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March 31, 2021</w:t>
            </w: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8"/>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Carrying Value</w:t>
            </w:r>
          </w:p>
        </w:tc>
        <w:tc>
          <w:tcPr>
            <w:tcW w:w="320" w:type="dxa"/>
            <w:vAlign w:val="bottom"/>
          </w:tcPr>
          <w:p>
            <w:pPr>
              <w:spacing w:after="0"/>
              <w:rPr>
                <w:sz w:val="16"/>
                <w:szCs w:val="16"/>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Arial" w:cs="Arial" w:eastAsia="Arial" w:hAnsi="Arial"/>
                <w:sz w:val="14"/>
                <w:szCs w:val="14"/>
                <w:b w:val="1"/>
                <w:bCs w:val="1"/>
                <w:color w:val="auto"/>
              </w:rPr>
              <w:t>Difference</w:t>
            </w:r>
          </w:p>
        </w:tc>
      </w:tr>
      <w:tr>
        <w:trPr>
          <w:trHeight w:val="211"/>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477,000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27,000</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Charges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Acima Holdings Acquisition. </w:t>
      </w:r>
      <w:r>
        <w:rPr>
          <w:rFonts w:ascii="Arial" w:cs="Arial" w:eastAsia="Arial" w:hAnsi="Arial"/>
          <w:sz w:val="18"/>
          <w:szCs w:val="18"/>
          <w:color w:val="auto"/>
        </w:rPr>
        <w:t>As described in Note 2, on February 17, 2021, we completed the acquisition of Acima Holdings, a leading provider of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lease-to-own solutions. Included in the aggregate consideration issued to the former owners of Acima Holdings was 8,096,595 of common shares, valued at $414.1 million, subject to 36-month vesting conditions under restricted stock agreements, which will be recognized over the vesting term as stock compensation expense. During the three months ended March 31, 2021, we recognized approximately $15.9 million in stock compensation expense related to these restricted stock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assets acquired as part of the transaction included $520 million in intangible assets and $170 million in developed technology. During the three months ended March 31, 2021, we recognized approximately $1.3 million in depreciation expense and approximately $14.0 million in amortization expense related to these assets.</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Furthermore, during the three months ended March 31, 2021 we recognized approximately $16.4 million in transaction costs associated with the closing of the transaction, and approximately $3.2 million in post-acquisition integration costs, including $2.8 million in employee severance and $0.4 million in reorganization advisory fees.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respect to Other charges for the three months ended March 31, 2021 is summarized in the below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Accrued Charges at</w:t>
            </w:r>
          </w:p>
        </w:tc>
        <w:tc>
          <w:tcPr>
            <w:tcW w:w="220" w:type="dxa"/>
            <w:vAlign w:val="bottom"/>
          </w:tcPr>
          <w:p>
            <w:pPr>
              <w:spacing w:after="0"/>
              <w:rPr>
                <w:sz w:val="14"/>
                <w:szCs w:val="14"/>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Charges &amp;</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Payments &amp;</w:t>
            </w:r>
          </w:p>
        </w:tc>
        <w:tc>
          <w:tcPr>
            <w:tcW w:w="120" w:type="dxa"/>
            <w:vAlign w:val="bottom"/>
          </w:tcPr>
          <w:p>
            <w:pPr>
              <w:spacing w:after="0"/>
              <w:rPr>
                <w:sz w:val="14"/>
                <w:szCs w:val="14"/>
                <w:color w:val="auto"/>
              </w:rPr>
            </w:pPr>
          </w:p>
        </w:tc>
        <w:tc>
          <w:tcPr>
            <w:tcW w:w="1340" w:type="dxa"/>
            <w:vAlign w:val="bottom"/>
          </w:tcPr>
          <w:p>
            <w:pPr>
              <w:jc w:val="right"/>
              <w:ind w:right="16"/>
              <w:spacing w:after="0"/>
              <w:rPr>
                <w:sz w:val="20"/>
                <w:szCs w:val="20"/>
                <w:color w:val="auto"/>
              </w:rPr>
            </w:pPr>
            <w:r>
              <w:rPr>
                <w:rFonts w:ascii="Arial" w:cs="Arial" w:eastAsia="Arial" w:hAnsi="Arial"/>
                <w:sz w:val="14"/>
                <w:szCs w:val="14"/>
                <w:b w:val="1"/>
                <w:bCs w:val="1"/>
                <w:color w:val="auto"/>
                <w:w w:val="92"/>
              </w:rPr>
              <w:t>Accrued Charges at</w:t>
            </w:r>
          </w:p>
        </w:tc>
        <w:tc>
          <w:tcPr>
            <w:tcW w:w="0" w:type="dxa"/>
            <w:vAlign w:val="bottom"/>
          </w:tcPr>
          <w:p>
            <w:pPr>
              <w:spacing w:after="0"/>
              <w:rPr>
                <w:sz w:val="1"/>
                <w:szCs w:val="1"/>
                <w:color w:val="auto"/>
              </w:rPr>
            </w:pPr>
          </w:p>
        </w:tc>
      </w:tr>
      <w:tr>
        <w:trPr>
          <w:trHeight w:val="188"/>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340" w:type="dxa"/>
            <w:vAlign w:val="bottom"/>
          </w:tcPr>
          <w:p>
            <w:pPr>
              <w:jc w:val="right"/>
              <w:ind w:right="176"/>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charges: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Acima Holdings transaction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16,406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(20,893)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 Holdings integration costs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Other cash charges</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charges: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Depreciation and amortization of acquired assets</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Acima Holdings employees stock agreements</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Total other charges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Represents employee severance, shutdown and holding expenses related to store closures.</w:t>
      </w:r>
    </w:p>
    <w:p>
      <w:pPr>
        <w:ind w:left="140" w:hanging="132"/>
        <w:spacing w:after="0" w:line="221" w:lineRule="auto"/>
        <w:tabs>
          <w:tab w:leader="none" w:pos="14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Represents depreciation recorded on the incremental fair value of acquired software and amortization of the fair value of intangible assets acquired in connection with the acquisition of Acima Holdings as described Note</w:t>
      </w:r>
    </w:p>
    <w:p>
      <w:pPr>
        <w:spacing w:after="0"/>
        <w:rPr>
          <w:rFonts w:ascii="Arial" w:cs="Arial" w:eastAsia="Arial" w:hAnsi="Arial"/>
          <w:sz w:val="14"/>
          <w:szCs w:val="14"/>
          <w:color w:val="auto"/>
          <w:vertAlign w:val="superscript"/>
        </w:rPr>
      </w:pPr>
      <w:r>
        <w:rPr>
          <w:rFonts w:ascii="Arial" w:cs="Arial" w:eastAsia="Arial" w:hAnsi="Arial"/>
          <w:sz w:val="13"/>
          <w:szCs w:val="13"/>
          <w:color w:val="auto"/>
        </w:rPr>
        <w:t>2.</w:t>
      </w:r>
    </w:p>
    <w:p>
      <w:pPr>
        <w:ind w:left="140" w:hanging="132"/>
        <w:spacing w:after="0" w:line="206" w:lineRule="auto"/>
        <w:tabs>
          <w:tab w:leader="none" w:pos="140" w:val="left"/>
        </w:tabs>
        <w:numPr>
          <w:ilvl w:val="0"/>
          <w:numId w:val="8"/>
        </w:numPr>
        <w:rPr>
          <w:rFonts w:ascii="Arial" w:cs="Arial" w:eastAsia="Arial" w:hAnsi="Arial"/>
          <w:sz w:val="15"/>
          <w:szCs w:val="15"/>
          <w:color w:val="auto"/>
          <w:vertAlign w:val="superscript"/>
        </w:rPr>
      </w:pPr>
      <w:r>
        <w:rPr>
          <w:rFonts w:ascii="Arial" w:cs="Arial" w:eastAsia="Arial" w:hAnsi="Arial"/>
          <w:sz w:val="12"/>
          <w:szCs w:val="12"/>
          <w:color w:val="auto"/>
        </w:rPr>
        <w:t>Represents stock compensation expense recognized in the first quarter of 2021, related to common shares issued to Acima Holdings employees subject to vesting restrictions, as described in Note 2.</w:t>
      </w:r>
    </w:p>
    <w:p>
      <w:pPr>
        <w:ind w:left="140" w:hanging="132"/>
        <w:spacing w:after="0" w:line="209" w:lineRule="auto"/>
        <w:tabs>
          <w:tab w:leader="none" w:pos="140" w:val="left"/>
        </w:tabs>
        <w:numPr>
          <w:ilvl w:val="0"/>
          <w:numId w:val="8"/>
        </w:numPr>
        <w:rPr>
          <w:rFonts w:ascii="Arial" w:cs="Arial" w:eastAsia="Arial" w:hAnsi="Arial"/>
          <w:sz w:val="15"/>
          <w:szCs w:val="15"/>
          <w:color w:val="auto"/>
          <w:vertAlign w:val="superscript"/>
        </w:rPr>
      </w:pPr>
      <w:r>
        <w:rPr>
          <w:rFonts w:ascii="Arial" w:cs="Arial" w:eastAsia="Arial" w:hAnsi="Arial"/>
          <w:sz w:val="12"/>
          <w:szCs w:val="12"/>
          <w:color w:val="auto"/>
        </w:rPr>
        <w:t>Asset impairments primarily includes impairments of operating lease right-of-use assets and other property assets related to the closure of Rent-A-Center Business stores in the first three months of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furniture, including mattresses, tires, consumer electronics, appliances, tools, handbags, computers, and accessories. Smartphones are also offered in our Rent-A-Center Business stores and franchise locations.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and nine months ended March 31, 2021 and 2020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338"/>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524,866</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454,965</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216,127</w:t>
            </w: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13,546</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17,301</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1,036,782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701,939</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359,169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317,558</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88,315</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9,528</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gross profit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510,523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420,178</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554"/>
        </w:trPr>
        <w:tc>
          <w:tcPr>
            <w:tcW w:w="76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121,277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67,943</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w:t>
            </w: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153,030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89,651</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(40,776)</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operating profit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48,875</w:t>
            </w:r>
          </w:p>
        </w:tc>
      </w:tr>
      <w:tr>
        <w:trPr>
          <w:trHeight w:val="21"/>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554"/>
        </w:trPr>
        <w:tc>
          <w:tcPr>
            <w:tcW w:w="76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4,577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4,957</w:t>
            </w:r>
          </w:p>
        </w:tc>
      </w:tr>
      <w:tr>
        <w:trPr>
          <w:trHeight w:val="230"/>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5,580</w:t>
            </w:r>
          </w:p>
        </w:tc>
      </w:tr>
      <w:tr>
        <w:trPr>
          <w:trHeight w:val="229"/>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(2)</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14,913</w:t>
            </w:r>
          </w:p>
        </w:tc>
      </w:tr>
      <w:tr>
        <w:trPr>
          <w:trHeight w:val="21"/>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00"/>
        <w:spacing w:after="0" w:line="220"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Excludes amortization of approximately $14.0 million recorded to Other charges in the Condensed Consolidated Statement of Operations, related to intangible assets acquired upon closing of the Acima Holdings acquisition</w:t>
      </w:r>
    </w:p>
    <w:p>
      <w:pPr>
        <w:spacing w:after="0"/>
        <w:rPr>
          <w:sz w:val="20"/>
          <w:szCs w:val="20"/>
          <w:color w:val="auto"/>
        </w:rPr>
      </w:pPr>
      <w:r>
        <w:rPr>
          <w:rFonts w:ascii="Arial" w:cs="Arial" w:eastAsia="Arial" w:hAnsi="Arial"/>
          <w:sz w:val="14"/>
          <w:szCs w:val="14"/>
          <w:color w:val="auto"/>
          <w:vertAlign w:val="superscript"/>
        </w:rPr>
        <w:t>(2)</w:t>
      </w:r>
      <w:r>
        <w:rPr>
          <w:rFonts w:ascii="Arial" w:cs="Arial" w:eastAsia="Arial" w:hAnsi="Arial"/>
          <w:sz w:val="11"/>
          <w:szCs w:val="11"/>
          <w:color w:val="auto"/>
        </w:rPr>
        <w:t>Excludes depreciation of approximately $1.3 million recorded to Other charges in the Condensed Consolidated Statement of Operations, related to software acquired upon closing of the Acima Holdings acquisition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6,257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3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capital expenditures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 rent rental merchandise, net</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446,180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444,945</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299,660</w:t>
            </w:r>
          </w:p>
        </w:tc>
      </w:tr>
      <w:tr>
        <w:trPr>
          <w:trHeight w:val="22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18,281</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on rent rental merchandise,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1,115,913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762,886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35"/>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24"/>
                <w:szCs w:val="24"/>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Held for rent rental merchandise, net</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127,120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136,219</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r>
      <w:tr>
        <w:trPr>
          <w:trHeight w:val="23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7,819</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held for rent rental merchandise,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35"/>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24"/>
                <w:szCs w:val="24"/>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by segment</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978,190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999,252</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389,650</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42,278</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2,596,775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1,445,909</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305,071</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3,006,958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1,750,980</w:t>
            </w:r>
          </w:p>
        </w:tc>
      </w:tr>
      <w:tr>
        <w:trPr>
          <w:trHeight w:val="21"/>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and Stock-Based Compensation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our current common stock repurchase program, our Board of Directors has authorized the purchase, from time to time, in the open market and privately negotiated transactions, up to an aggregate of $75 million of Rent-A-Center common stock. No shares were repurchased during the three months ended March 31, 2021. During the three months ended March 31, 2020, we repurchased 1,461,177 shares of our common stock for an aggregate purchase price of $26.5 million, which included shares having an aggregate purchase price of $10.0 million that were purchased under a repurchase program that was previously authorized by our Board of Directors until its replacement by the current program in March 2020. Under the March 2020 authorization, $58.4 million remains available for repurchases in the open market and privately negotiated transactions.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$4.3 million and $3.0 million in compensation expense related to stock awards issued under the Rent-A-Center 2016 Long-Term Incentive Plan (the “2016 Plan”) during the three months ended March 31, 2021 and 2020, respectively. During the three months ended March 31, 2021, we granted approximately 65,000 stock options, 238,000 market-based performance units and 141,000 time-vesting units under the 2016 Plan. The stock options granted were valued using a Black-Scholes pricing model with the following assumptions: an expected volatility of 47.54% to 52.80%, a risk-free interest rate of 0.21% to 0.47%, an expected dividend yield of 3.24%, and an expected term of 3.50 to 5.75 years. The weighted-average exercise price of the options granted during the three months ended March 31, 2021 was $38.29 and the weighted-average grant-date fair value was $12.20. Performance-based units and time-vesting restricted units were valued using our closing stock price on March 31, 2021.</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described in Note 2, Aggregate Stock Consideration issued to the former owners of Acima Holdings included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will be recognized as stock compensation expense over the vesting term in accordance with ASC Topic 718, “Stock-based Compensation”. We recognized $15.9 million in stock compensation expense related to these restricted stock agreements during the three months ended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40"/>
        <w:spacing w:after="0" w:line="352" w:lineRule="auto"/>
        <w:rPr>
          <w:sz w:val="20"/>
          <w:szCs w:val="20"/>
          <w:color w:val="auto"/>
        </w:rPr>
      </w:pPr>
      <w:r>
        <w:rPr>
          <w:rFonts w:ascii="Arial" w:cs="Arial" w:eastAsia="Arial" w:hAnsi="Arial"/>
          <w:sz w:val="18"/>
          <w:szCs w:val="18"/>
          <w:color w:val="auto"/>
        </w:rPr>
        <w:t xml:space="preserve">31, 2021, which was recorded to Other charges in our Condensed Consolidated Statements of Operations, as described in Note 10. </w:t>
      </w:r>
      <w:r>
        <w:rPr>
          <w:rFonts w:ascii="Arial" w:cs="Arial" w:eastAsia="Arial" w:hAnsi="Arial"/>
          <w:sz w:val="18"/>
          <w:szCs w:val="18"/>
          <w:b w:val="1"/>
          <w:bCs w:val="1"/>
          <w:color w:val="auto"/>
        </w:rPr>
        <w:t>Note 13 - Contingencies</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expect these losses to have a material impact on our condensed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w:t>
      </w:r>
    </w:p>
    <w:p>
      <w:pPr>
        <w:spacing w:after="0" w:line="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unclaimed property audits by states in the ordinary course of business. The property subject to review in the audit process include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in compliance with applicable escheat laws.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Acima Consumer Financial Protection Bureau investigation. </w:t>
      </w:r>
      <w:r>
        <w:rPr>
          <w:rFonts w:ascii="Arial" w:cs="Arial" w:eastAsia="Arial" w:hAnsi="Arial"/>
          <w:sz w:val="18"/>
          <w:szCs w:val="18"/>
          <w:color w:val="auto"/>
        </w:rPr>
        <w:t>Prior to the execution of the definitive agreement to acquire Acima Holdings, Acima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 Civil Investigative Demand dated October 1, 2020 (the “CID”) from the Consumer Financial Protection Bureau (the “CFPB”) requesting certain information, documents and data relating to Acima Holding’s products, services and practices for the period from January 1, 2015 to the date on which responses to the CID are provided in full. The purpose of the CID is to determine whether Acima Holdings extends credit, offers leases, or otherwise offers or provides a consumer financial product or service and whether Acima Holdings complies with certain consumer financial protection laws. We are fully cooperating with the CFPB investigation. We completed our production of records in response to the existing requests of the CFPB at the end of March 2021. The CFPB has not made any allegations in the investigation, and we are currently unable to predict the eventual scope, ultimate timing or outcome of the CFPB investigation.</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terms and subject to the conditions set forth in the definitive agreement to acquire Acima Holdings, the former owners of Acima Holdings have agreed to indemnify Rent-A-Center for certain losses arising after the consummation of the transaction with respect to the CID and certain pre-closing taxes. The indemnification obligations of the former owners of Acima Holdings are limited to an indemnity holdback in the aggregate amount of $50 million, which was escrowed at the closing of the transaction, and will be Rent-A-Center’s sole recourse against the former owners of Acima Holdings with respect to all of the indemnifiable claims under the definitive transaction agreement. Other than with respect to any pending or unresolved claims for indemnification submitted by Rent-A-Center prior to such time, and subject to other limited exceptions, the escrowed amount will be released to the former owners of Acima Holdings as follows: (i) in respect of the CID, on the earlier of the third anniversary of the closing date of the transaction and the date on which a final determination is entered providing for a resolution of the matters regarding the CID and (ii) in respect of certain pre-closing taxes, on August 18, 2022, the first business day following the date that is 18 months after the closing date of the transaction.</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can be no assurance that the CID will be finally resolved prior to the release to the former owners of Acima Holdings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 Holdings’s business practices or operations that could materially and adversely affect our business, financial condition, results of operations or reputation.</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California Attorney General. </w:t>
      </w:r>
      <w:r>
        <w:rPr>
          <w:rFonts w:ascii="Arial" w:cs="Arial" w:eastAsia="Arial" w:hAnsi="Arial"/>
          <w:sz w:val="18"/>
          <w:szCs w:val="18"/>
          <w:color w:val="auto"/>
        </w:rPr>
        <w:t>The California Attorney General (“CAG”) previously issued an investigative subpoena seeking information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our Acceptance Now business practices (now part of the Acima segment). Since receiving such demand, we have cooperated with the CAG in connection with its investigation and made several productions of requested documents. In March 2020, the CAG put forth proposed settlement terms to address alleged violations of California law. After several rounds of negotiations, in September 2020, the CAG proposed revised terms. In both cases, the proposed settlement terms included civil penalties, disgorgement of certain revenues, additional training requirements, and recommended changes to Acceptance Now business practices. We believe that our business practices are in compliance with California law and are continuing to discuss resolution of the inquiry with the CAG. At this point, while we cannot predict the ultimate outcome, we do not believe any such outcome will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basic and diluted earnings per common share were calculated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1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49,292</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7940" w:type="dxa"/>
            <w:vAlign w:val="bottom"/>
          </w:tcPr>
          <w:p>
            <w:pPr>
              <w:ind w:left="260"/>
              <w:spacing w:after="0" w:line="230" w:lineRule="exact"/>
              <w:rPr>
                <w:sz w:val="20"/>
                <w:szCs w:val="20"/>
                <w:color w:val="auto"/>
              </w:rPr>
            </w:pPr>
            <w:r>
              <w:rPr>
                <w:rFonts w:ascii="Arial" w:cs="Arial" w:eastAsia="Arial" w:hAnsi="Arial"/>
                <w:sz w:val="18"/>
                <w:szCs w:val="18"/>
                <w:color w:val="auto"/>
              </w:rPr>
              <w:t>Weighted-average shares outstanding</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56,247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54,774</w:t>
            </w:r>
          </w:p>
        </w:tc>
      </w:tr>
      <w:tr>
        <w:trPr>
          <w:trHeight w:val="230"/>
        </w:trPr>
        <w:tc>
          <w:tcPr>
            <w:tcW w:w="794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Effect of dilutive stock awards</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r>
      <w:tr>
        <w:trPr>
          <w:trHeight w:val="223"/>
        </w:trPr>
        <w:tc>
          <w:tcPr>
            <w:tcW w:w="7940" w:type="dxa"/>
            <w:vAlign w:val="bottom"/>
          </w:tcPr>
          <w:p>
            <w:pPr>
              <w:ind w:left="260"/>
              <w:spacing w:after="0"/>
              <w:rPr>
                <w:sz w:val="20"/>
                <w:szCs w:val="20"/>
                <w:color w:val="auto"/>
              </w:rPr>
            </w:pPr>
            <w:r>
              <w:rPr>
                <w:rFonts w:ascii="Arial" w:cs="Arial" w:eastAsia="Arial" w:hAnsi="Arial"/>
                <w:sz w:val="18"/>
                <w:szCs w:val="18"/>
                <w:color w:val="auto"/>
              </w:rPr>
              <w:t>Weighted-average dilutive shares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56,152</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Anti-dilutive securities excluded from diluted earnings per common share: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4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Anti-dilutive restricted share units</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7940" w:type="dxa"/>
            <w:vAlign w:val="bottom"/>
          </w:tcPr>
          <w:p>
            <w:pPr>
              <w:ind w:left="260"/>
              <w:spacing w:after="0" w:line="230" w:lineRule="exact"/>
              <w:rPr>
                <w:sz w:val="20"/>
                <w:szCs w:val="20"/>
                <w:color w:val="auto"/>
              </w:rPr>
            </w:pPr>
            <w:r>
              <w:rPr>
                <w:rFonts w:ascii="Arial" w:cs="Arial" w:eastAsia="Arial" w:hAnsi="Arial"/>
                <w:sz w:val="18"/>
                <w:szCs w:val="18"/>
                <w:color w:val="auto"/>
              </w:rPr>
              <w:t>Anti-dilutive performance share units</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794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Anti-dilutive stock options</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r>
    </w:tbl>
    <w:p>
      <w:pPr>
        <w:spacing w:after="0" w:line="94" w:lineRule="exact"/>
        <w:rPr>
          <w:sz w:val="20"/>
          <w:szCs w:val="20"/>
          <w:color w:val="auto"/>
        </w:rPr>
      </w:pPr>
    </w:p>
    <w:p>
      <w:pPr>
        <w:ind w:firstLine="8"/>
        <w:spacing w:after="0" w:line="237" w:lineRule="auto"/>
        <w:tabs>
          <w:tab w:leader="none" w:pos="136"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Weighted-average shares outstanding for the three months ended March 31, 2021 includes approximately 1.3 million weighted-average common shares issued in connection with the acquisition of Acima Holdings in February 2021. See Note 2 for additional information.</w:t>
      </w:r>
    </w:p>
    <w:p>
      <w:pPr>
        <w:ind w:firstLine="8"/>
        <w:spacing w:after="0" w:line="247" w:lineRule="auto"/>
        <w:tabs>
          <w:tab w:leader="none" w:pos="128"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Dilutive stock awards for the three months ended March 31, 2021 includes approximately 8.1 million common shares issued in connection with the acquisition of Acima Holdings in February 2021, and subject to vesting conditions under restricted stock agreements.</w:t>
      </w:r>
    </w:p>
    <w:p>
      <w:pPr>
        <w:spacing w:after="0" w:line="1" w:lineRule="exact"/>
        <w:rPr>
          <w:rFonts w:ascii="Arial" w:cs="Arial" w:eastAsia="Arial" w:hAnsi="Arial"/>
          <w:sz w:val="14"/>
          <w:szCs w:val="14"/>
          <w:color w:val="auto"/>
          <w:vertAlign w:val="superscript"/>
        </w:rPr>
      </w:pPr>
    </w:p>
    <w:p>
      <w:pPr>
        <w:ind w:left="140" w:hanging="132"/>
        <w:spacing w:after="0" w:line="195"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There were no anti-dilutive stock awards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potential effects of the pandemic of the respiratory disease caused by a novel coronavirus (“COVID-19”) on our business, operations, financial performance and prospects, the future business prospects and financial performance of our Company following the closing of our acquisition of Acima Holdings, LLC (“Acima Holdings”), cost and revenue synergies and other benefits expected to result from the Acima Holdings acquisition, our expectations, plans and strategy relating to our capital structure, anticipated enhancements to our sales force, potential future acquisitions, other statements regarding our strategy and plans, and other statements that are not historical facts.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2020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10" w:lineRule="exact"/>
        <w:rPr>
          <w:sz w:val="20"/>
          <w:szCs w:val="20"/>
          <w:color w:val="auto"/>
        </w:rPr>
      </w:pPr>
    </w:p>
    <w:p>
      <w:pPr>
        <w:ind w:left="660" w:hanging="166"/>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the anticipated benefits from the Acima Holdings acquisition may not be fully realized or may take longer to realize than expected;</w:t>
      </w:r>
    </w:p>
    <w:p>
      <w:pPr>
        <w:spacing w:after="0" w:line="8" w:lineRule="exact"/>
        <w:rPr>
          <w:rFonts w:ascii="Arial" w:cs="Arial" w:eastAsia="Arial" w:hAnsi="Arial"/>
          <w:sz w:val="18"/>
          <w:szCs w:val="18"/>
          <w:color w:val="auto"/>
        </w:rPr>
      </w:pPr>
    </w:p>
    <w:p>
      <w:pPr>
        <w:ind w:left="660" w:hanging="166"/>
        <w:spacing w:after="0" w:line="277" w:lineRule="auto"/>
        <w:tabs>
          <w:tab w:leader="none" w:pos="6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costs, difficulties or disruptions related to the integration of Acima Holdings operations into our other operations will be greater than expected;</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 effectively adjust to changes in the composition of our offerings and product mix as a result of acquiring Acima Holdings and continue to maintain the quality of existing offerings and (ii) successfully introduce other new product or service offerings on a timely and cost-effective basis;</w:t>
      </w:r>
    </w:p>
    <w:p>
      <w:pPr>
        <w:spacing w:after="0" w:line="21" w:lineRule="exact"/>
        <w:rPr>
          <w:rFonts w:ascii="Arial" w:cs="Arial" w:eastAsia="Arial" w:hAnsi="Arial"/>
          <w:sz w:val="18"/>
          <w:szCs w:val="18"/>
          <w:color w:val="auto"/>
        </w:rPr>
      </w:pPr>
    </w:p>
    <w:p>
      <w:pPr>
        <w:ind w:left="660" w:right="20" w:hanging="166"/>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future cash requirements as a result of the Acima Holdings acquisition, whether caused by unanticipated increases in capital expenditures or working capital needs, unanticipated liabilities or otherwise;</w:t>
      </w:r>
    </w:p>
    <w:p>
      <w:pPr>
        <w:spacing w:after="0" w:line="8"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potential acquisition candidates, complete acquisitions and successfully integrate acquired companies;</w:t>
      </w:r>
    </w:p>
    <w:p>
      <w:pPr>
        <w:spacing w:after="0" w:line="63" w:lineRule="exact"/>
        <w:rPr>
          <w:rFonts w:ascii="Arial" w:cs="Arial" w:eastAsia="Arial" w:hAnsi="Arial"/>
          <w:sz w:val="18"/>
          <w:szCs w:val="18"/>
          <w:color w:val="auto"/>
        </w:rPr>
      </w:pPr>
    </w:p>
    <w:p>
      <w:pPr>
        <w:jc w:val="both"/>
        <w:ind w:left="660" w:hanging="166"/>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COVID-19 pandemic and related government and regulatory restrictions issued to combat the pandemic, including adverse changes in such restrictions, and impacts on (i) demand for our lease-to-own products offered in our operating segments, (ii) our Acima retail partners, (iii) our customers and their willingness and ability to satisfy their lease obligations, (iv) our supplier's ability to satisfy our merchandise needs, (v) our employees, including our ability to adequately staff our operating locations, (vi) our financial and operational performance, and (vii) our liquidity;</w:t>
      </w:r>
    </w:p>
    <w:p>
      <w:pPr>
        <w:spacing w:after="0" w:line="25"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general strength of the economy and other economic conditions affecting consumer preferences and spending, including the availability of credit to our target consumers;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factors affecting the disposable income available to our current and potential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unemployment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market conditions, including availability of funding sources for us;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encountered in improving the financial and operational performance of our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pricing changes and strategies being deployed in our businesses;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realize benefits from our initiatives regarding cost-savings and other EBITDA enhancements, efficiencies and working capital improvements;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effectively execute our strategic initiatives, including mitigating risks associated with any potential mergers and acquisitions, or refranchising opportunities;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manage our store labor and other store expenses, including merchandise losses;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caused by the operation of our store information management systems;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our virtual lease-to-own business, including our ability to continue to develop and successfully implement the necessary technologies;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the benefits expected from our integrated virtual and staffed retail partner offering and to successfully grow this business segment;</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potential operating margin degradation due to the higher cost of merchandise in our Acima offering and potential for higher merchandise losses;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transition to more-readily scalable "cloud-based" solutions;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successfully implement digital or E-commerce capabilities, including mobile applications;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proprietary intellectual property;</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in our supply chain;</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of, or disruptions in, our distribution network;</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 inflation or deflation in the prices of our products;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execute and the effectiveness of store consolidations, including our ability to retain the revenue from customer accounts merged into another store location as a result of a store consolidation;</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available cash flow and our ability to generate sufficient cash flow to continue paying dividends;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from traditional competitors, virtual lease-to-own competitors, online retailers and other competitors, including subprime lenders;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identify and successfully market products and services that appeal to our current and future targeted customer segments;</w:t>
      </w:r>
    </w:p>
    <w:p>
      <w:pPr>
        <w:spacing w:after="0" w:line="74" w:lineRule="exact"/>
        <w:rPr>
          <w:rFonts w:ascii="Arial" w:cs="Arial" w:eastAsia="Arial" w:hAnsi="Arial"/>
          <w:sz w:val="17"/>
          <w:szCs w:val="17"/>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preferences and perceptions of our brands;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the revenue associated with acquired customer accounts and enhance the performance of acquired stores;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new and collect on our rental or lease purchase agreements;</w:t>
      </w:r>
    </w:p>
    <w:p>
      <w:pPr>
        <w:spacing w:after="0" w:line="63" w:lineRule="exact"/>
        <w:rPr>
          <w:rFonts w:ascii="Arial" w:cs="Arial" w:eastAsia="Arial" w:hAnsi="Arial"/>
          <w:sz w:val="18"/>
          <w:szCs w:val="18"/>
          <w:color w:val="auto"/>
        </w:rPr>
      </w:pPr>
    </w:p>
    <w:p>
      <w:pPr>
        <w:jc w:val="both"/>
        <w:ind w:left="166" w:hanging="166"/>
        <w:spacing w:after="0" w:line="263"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enforcement of existing laws and regulations and the enactment of new laws and regulations adversely affecting our business, including any legislative or regulatory enforcement efforts that seek to re-characterize store-based or virtual lease-to-own transactions as credit sales and to apply consumer credit laws and regulations to our business;</w:t>
      </w:r>
    </w:p>
    <w:p>
      <w:pPr>
        <w:spacing w:after="0" w:line="21"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compliance with applicable statutes or regulations governing our businesses;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additional social unrest such as that experienced in 2020 or otherwise, and resulting damage to our inventory or other assets and potential lost revenues;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tariff policies;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changes in the economic conditions of the industries, countries or markets that we serve;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technology and data security costs;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breaches in data security or other disturbances to our information technology and other networks and our ability to protect the integrity and security of individually identifiable data of our customers, employees and retail partners;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estimates relating to self-insurance liabilities and income tax and litigation reserves;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89" w:right="339" w:bottom="1440" w:gutter="0" w:footer="0" w:header="0"/>
        </w:sectPr>
      </w:pPr>
    </w:p>
    <w:bookmarkStart w:id="25" w:name="page26"/>
    <w:bookmarkEnd w:id="25"/>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administrative proceedings to which we are or may be a party to from time to time; and</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other risks detailed from time to time in our reports furnished or filed with the United States Securities and Exchange Commission (the “SEC”).</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important factors that could cause our actual results to differ materially from our expectations are discussed under the section “</w:t>
      </w:r>
      <w:r>
        <w:rPr>
          <w:rFonts w:ascii="Arial" w:cs="Arial" w:eastAsia="Arial" w:hAnsi="Arial"/>
          <w:sz w:val="17"/>
          <w:szCs w:val="17"/>
          <w:i w:val="1"/>
          <w:iCs w:val="1"/>
          <w:color w:val="auto"/>
        </w:rPr>
        <w:t>Risk Factors</w:t>
      </w:r>
      <w:r>
        <w:rPr>
          <w:rFonts w:ascii="Arial" w:cs="Arial" w:eastAsia="Arial" w:hAnsi="Arial"/>
          <w:sz w:val="17"/>
          <w:szCs w:val="17"/>
          <w:color w:val="auto"/>
        </w:rPr>
        <w:t>” in our Annual Report on Form 10-K for the year ended December 31, 2020 and elsewhere in this Quarterly Report on Form 10-Q.</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a leading lease-to-own provider with operations in the United States, Puerto Rico and Mexico. We provide a critical service for a large portion of underserved consumers by providing them with access to, and the opportunity to obtain ownership of, high-quality, durable products via small payments over time under a flexible lease-purchase agreement with no long-term debt obligation. Through our Rent-A-Center Business, we provide a fully integrated customer experience through our e-commerce platform and brick and mortar presence. Our Acima business offers lease-to-own solutions through retail partners in stores and online enabling our partners to grow sales by expanding their customer base utilizing our differentiated offering. We were incorporated in the State of Delaware in 1986, and our common stock is traded on the Nasdaq Global Select Market under the ticker symbol </w:t>
      </w:r>
      <w:r>
        <w:rPr>
          <w:rFonts w:ascii="Arial" w:cs="Arial" w:eastAsia="Arial" w:hAnsi="Arial"/>
          <w:sz w:val="16"/>
          <w:szCs w:val="16"/>
          <w:i w:val="1"/>
          <w:iCs w:val="1"/>
          <w:color w:val="auto"/>
        </w:rPr>
        <w:t>“</w:t>
      </w:r>
      <w:r>
        <w:rPr>
          <w:rFonts w:ascii="Arial" w:cs="Arial" w:eastAsia="Arial" w:hAnsi="Arial"/>
          <w:sz w:val="16"/>
          <w:szCs w:val="16"/>
          <w:color w:val="auto"/>
        </w:rPr>
        <w:t>RCII.</w:t>
      </w:r>
      <w:r>
        <w:rPr>
          <w:rFonts w:ascii="Arial" w:cs="Arial" w:eastAsia="Arial" w:hAnsi="Arial"/>
          <w:sz w:val="16"/>
          <w:szCs w:val="16"/>
          <w:i w:val="1"/>
          <w:iCs w:val="1"/>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focused on growing our business model through emphasis on the following key initiatives:</w:t>
      </w:r>
    </w:p>
    <w:p>
      <w:pPr>
        <w:spacing w:after="0" w:line="63" w:lineRule="exact"/>
        <w:rPr>
          <w:sz w:val="20"/>
          <w:szCs w:val="20"/>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executing on market opportunities and enhancing our competitive position across both traditional and virtual lease-to-own solutions;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accelerating the shift to e-commerce, expanding product categories, including into emerging product categories, and improving the fully integrated customer experience;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using technology to support frictionless partner onboarding with seamless integration to retail partner platforms;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to generate repeat business while expanding our potential customer base;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leveraging the integration of the Acima Holdings decision engine and expanding digital payments and communication channels;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generating favorable adjusted EBITDA margin and strong free cash flow to fund strategic priorities and deliver and return capital to shareholders.</w:t>
      </w:r>
    </w:p>
    <w:p>
      <w:pPr>
        <w:spacing w:after="0" w:line="14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we pursue our strategy, we may take advantage of merger and acquisition opportunities from time to time that advance our key initiatives, and engage in discussions regarding these opportunities, which could include mergers, consolidations or acquisitions or dispositions or other transactions, although there can be no assurance that any such activities will be consummated.</w:t>
      </w:r>
    </w:p>
    <w:p>
      <w:pPr>
        <w:spacing w:after="0" w:line="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For additional information regarding the acquisition of Acima Holdings, see “Item 2. Management's Discussion and Analysis of Financial Condition and Results of Operation—Recent Developments”.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Acima Acquisition. </w:t>
      </w:r>
      <w:r>
        <w:rPr>
          <w:rFonts w:ascii="Arial" w:cs="Arial" w:eastAsia="Arial" w:hAnsi="Arial"/>
          <w:sz w:val="16"/>
          <w:szCs w:val="16"/>
          <w:color w:val="auto"/>
        </w:rPr>
        <w:t>On February 17, 2021. we completed the acquisition of Acima Holdings and issued to the former owners of Acima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10,779,923 shares of our common stock (the “Aggregate Stock Consideration”), with a value of $51.14 per share based on the closing price of our common stock on the date of closing, and paid to them aggregate cash consideration of $1,273.3 million (the “Aggregate Cash Consideration”). Under the terms of the definitive agreement, $50 million of the Aggregate Cash Consideration was placed into escrow at closing to cover certain potential tax and regulatory indemnification obligations of the former owners of Acima Holdings under the agreement. Although we currently believe the escrow holdback amount, which serves as our sole recourse of with respect to any indemnifiable claims, will be sufficient to cover any such potential tax and regulatory matters, there is no assurance that any actual payments by us with respect to such matters will not exceed the escrow holdback amount.</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portion of the Aggregate Stock Consideration issued to former owners of Acima Holdings who are also employees of Acima is subject to restricted stock agreements providing vesting conditions over a 36-month period beginning upon closing of the acquisition. The portion of the Aggregate Stock Consideration issued to non-employee former owners of Acima Holdings is subject to the terms of an 18-month lockup agreement, pursuant to which one-third of the aggregate shares of our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stock received by a non-employee former owner of Acima Holdings becomes transferable after each six month period following the closing of the acquisition.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acquisition, we entered into employment agreements with certain executives of Acima Holdings, including Aaron Allred, Chairman and Founder of Acima Holdings, which became effective upon closing.</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Dividend</w:t>
      </w:r>
      <w:r>
        <w:rPr>
          <w:rFonts w:ascii="Arial" w:cs="Arial" w:eastAsia="Arial" w:hAnsi="Arial"/>
          <w:sz w:val="17"/>
          <w:szCs w:val="17"/>
          <w:color w:val="auto"/>
        </w:rPr>
        <w:t>s. On March 25, 2021, we announced that our board of directors approved a quarterly cash dividend of $0.31 per share for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dividend was paid on April 22, 2021 to our common stockholders of record as of the close of business on April 6, 2021.</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and Operational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Beginning in the latter half of March 2020, the worldwide spread of COVID-19 caused significant disruptions to the U.S. and world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economies. On March 11, 2020, the World Health Organization declared the COVID-19 outbreak a worldwide pandemic. On March 13, 2020, the president of the United States declared a national state of emergency for the nation. In response to the issuance of U.S. federal guidelines to contain the spread of COVID-19, U.S. state and local jurisdictions implemented various containment or mitigation measures, including temporary shelter-in-place orders and the temporary closure of non-essential businesses.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COVID-19 and related jurisdictional ordinances implemented in the United States beginning in the latter half of March 2020 to contain the spread of COVID-19 or mitigate its effects, a significant number of Acima retail partner locations were temporarily closed, resulting in the initial closure of approximately 65% of our staffed Acima locations, which operated within those stores. In addition, while the majority of our Rent-A-Center Business stores remained open, due to government orders in certain jurisdictions, beginning in mid-March 2020 we temporarily shut down operations at a small number of stores and approximately 24% of our stores were partially closed. Our partially closed locations operated with closed showrooms, conducting business only through e-commerce web orders and transitioned to a contactless curbside service model or to a ship-from-store model, to the extent permitted by local orders. Some franchise locations and stores in our Mexico operating segment were also temporarily closed or had restricted operations due to COVID-19. All locations in our Rent-A-Center Business, Franchising and Mexico operating segments and staffed Acima locations, temporarily or partially closed at the onset of the pandemic, were reopened in the second quarter of 2020. In the latter portion of 2020 and into early 2021, the number of COVID-19 cases increased significantly and certain governmental authorities imposed or re-imposed restrictions on certain businesses. As of April 28, 2021, all locations in our Rent-A-Center Business, Franchising and Mexico operating segments and staffed Acima locations are providing full in-store services subject to local requirements for sanitization, social distancing and capacity limitations and, in Mexico, certain restrictions regarding hours of operation.</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response to the negative impacts to our business resulting from COVID-19, in 2020, we proactively implemented certain measures to reduce operating expenses and cash flow uses, including implementing temporary executive pay reductions, temporarily furloughing certain employees at our store locations and corporate headquarters, reducing store hours in certain locations, renegotiating real estate leases, reducing inventory purchases and capital expenditures, and, for a brief period of time, suspending further share repurchases. In addition, we implemented additional electronic payment methods for our Rent-A-Center Business and Acima customers to facilitate contactless transactions. There are no assurances we will not be subject to future government actions negatively impacting our business as the pandemic progresses.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However, while we may also be impacted by deteriorating worldwide economic conditions, including elevated unemployment rates throughout the United States, which could have a sustained impact on discretionary consumer spending, the lease-to-own industry has remained resilient because it provides credit constrained customers with a viable option to obtain merchandise they may not otherwise be able to obtain through other retailers offering financing options due to the tightening of credit by traditional financing.</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“Risk Factors” in Part I, Item 1A in our Annual Report on Form 10-K for the year ended December 31, 2020, for additional discussion of operational impacts to our business and additional risks associated with COVID-19.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focuses on our results of operations and our liquidity and capital resources. You should read this discussion in conjunction with the condensed consolidated financial statements and notes thereto for the three months ended March 31, 2021 included in Part I, Item I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briefly summarizes certain of our financial information for the three months ended March 31, 2021 as compared to the three months ended March 31, 2020.</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first three months of 2021, consolidated revenues increased approximately $334.8 million, primarily due to the acquisition of Acima Holdings and an increase in same store sales in our Rent-A-Center Business. Operating profit increased approximately $21.2 million for the three months ended March 31, 2021, primarily due to the increased operating profit of the Rent-A-Center Business and Acima segments, partially offset by one-time transaction and integration costs, stock compensation expense related to equity consideration subject to vesting conditions, and depreciation and amortization of acquired software and intangible assets related to the acquisition of Acima Holdings.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Rent-A-Center Business segment increased approximately $69.9 million for the three months ended March 31, 2021, primarily due to an increase in same store sales revenue driven by growth in e-commerce sales, and despite the impact of refranchising approximately 100 stores in California in the fourth quarter of 2020 which are no longer reflected in the Rent-A-Center Business segment revenues. Gross profit as a percentage of revenue decreased 1.4%. Operating profit increased $53.3 million for the three months ended March 31, 2021, driven primarily by increased operating leverage as a result of higher revenues and lower operating expenses.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Acima segment revenues increased approximately $241.3 million for the three months ended March 31, 2021, driven primarily by the acquisition of Acima Holdings. Gross profit as a percent of revenue decreased 11.6%, while operating profit increased approximately $6.6 million for the three months ended March 31, 2021, driven by higher revenue due to the acquisition of Acima Holdings and stronger lease performance.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Mexico segment revenues increased by 7.0% for the three months ended March 31, 2021, driving an increase in gross profit of 7.2%, or $0.7 million.</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for the Franchising segment increased $22.7 million for the three months ended March 31, 2021, primarily due to a higher store count, resulting from the refranchising of approximately 100 California stores during 2020 and higher inventory purchases by franchisees.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flow from operations was $135.8 million for the three months ended March 31, 2021. As of March 31, 2021, we held $123.0 million of cash and cash equivalents and outstanding indebtedness of $1.38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is a reference for the discussion that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6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188"/>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Store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Rentals and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568,000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31.3 %</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Merchandise sales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101,380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131,413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129.6 %</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Installment sales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w:t>
            </w:r>
          </w:p>
        </w:tc>
      </w:tr>
      <w:tr>
        <w:trPr>
          <w:trHeight w:val="229"/>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27.1 %</w:t>
            </w:r>
          </w:p>
        </w:tc>
      </w:tr>
      <w:tr>
        <w:trPr>
          <w:trHeight w:val="223"/>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store revenue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684,849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45.6 %</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Franchise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sales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165.8 %</w:t>
            </w:r>
          </w:p>
        </w:tc>
      </w:tr>
      <w:tr>
        <w:trPr>
          <w:trHeight w:val="230"/>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Royalty income and fees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44.2 %</w:t>
            </w:r>
          </w:p>
        </w:tc>
      </w:tr>
      <w:tr>
        <w:trPr>
          <w:trHeight w:val="223"/>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1,036,782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701,939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Cost of rentals and fees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165,455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49.3 %</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merchandise sold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143.1 %</w:t>
            </w:r>
          </w:p>
        </w:tc>
      </w:tr>
      <w:tr>
        <w:trPr>
          <w:trHeight w:val="229"/>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of installment sales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20.2 %</w:t>
            </w:r>
          </w:p>
        </w:tc>
      </w:tr>
      <w:tr>
        <w:trPr>
          <w:trHeight w:val="223"/>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store revenues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269,237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83.2 %</w:t>
            </w:r>
          </w:p>
        </w:tc>
      </w:tr>
      <w:tr>
        <w:trPr>
          <w:trHeight w:val="229"/>
        </w:trPr>
        <w:tc>
          <w:tcPr>
            <w:tcW w:w="64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Franchise cost of merchandise sold</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164.1 %</w:t>
            </w:r>
          </w:p>
        </w:tc>
      </w:tr>
      <w:tr>
        <w:trPr>
          <w:trHeight w:val="223"/>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281,761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86.8 %</w:t>
            </w:r>
          </w:p>
        </w:tc>
      </w:tr>
      <w:tr>
        <w:trPr>
          <w:trHeight w:val="223"/>
        </w:trPr>
        <w:tc>
          <w:tcPr>
            <w:tcW w:w="64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510,523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420,178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90,345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21.5 %</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Store expenses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Other store expenses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161,718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charges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2,901.7 %</w:t>
            </w:r>
          </w:p>
        </w:tc>
      </w:tr>
      <w:tr>
        <w:trPr>
          <w:trHeight w:val="223"/>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371,303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18.6 %</w:t>
            </w:r>
          </w:p>
        </w:tc>
      </w:tr>
      <w:tr>
        <w:trPr>
          <w:trHeight w:val="223"/>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Debt refinancing charges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net</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176.9 %</w:t>
            </w:r>
          </w:p>
        </w:tc>
      </w:tr>
      <w:tr>
        <w:trPr>
          <w:trHeight w:val="223"/>
        </w:trPr>
        <w:tc>
          <w:tcPr>
            <w:tcW w:w="6440" w:type="dxa"/>
            <w:vAlign w:val="bottom"/>
          </w:tcPr>
          <w:p>
            <w:pPr>
              <w:ind w:left="400"/>
              <w:spacing w:after="0"/>
              <w:rPr>
                <w:sz w:val="20"/>
                <w:szCs w:val="20"/>
                <w:color w:val="auto"/>
              </w:rPr>
            </w:pPr>
            <w:r>
              <w:rPr>
                <w:rFonts w:ascii="Arial" w:cs="Arial" w:eastAsia="Arial" w:hAnsi="Arial"/>
                <w:sz w:val="18"/>
                <w:szCs w:val="18"/>
                <w:color w:val="auto"/>
              </w:rPr>
              <w:t>Earnings before income taxes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29"/>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244.8 %</w:t>
            </w:r>
          </w:p>
        </w:tc>
      </w:tr>
      <w:tr>
        <w:trPr>
          <w:trHeight w:val="223"/>
        </w:trPr>
        <w:tc>
          <w:tcPr>
            <w:tcW w:w="644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 .</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Store Revenue. </w:t>
      </w:r>
      <w:r>
        <w:rPr>
          <w:rFonts w:ascii="Arial" w:cs="Arial" w:eastAsia="Arial" w:hAnsi="Arial"/>
          <w:sz w:val="17"/>
          <w:szCs w:val="17"/>
          <w:color w:val="auto"/>
        </w:rPr>
        <w:t>Total store revenue increased by $312.2 million, or 45.6%, to $997.0 million for the three months ended March 31, 2021, from $684.8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March 31, 2020. This increase was primarily due to increases of approximately $241.3 million and $69.9 million in revenues in the Acima and Rent-A-Center Business segments, respectively, as discussed further in the section “Segment Performance” below.</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increased by $81.5 million, or 49.3%, to $247.0 million as compared to $165.5 million in 2020. This increase in cost of rentals and fees was primarily attributable to increases of $71.5 million and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jc w:val="both"/>
        <w:spacing w:after="0" w:line="342" w:lineRule="auto"/>
        <w:rPr>
          <w:sz w:val="20"/>
          <w:szCs w:val="20"/>
          <w:color w:val="auto"/>
        </w:rPr>
      </w:pPr>
      <w:r>
        <w:rPr>
          <w:rFonts w:ascii="Arial" w:cs="Arial" w:eastAsia="Arial" w:hAnsi="Arial"/>
          <w:sz w:val="16"/>
          <w:szCs w:val="16"/>
          <w:color w:val="auto"/>
        </w:rPr>
        <w:t>million in the Acima and Rent-A-Center Business segments, respectively, as discussed further in the section “Segment Performance” below. Cost of rentals and fees expressed as a percentage of rentals and fees revenue was 33.1% for the three months ended March 31, 2021, as compared to 29.1% in 2020.</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increased by $141.3 million, or 143.1%, to $240.1 million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$98.8 million in 2020, primarily attributable to increases of $123.9 million and $17.4 million in the Acima and Rent-A-Center Business segments, respectively, as discussed further in the section “Segment Performance” below. The gross margin percent of merchandise sales decreased to (3.1)% for the three months ended March 31, 2021, from 2.6% in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by $90.3 million, or 21.5%, to $510.5 million for the three months ended March 31, 2021, from $420.2 million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increases of $45.9 million and $41.6 million in the Acima and Rent-A-Center Business segments, respectively, as discussed further in the section “Segment Performance” below. Gross profit as a percentage of total revenue decreased to 49.2% for the three months ended March 31, 2021, as compared to 59.9% in 2020.</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Store Labor. </w:t>
      </w:r>
      <w:r>
        <w:rPr>
          <w:rFonts w:ascii="Arial" w:cs="Arial" w:eastAsia="Arial" w:hAnsi="Arial"/>
          <w:sz w:val="17"/>
          <w:szCs w:val="17"/>
          <w:color w:val="auto"/>
        </w:rPr>
        <w:t>Store labor increased by $2.9 million, or 1.9%, to $156.7 million, for the three months ended March 31, 2021, as compared to $153.8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2020, primarily due to an increase of $3.2 million in the Acima segment, as discussed further in the section “Segment Performance” below. Store labor expressed as a percentage of total store revenue was 15.7% for the three months ended March 31, 2021, as compared to 22.5% in 2020.</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Store Expenses. </w:t>
      </w:r>
      <w:r>
        <w:rPr>
          <w:rFonts w:ascii="Arial" w:cs="Arial" w:eastAsia="Arial" w:hAnsi="Arial"/>
          <w:sz w:val="17"/>
          <w:szCs w:val="17"/>
          <w:color w:val="auto"/>
        </w:rPr>
        <w:t>Other store expenses increased by $8.4 million, or 5.2%, to $170.1 million for the three months ended March 31, 2021,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$161.7 million in 2020, primarily due to an increase of $18.0 million in the Acima segment, partially offset by a decrease of $9.9 million in the Rent-A-Center Business segment, as discussed further in the section “Segment Performance” below. Other store expenses expressed as a percentage of total store revenue were 17.1% for the three months ended March 31, 2021, compared to 23.6% in 2020.</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$9.9 million, or 25.4%, to $49.1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2021, as compared to $39.2 million in 2020, primarily due to higher labor and incentive compensation in the Acima segment. General and administrative expenses expressed as a percentage of total revenue were 4.7% for the three months ended March 31, 2021, compared to 5.6% in 2020.</w:t>
      </w:r>
    </w:p>
    <w:p>
      <w:pPr>
        <w:spacing w:after="0" w:line="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Other Charges. </w:t>
      </w:r>
      <w:r>
        <w:rPr>
          <w:rFonts w:ascii="Arial" w:cs="Arial" w:eastAsia="Arial" w:hAnsi="Arial"/>
          <w:sz w:val="16"/>
          <w:szCs w:val="16"/>
          <w:color w:val="auto"/>
        </w:rPr>
        <w:t>Other charges increased by $49.4 million, to $51.1 million for the three months ended March 31, 2021, as compared to $1.7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2020. Other charges for the three months ended March 31, 2021 primarily included one-time transaction and integration costs, stock compensation expense related to equity consideration subject to vesting conditions, and depreciation and amortization of acquired software and intangible assets, related to the acquisition of Acima Holdings. Other charges for the three months ended March 31, 2020 primarily related to lease impairments and other costs associated with store and other facility closures, and financial impacts related to the COVID-19 pandemic, including temporary store closures and furloughs.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increased by $21.1 million, to $70.0 million for the three months ended March 31, 2021, as compared to $48.9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due to the increase in gross profit, as described above. Operating profit expressed as a percentage of total revenue was 6.8% for the three months ended March 31, 2021, compared to 7.0% in 2020.</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(benefit) for the three months ended March 31, 2021 was $6.8 million, as compared to $(4.7)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effective tax rate was 13.8% for the three months ended March 31, 2021, compared to (10.6)%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66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Segment Performance.</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78"/>
        </w:trPr>
        <w:tc>
          <w:tcPr>
            <w:tcW w:w="6600" w:type="dxa"/>
            <w:vAlign w:val="bottom"/>
          </w:tcPr>
          <w:p>
            <w:pPr>
              <w:spacing w:after="0"/>
              <w:rPr>
                <w:sz w:val="20"/>
                <w:szCs w:val="20"/>
                <w:color w:val="auto"/>
              </w:rPr>
            </w:pPr>
            <w:r>
              <w:rPr>
                <w:rFonts w:ascii="Arial" w:cs="Arial" w:eastAsia="Arial" w:hAnsi="Arial"/>
                <w:sz w:val="18"/>
                <w:szCs w:val="18"/>
                <w:i w:val="1"/>
                <w:iCs w:val="1"/>
                <w:color w:val="auto"/>
              </w:rPr>
              <w:t>Rent-A-Center Business segment</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6"/>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6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r>
      <w:tr>
        <w:trPr>
          <w:trHeight w:val="18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69,901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359,169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317,558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w w:val="98"/>
              </w:rPr>
              <w:t>41,611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53,334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78.5 %</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Change in same store revenue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23.4 %</w:t>
            </w: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Stores in same store revenue calculation</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1,546</w:t>
            </w:r>
          </w:p>
        </w:tc>
      </w:tr>
    </w:tbl>
    <w:p>
      <w:pPr>
        <w:spacing w:after="0" w:line="94" w:lineRule="exact"/>
        <w:rPr>
          <w:sz w:val="20"/>
          <w:szCs w:val="20"/>
          <w:color w:val="auto"/>
        </w:rPr>
      </w:pPr>
    </w:p>
    <w:p>
      <w:pPr>
        <w:ind w:right="40" w:firstLine="8"/>
        <w:spacing w:after="0" w:line="257" w:lineRule="auto"/>
        <w:tabs>
          <w:tab w:leader="none" w:pos="127"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full month following account transfer. Due to the COVID-19 pandemic and related temporary store closures, all 32 stores in Puerto Rico were excluded starting in March 2020 and will remain excluded through September 2021.</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three months ended March 31, 2021, as compared to 2020, was primarily due to an increase in same store sales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driven by growth in e-commerce sales, partially offset by the impact of refranchising approximately 100 stores in California in the fourth quarter of 2020.</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for the three months ended March 31, 2021, as compared to 2020, driven primarily by increased segment revenue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 Gross profit as a percentage of segment revenues was 68.4% for the three months ended March 31, 2021, as compared to 69.8% for the corresponding period in 2020.</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as a percentage of segment revenues was 23.1% for the three months ended March 31, 2021, compared to 14.9%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period in 2020. The increase in operating profit for the three months ended March 31, 2021, as compared to 2020 was driven primarily by increased operating leverage as a result of higher revenues and lower operating expenses, including lower merchandise losses. Charge-offs in our Rent-A-Center Business lease-to-own stores due to customer stolen merchandise, expressed as a percentage of Rent-A-Center Business lease-to-own revenues, were approximately 3.0% for the three months ended March 31, 2021, compared to 3.7% for the respective period in 2020. Charge-offs in our Rent-A-Center Business lease-to-own stores due to other merchandise losses, expressed as a percentage of Rent-A-Center Business lease-to-own revenues, were approximately 1.3% for the three months ended March 31, 2021, compared to 1.2% for the respective period in 2020. Other merchandise losses include unrepairable and missing merchandise, and loss/damage waiver claims.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Acima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666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457,449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111.7 %</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Pr>
          <w:p>
            <w:pPr>
              <w:jc w:val="right"/>
              <w:spacing w:after="0"/>
              <w:rPr>
                <w:sz w:val="20"/>
                <w:szCs w:val="20"/>
                <w:color w:val="auto"/>
              </w:rPr>
            </w:pPr>
            <w:r>
              <w:rPr>
                <w:rFonts w:ascii="Arial" w:cs="Arial" w:eastAsia="Arial" w:hAnsi="Arial"/>
                <w:sz w:val="18"/>
                <w:szCs w:val="18"/>
                <w:color w:val="auto"/>
              </w:rPr>
              <w:t>134,250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45,935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52.0 %</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three months ended March 31, 2021 compared to 2020, was driven primarily by the acquisition of Acima</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for the three months ended March 31, 2021, compared to 2020, driven by higher revenue, discussed above,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lower gross profit margin due to higher mix of rental agreements generated from our virtual business model primarily related to the recent acquisition of Acima Holdings, and increased merchandise sales due to early payouts. Gross profit as a percentage of segment revenues decreased to 29.3% for the three months ended March 31, 2021, compared to 40.9% for the respective period in 2020.</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increased by 36.2% for the three months ended March 31, 2021, as compared to 2020. The increase in operating profit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2021 was driven by higher revenue due to the Acima Holdings acquisition and stronger lease performance. Charge-offs in our Acima locations due to customer stolen merchandise, expressed as a percentage of revenues, were approximately 8.6% for the three months ended March 31, 2021, compared to 12.2% for the respective period in 2020. Charge-offs in our Acima locations due to other merchandise losses, expressed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1" w:name="page32"/>
    <w:bookmarkEnd w:id="31"/>
    <w:p>
      <w:pPr>
        <w:spacing w:after="0" w:line="342" w:lineRule="auto"/>
        <w:rPr>
          <w:sz w:val="20"/>
          <w:szCs w:val="20"/>
          <w:color w:val="auto"/>
        </w:rPr>
      </w:pPr>
      <w:r>
        <w:rPr>
          <w:rFonts w:ascii="Arial" w:cs="Arial" w:eastAsia="Arial" w:hAnsi="Arial"/>
          <w:sz w:val="16"/>
          <w:szCs w:val="16"/>
          <w:color w:val="auto"/>
        </w:rPr>
        <w:t>percentage of revenues, were approximately 0.4% for the three months ended March 31, 2021, compared to 0.4% in 2020. Operating profit as a percentage of segment revenues decreased to 5.4% for the three and three months ended March 31, 2021, compared to 8.4% for the respective period in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5"/>
        </w:trPr>
        <w:tc>
          <w:tcPr>
            <w:tcW w:w="6820" w:type="dxa"/>
            <w:vAlign w:val="bottom"/>
          </w:tcPr>
          <w:p>
            <w:pPr>
              <w:spacing w:after="0"/>
              <w:rPr>
                <w:sz w:val="16"/>
                <w:szCs w:val="16"/>
                <w:color w:val="auto"/>
              </w:rPr>
            </w:pPr>
          </w:p>
        </w:tc>
        <w:tc>
          <w:tcPr>
            <w:tcW w:w="1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gridSpan w:val="3"/>
          </w:tcPr>
          <w:p>
            <w:pPr>
              <w:jc w:val="right"/>
              <w:ind w:right="890"/>
              <w:spacing w:after="0"/>
              <w:rPr>
                <w:sz w:val="20"/>
                <w:szCs w:val="20"/>
                <w:color w:val="auto"/>
              </w:rPr>
            </w:pPr>
            <w:r>
              <w:rPr>
                <w:rFonts w:ascii="Arial" w:cs="Arial" w:eastAsia="Arial" w:hAnsi="Arial"/>
                <w:sz w:val="14"/>
                <w:szCs w:val="14"/>
                <w:b w:val="1"/>
                <w:bCs w:val="1"/>
                <w:color w:val="auto"/>
                <w:w w:val="93"/>
              </w:rPr>
              <w:t>Change</w:t>
            </w:r>
          </w:p>
        </w:tc>
      </w:tr>
      <w:tr>
        <w:trPr>
          <w:trHeight w:val="188"/>
        </w:trPr>
        <w:tc>
          <w:tcPr>
            <w:tcW w:w="6820" w:type="dxa"/>
            <w:vAlign w:val="bottom"/>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8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w:t>
            </w:r>
          </w:p>
        </w:tc>
      </w:tr>
      <w:tr>
        <w:trPr>
          <w:trHeight w:val="224"/>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14,498</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13,546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80" w:type="dxa"/>
            <w:vAlign w:val="bottom"/>
          </w:tcPr>
          <w:p>
            <w:pPr>
              <w:jc w:val="right"/>
              <w:spacing w:after="0"/>
              <w:rPr>
                <w:sz w:val="20"/>
                <w:szCs w:val="20"/>
                <w:color w:val="auto"/>
              </w:rPr>
            </w:pPr>
            <w:r>
              <w:rPr>
                <w:rFonts w:ascii="Arial" w:cs="Arial" w:eastAsia="Arial" w:hAnsi="Arial"/>
                <w:sz w:val="18"/>
                <w:szCs w:val="18"/>
                <w:color w:val="auto"/>
              </w:rPr>
              <w:t>10,212</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102.1 %</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Change in same store revenue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9.6 %</w:t>
            </w:r>
          </w:p>
        </w:tc>
      </w:tr>
      <w:tr>
        <w:trPr>
          <w:trHeight w:val="230"/>
        </w:trPr>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Stores in same store revenue calculation</w:t>
            </w:r>
            <w:r>
              <w:rPr>
                <w:rFonts w:ascii="Arial" w:cs="Arial" w:eastAsia="Arial" w:hAnsi="Arial"/>
                <w:sz w:val="23"/>
                <w:szCs w:val="23"/>
                <w:color w:val="auto"/>
                <w:vertAlign w:val="superscript"/>
              </w:rPr>
              <w:t>(1)</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112</w:t>
            </w:r>
          </w:p>
        </w:tc>
      </w:tr>
    </w:tbl>
    <w:p>
      <w:pPr>
        <w:spacing w:after="0" w:line="94" w:lineRule="exact"/>
        <w:rPr>
          <w:sz w:val="20"/>
          <w:szCs w:val="20"/>
          <w:color w:val="auto"/>
        </w:rPr>
      </w:pPr>
    </w:p>
    <w:p>
      <w:pPr>
        <w:ind w:right="40" w:firstLine="8"/>
        <w:spacing w:after="0" w:line="287" w:lineRule="auto"/>
        <w:tabs>
          <w:tab w:leader="none" w:pos="127"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full month following account transfer.</w:t>
      </w:r>
    </w:p>
    <w:p>
      <w:pPr>
        <w:spacing w:after="0" w:line="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March 31, 2021 were negatively impacted by exchange rate fluctuations of approximately $0.4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2020. On a constant currency basis, revenues for the three months ended March 31, 2021 increased approximately $1.4 million, compared to the same period in 2020.</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March 31, 2021 was negatively impacted by exchange rate fluctuations of approximately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same period in 2020. On a constant currency basis, gross profit for the three months ended March 31, 2021 increased by approximately $1.0 million as compared to the same period in 2020. Gross profit as a percentage of segment revenues was 70.4% for the three months ended March 31, 2021, compared to 70.3% for the respective period in 2020.</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for the three months ended March 31, 2021 was minimally impacted by exchange rate fluctuations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2020. Operating profit as a percentage of segment revenues increased to 13.5% for the three months ended March 31, 2021, from 7.1% for the respective period in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44.3 %</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97.9 %</w:t>
            </w:r>
          </w:p>
        </w:tc>
      </w:tr>
    </w:tbl>
    <w:p>
      <w:pPr>
        <w:spacing w:after="0" w:line="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for the three months ended March 31, 2021 compared to the respective period in 2020, primarily due to a higher store count,</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the refranchising of approximately 100 California stores during 2020 and higher inventory purchases by franchisees.</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as a percentage of segment revenues decreased to 17.2% for the three months ended March 31, 2021, from 27.6%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period in 2020, primarily due to increase in segment revenues described above.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as a percentage of segment revenues increased for the three months ended March 31, 2021 to 12.5%, compared to 14.6%</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respective period in 2020, primarily due to increase in segment revenues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For the three months ended March 31, 2021, we generated $135.8 million in operating cash flow. We used cash in the amount of $1,267.9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acquisitions, $46.1 million for debt issuance costs, $17.1 million for dividends, and $11.4 million for capital expenditures. We ended the first quarter of 2021 with $123.0 million of cash and cash equivalents and outstanding indebtedness of $1.38 billion.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Analysis of Cash Flow. </w:t>
      </w:r>
      <w:r>
        <w:rPr>
          <w:rFonts w:ascii="Arial" w:cs="Arial" w:eastAsia="Arial" w:hAnsi="Arial"/>
          <w:sz w:val="18"/>
          <w:szCs w:val="18"/>
          <w:color w:val="auto"/>
        </w:rPr>
        <w:t>Cash provided by operating activities increased by $88.4 million to $135.8 million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$47.4 million in 2020, primarily due to the Acima Holdings acquisition, in addition to improved operating profit in the Rent-A-Center Business, Mexico, and Franchising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Cash used in investing activities was $1,279.3 million for the three months ended March 31, 2021, compared to $9.0 million in 2020, a change of $1,270.3 million, primarily due to the Acima Holdings acquisition in February 2021.</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was $1,107.3 million for the three months ended March 31, 2021, compared to $76.0 million in 2020, a decrease of $1,031.3 million, primarily due to an increase in debt proceeds of $1,292.0 million during the three months ended March 31, 2021 primarily due to the Acima Holdings acquisition in February 2021.</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Liquidity Requirements</w:t>
      </w:r>
      <w:r>
        <w:rPr>
          <w:rFonts w:ascii="Arial" w:cs="Arial" w:eastAsia="Arial" w:hAnsi="Arial"/>
          <w:sz w:val="18"/>
          <w:szCs w:val="18"/>
          <w:color w:val="auto"/>
        </w:rPr>
        <w:t>. Our primary liquidity requirements are for rental merchandise purchases. Other capital requirements include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assets, debt service, and dividends. Our primary sources of liquidity have been cash provided by operations.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12 months. At April 28, 2021, we had approximately $95.9 million in cash on hand, and $430.2 million available under our ABL Credit Facility.</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deferred approximately $23 million in employer payroll taxes to future periods as part of the benefits received from the CARES Act passed by the U.S. Federal government in response to COVID-19. We expect to repay approximately $12 million of these deferred taxes during 2021, beginning in the second quarter, and the remaining will continue to be deferred until 2022.</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Certain federal tax legislation enacted during the period 2009 to 2017 permitted bonus first-year depreciation deductions ranging from 50%</w:t>
      </w:r>
      <w:r>
        <w:rPr>
          <w:rFonts w:ascii="Arial" w:cs="Arial" w:eastAsia="Arial" w:hAnsi="Arial"/>
          <w:sz w:val="18"/>
          <w:szCs w:val="18"/>
          <w:i w:val="1"/>
          <w:iCs w:val="1"/>
          <w:color w:val="auto"/>
        </w:rPr>
        <w:t xml:space="preserve"> </w:t>
      </w:r>
      <w:r>
        <w:rPr>
          <w:rFonts w:ascii="Arial" w:cs="Arial" w:eastAsia="Arial" w:hAnsi="Arial"/>
          <w:sz w:val="18"/>
          <w:szCs w:val="18"/>
          <w:color w:val="auto"/>
        </w:rPr>
        <w:t>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$211 million for us in 2020. We estimate the remaining tax deferral associated with bonus depreciation from these Acts is approximately $260 million at December 31, 2020, of which approximately 80%, or $207 million, will reverse in 2021, and the majority of the remainder will reverse between 2022 and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Losses</w:t>
      </w:r>
      <w:r>
        <w:rPr>
          <w:rFonts w:ascii="Arial" w:cs="Arial" w:eastAsia="Arial" w:hAnsi="Arial"/>
          <w:sz w:val="18"/>
          <w:szCs w:val="18"/>
          <w:color w:val="auto"/>
        </w:rPr>
        <w:t>. Merchandise losses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18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81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Customer stolen merchandise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46,910</w:t>
            </w:r>
          </w:p>
        </w:tc>
      </w:tr>
      <w:tr>
        <w:trPr>
          <w:trHeight w:val="230"/>
        </w:trPr>
        <w:tc>
          <w:tcPr>
            <w:tcW w:w="81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merchandise losses </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w:t>
            </w: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merchandise losses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3"/>
          <w:szCs w:val="13"/>
          <w:color w:val="auto"/>
        </w:rPr>
        <w:t>Includes incremental losses related to COVID-19</w:t>
      </w:r>
    </w:p>
    <w:p>
      <w:pPr>
        <w:ind w:left="160" w:hanging="152"/>
        <w:spacing w:after="0" w:line="195" w:lineRule="auto"/>
        <w:tabs>
          <w:tab w:leader="none" w:pos="16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Other merchandise losses include unrepairable and missing merchandise, and loss/damage waiver claims.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We make capital expenditures in order to maintain our existing operations, acquire new capital assets in new and acquired stores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information technology. We spent $11.4 million and $9.2 million on capital expenditures during the three months ended March 31, 2021 and 2020, respectively.</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Acquisitions and New Location Openings. </w:t>
      </w:r>
      <w:r>
        <w:rPr>
          <w:rFonts w:ascii="Arial" w:cs="Arial" w:eastAsia="Arial" w:hAnsi="Arial"/>
          <w:sz w:val="16"/>
          <w:szCs w:val="16"/>
          <w:color w:val="auto"/>
        </w:rPr>
        <w:t>During the first three months of 2021, we acquired one rent-to-own store location and customer accounts for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purchase price of approximately $0.3 million. The store location remained open upon acquisition as part of our Rent-A-Center Business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p>
      <w:pPr>
        <w:ind w:right="20"/>
        <w:spacing w:after="0" w:line="269" w:lineRule="auto"/>
        <w:rPr>
          <w:sz w:val="20"/>
          <w:szCs w:val="20"/>
          <w:color w:val="auto"/>
        </w:rPr>
      </w:pPr>
      <w:r>
        <w:rPr>
          <w:rFonts w:ascii="Arial" w:cs="Arial" w:eastAsia="Arial" w:hAnsi="Arial"/>
          <w:sz w:val="18"/>
          <w:szCs w:val="18"/>
          <w:color w:val="auto"/>
        </w:rPr>
        <w:t>The table below summarizes the store location activity for the three-month period ended March 31, 2021 for our Rent-A-Center Business, Mexico and Franchising operating segments.</w:t>
      </w:r>
    </w:p>
    <w:tbl>
      <w:tblPr>
        <w:tblLayout w:type="fixed"/>
        <w:tblInd w:w="0" w:type="dxa"/>
        <w:tblCellMar>
          <w:top w:w="0" w:type="dxa"/>
          <w:left w:w="0" w:type="dxa"/>
          <w:bottom w:w="0" w:type="dxa"/>
          <w:right w:w="0" w:type="dxa"/>
        </w:tblCellMar>
      </w:tblPr>
      <w:tr>
        <w:trPr>
          <w:trHeight w:val="144"/>
        </w:trPr>
        <w:tc>
          <w:tcPr>
            <w:tcW w:w="5580" w:type="dxa"/>
            <w:vAlign w:val="bottom"/>
          </w:tcPr>
          <w:p>
            <w:pPr>
              <w:spacing w:after="0"/>
              <w:rPr>
                <w:sz w:val="12"/>
                <w:szCs w:val="12"/>
                <w:color w:val="auto"/>
              </w:rPr>
            </w:pPr>
          </w:p>
        </w:tc>
        <w:tc>
          <w:tcPr>
            <w:tcW w:w="14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Rent-A-Center</w:t>
            </w:r>
          </w:p>
        </w:tc>
        <w:tc>
          <w:tcPr>
            <w:tcW w:w="14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Mexico</w:t>
            </w:r>
          </w:p>
        </w:tc>
        <w:tc>
          <w:tcPr>
            <w:tcW w:w="14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Franchising</w:t>
            </w:r>
          </w:p>
        </w:tc>
        <w:tc>
          <w:tcPr>
            <w:tcW w:w="13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Business</w:t>
            </w:r>
          </w:p>
        </w:tc>
        <w:tc>
          <w:tcPr>
            <w:tcW w:w="14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Locations at beginning of period</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New location openings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Closed locations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Merged with existing locations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rPr>
                <w:sz w:val="20"/>
                <w:szCs w:val="20"/>
                <w:color w:val="auto"/>
              </w:rPr>
            </w:pPr>
            <w:r>
              <w:rPr>
                <w:rFonts w:ascii="Arial" w:cs="Arial" w:eastAsia="Arial" w:hAnsi="Arial"/>
                <w:sz w:val="18"/>
                <w:szCs w:val="18"/>
                <w:color w:val="auto"/>
              </w:rPr>
              <w:t>Sold or closed with no surviving location</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Locations at end of period</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Does not include locations in our Acima segment.</w:t>
      </w:r>
    </w:p>
    <w:p>
      <w:pPr>
        <w:spacing w:after="0" w:line="9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Senior Debt. </w:t>
      </w:r>
      <w:r>
        <w:rPr>
          <w:rFonts w:ascii="Arial" w:cs="Arial" w:eastAsia="Arial" w:hAnsi="Arial"/>
          <w:sz w:val="16"/>
          <w:szCs w:val="16"/>
          <w:color w:val="auto"/>
        </w:rPr>
        <w:t>On February 17, 2021, we entered into a credit agreement with JPMorgan Chase Bank, N.A., as administrative agent, and lenders party</w:t>
      </w:r>
      <w:r>
        <w:rPr>
          <w:rFonts w:ascii="Arial" w:cs="Arial" w:eastAsia="Arial" w:hAnsi="Arial"/>
          <w:sz w:val="16"/>
          <w:szCs w:val="16"/>
          <w:i w:val="1"/>
          <w:iCs w:val="1"/>
          <w:color w:val="auto"/>
        </w:rPr>
        <w:t xml:space="preserve"> </w:t>
      </w:r>
      <w:r>
        <w:rPr>
          <w:rFonts w:ascii="Arial" w:cs="Arial" w:eastAsia="Arial" w:hAnsi="Arial"/>
          <w:sz w:val="16"/>
          <w:szCs w:val="16"/>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reserves. The ABL Credit Facility bears interest at a fluctuating rate determined by reference to the eurodollar rate plus an applicable margin of 1.50% to 2.00%, which margin, as of February 19, 2021, was 2.125%.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the subsidiary guarantors’ accounts, inventory, deposit accounts, securities accounts, cash and cash equivalents, rental agreements, general intangibles (other than equity interests in o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April 28, 2021, we had outstanding borrowings of $905 million and available commitments of $430.2 million under our ABL Credit Facility, net of letters of credit.</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17, 2021, we also entered into a term loan credit agreement with JPMorgan Chase Bank, N.A., as administrative agent, and lenders party thereto, that provides for a seven-year $875 million senior secured term loan facility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eurodollar rate plus an applicable margin of 4.00%, subject to a 0.75% LIBOR floor. 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ours and the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repay certain of our outstanding indebtedness and our subsidiaries, repay all outstanding indebtedness of Acima and its subsidiaries and pay certain fees and expenses incurred in connection with the Acima Holdings acquisition. A portion of such proceeds were used to repay $197.5 million outstanding under our prior term loan facility, dated as of August 5, 2019, among us, JPMorgan Chase Bank, N.A., as administrative agent, and the lenders party thereto (the “Prior Term Loan Facility”), which Prior Term Loan Facility was terminated in connection with such repayment. At February 19, 2021, we had outstanding borrowings of $875 million under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jc w:val="both"/>
        <w:spacing w:after="0" w:line="289" w:lineRule="auto"/>
        <w:rPr>
          <w:sz w:val="20"/>
          <w:szCs w:val="20"/>
          <w:color w:val="auto"/>
        </w:rPr>
      </w:pPr>
      <w:r>
        <w:rPr>
          <w:rFonts w:ascii="Arial" w:cs="Arial" w:eastAsia="Arial" w:hAnsi="Arial"/>
          <w:sz w:val="16"/>
          <w:szCs w:val="16"/>
          <w:i w:val="1"/>
          <w:iCs w:val="1"/>
          <w:color w:val="auto"/>
        </w:rPr>
        <w:t>Senior Notes</w:t>
      </w:r>
      <w:r>
        <w:rPr>
          <w:rFonts w:ascii="Arial" w:cs="Arial" w:eastAsia="Arial" w:hAnsi="Arial"/>
          <w:sz w:val="16"/>
          <w:szCs w:val="16"/>
          <w:color w:val="auto"/>
        </w:rPr>
        <w:t>. On February 17, 2021, we issued $450.0 million in senior unsecured notes due February 15, 2029, at par value, bearing interest at 6.375%</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the proceeds of which were used to fund a portion of the Aggregate Cash Consideration upon closing of the Acima Holdings acquisition. Interest on the Notes is payable in arrears on February 15 and August 15 of each year, beginning on August 15, 2021. 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it will be required to offer to purchase the Notes at a price equal to 101% of the principal amount thereof plus accrued and unpaid interest.</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lease space for all of our Rent-A-Center Business and Mexico stores under operating leases expiring at various times through 2027.</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March 31, 2021, our total remaining obligation for existing store lease contracts was approximately $339.6 million.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vehicles for all of our Rent-A-Center Business stores under operating leases with lease terms expiring 12 months after the start date of the lease. We classify these leases as short-term and have elected the short-term lease exemption for our vehicle leases, and have therefore excluded them from our operating lease right-of-use assets within our Condensed Consolidated Balance Sheet. As of March 31, 2021, our total remaining minimum obligation for existing Rent-A-Center Business vehicle lease contracts was approximately $2.1 million.</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also lease vehicles for all of our Mexico stores which have terms expiring at various times through 2025 with rental rates adjusted periodically for inflation. As of March 31, 2021, our total remaining obligation for existing Mexico vehicle lease contracts was approximately $0.8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5 of our consolidated financial statements for additional discussion of our store operating leases.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Uncertain Tax Position. </w:t>
      </w:r>
      <w:r>
        <w:rPr>
          <w:rFonts w:ascii="Arial" w:cs="Arial" w:eastAsia="Arial" w:hAnsi="Arial"/>
          <w:sz w:val="18"/>
          <w:szCs w:val="18"/>
          <w:color w:val="auto"/>
        </w:rPr>
        <w:t>As of March 31, 2021, we have recorded $21.8 million in uncertain tax positions. Although these positions represent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liability to us, the amounts and timing of such payments are uncertain.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revenue mix is moderately seasonal, with the first quarter of each fiscal year generally providing higher merchandise sales than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during a fiscal year. Generally, our customers will more frequently exercise the early purchase option on their existing rental purchase agreements or purchase pre-leased merchandise off the showroom floor during the first quarter of each fiscal year, primarily due to the receipt of federal income tax refunds. Furthermore, we tend to experience slower growth in the number of rental purchase agreements in the third quarter of each fiscal year compared to other quarters throughout the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we adopt as of the specified effective date. As of March 31, 2021, we believe the impact of any recently issued standards that are not yet effective are either not applicable to us at this time or will not have a material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2021, we had $875.0 million outstanding under our term loan credit agreement and $55.0 million outstanding under our ABL credit agreement, each at interest rates indexed to the Eurodollar rate or the prime rate, which exposes us to the risk of increased interest costs if interest rates rise. Based on our overall interest rate exposure at March 31, 2021, a hypothetical 1.0% increase or decrease in market interest rates would have the effect of causing an additional $9.4 million annualized pre-tax charge or credit to interest expense in our consolidated statement of operations. We have not entered into any interest rate swap agreements as of March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Disclosure control and procedures</w:t>
      </w:r>
      <w:r>
        <w:rPr>
          <w:rFonts w:ascii="Arial" w:cs="Arial" w:eastAsia="Arial" w:hAnsi="Arial"/>
          <w:sz w:val="17"/>
          <w:szCs w:val="17"/>
          <w:color w:val="auto"/>
        </w:rPr>
        <w:t>. In accordance with Rule 13a-15(b) under the Securities Exchange Act of 1934, an evaluation was performed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March 31, 2021, our disclosure controls and procedures (as defined in Rules 13a– 15(e) and 15d–15(e) under the Securities Exchange Act of 1934) were effective.</w:t>
      </w:r>
    </w:p>
    <w:p>
      <w:pPr>
        <w:spacing w:after="0" w:line="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Changes in internal controls over financial reporting</w:t>
      </w:r>
      <w:r>
        <w:rPr>
          <w:rFonts w:ascii="Arial" w:cs="Arial" w:eastAsia="Arial" w:hAnsi="Arial"/>
          <w:sz w:val="16"/>
          <w:szCs w:val="16"/>
          <w:color w:val="auto"/>
        </w:rPr>
        <w:t>. In February 2021, we acquired Acima Holdings. We are currently in the process of integrating Acima</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into our assessment of our internal control over financial reporting. Management's assessment and conclusions on the effectiveness of our disclosure controls and procedures as of March 31, 2021 excludes an assessment of the internal control over financial reporting of Acima Holdings.</w:t>
      </w:r>
    </w:p>
    <w:p>
      <w:pPr>
        <w:spacing w:after="0" w:line="4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than as described above, for the quarter ended March 31, 2021,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along with our subsidiaries, are party to various legal proceedings arising in the ordinary course of business. We reserve for loss contingencies that are both probable and reasonably estimable. We regularly monitor developments related to these legal proceedings, and review the adequacy of our legal reserves on a quarterly basis. We do not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Please reference Note 13 in the Notes to our Financial Statements for additional discussion of our 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Part 1, "Risk Factors" of our Annual Report on Form 10-K for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50"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0" w:type="dxa"/>
            <w:vAlign w:val="bottom"/>
            <w:gridSpan w:val="20"/>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1"/>
                <w:szCs w:val="21"/>
                <w:color w:val="auto"/>
              </w:rPr>
            </w:pPr>
          </w:p>
        </w:tc>
        <w:tc>
          <w:tcPr>
            <w:tcW w:w="10020" w:type="dxa"/>
            <w:vAlign w:val="bottom"/>
            <w:gridSpan w:val="28"/>
          </w:tcPr>
          <w:p>
            <w:pPr>
              <w:spacing w:after="0"/>
              <w:rPr>
                <w:rFonts w:ascii="Arial" w:cs="Arial" w:eastAsia="Arial" w:hAnsi="Arial"/>
                <w:sz w:val="18"/>
                <w:szCs w:val="18"/>
                <w:color w:val="0000FF"/>
                <w:w w:val="97"/>
              </w:rPr>
            </w:pPr>
            <w:hyperlink r:id="rId46">
              <w:r>
                <w:rPr>
                  <w:rFonts w:ascii="Arial" w:cs="Arial" w:eastAsia="Arial" w:hAnsi="Arial"/>
                  <w:sz w:val="18"/>
                  <w:szCs w:val="18"/>
                  <w:color w:val="0000FF"/>
                  <w:w w:val="97"/>
                </w:rPr>
                <w:t>Certificate of Incorporation of Rent-A-Center, Inc., as amended (incorporated herein by reference to Exhibit 3.1 to the registrant's</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Current Report on Form 8-K dated as of December 31, 2002)</w:t>
              </w:r>
            </w:hyperlink>
          </w:p>
        </w:tc>
        <w:tc>
          <w:tcPr>
            <w:tcW w:w="55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Certificate of Amendment to the Certificate of Incorporation of Rent-A-Center, Inc., dated May 19, 2004 (incorporated herein by</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reference to Exhibit 3.2 to the registrant's Quarterly Report on Form 10-Q for the quarter ended June 30, 2004)</w:t>
              </w:r>
            </w:hyperlink>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3.3</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8"/>
              </w:rPr>
            </w:pPr>
            <w:hyperlink r:id="rId48">
              <w:r>
                <w:rPr>
                  <w:rFonts w:ascii="Arial" w:cs="Arial" w:eastAsia="Arial" w:hAnsi="Arial"/>
                  <w:sz w:val="18"/>
                  <w:szCs w:val="18"/>
                  <w:color w:val="0000FF"/>
                  <w:w w:val="98"/>
                </w:rPr>
                <w:t>Amended and Restated Bylaws of Rent-A-Center, Inc. (incorporated herein by reference to Exhibit 3.2 to the registrant's Current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Report on Form 8-K dated as of December 1, 2020.)</w:t>
              </w:r>
            </w:hyperlink>
          </w:p>
        </w:tc>
        <w:tc>
          <w:tcPr>
            <w:tcW w:w="6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3.4</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Certificate of Designations of Series D Preferred Stock of Rent-A-Center, Inc. (incorporated herein by reference to Exhibit 3.1 to the</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registrant's Current Report on Form 8-K dated as of March 29, 2017)</w:t>
              </w:r>
            </w:hyperlink>
          </w:p>
        </w:tc>
        <w:tc>
          <w:tcPr>
            <w:tcW w:w="498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6"/>
              </w:rPr>
            </w:pPr>
            <w:hyperlink r:id="rId50">
              <w:r>
                <w:rPr>
                  <w:rFonts w:ascii="Arial" w:cs="Arial" w:eastAsia="Arial" w:hAnsi="Arial"/>
                  <w:sz w:val="18"/>
                  <w:szCs w:val="18"/>
                  <w:color w:val="0000FF"/>
                  <w:w w:val="96"/>
                </w:rPr>
                <w:t>Form of Certificate evidencing Common Stock (incorporated herein by reference to Exhibit 4.1 to the registrant's Current Report on</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50">
              <w:r>
                <w:rPr>
                  <w:rFonts w:ascii="Arial" w:cs="Arial" w:eastAsia="Arial" w:hAnsi="Arial"/>
                  <w:sz w:val="18"/>
                  <w:szCs w:val="18"/>
                  <w:color w:val="0000FF"/>
                </w:rPr>
                <w:t>Form 10-Q for the quarter ended March 31, 2017)</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Indenture, dated as of February 17, 2021, by and between Radiant Funding SPV, LLC and Truist Bank (incorporated herein by</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reference to Exhibit 4.1 to the registrant's Current Report on Form 8-K dated as of February 17, 2021.)</w:t>
              </w:r>
            </w:hyperlink>
          </w:p>
        </w:tc>
        <w:tc>
          <w:tcPr>
            <w:tcW w:w="23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5"/>
              </w:rPr>
            </w:pPr>
            <w:hyperlink r:id="rId52">
              <w:r>
                <w:rPr>
                  <w:rFonts w:ascii="Arial" w:cs="Arial" w:eastAsia="Arial" w:hAnsi="Arial"/>
                  <w:sz w:val="18"/>
                  <w:szCs w:val="18"/>
                  <w:color w:val="0000FF"/>
                  <w:w w:val="95"/>
                </w:rPr>
                <w:t>First Amendment to ABL Credit Agreement dated as of January 26, 2021, by and among Rent-A-Center, Inc., each other Loan Party</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6"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party thereto, JPMorgan Chase Bank, N.A., as administrative agent and each of the Lenders party thereto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reference to Exhibit 10.1 to the registrant's Current Report on Form 8-K dated as of January 27, 2021).</w:t>
              </w:r>
            </w:hyperlink>
          </w:p>
        </w:tc>
        <w:tc>
          <w:tcPr>
            <w:tcW w:w="240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4"/>
              </w:rPr>
            </w:pPr>
            <w:hyperlink r:id="rId53">
              <w:r>
                <w:rPr>
                  <w:rFonts w:ascii="Arial" w:cs="Arial" w:eastAsia="Arial" w:hAnsi="Arial"/>
                  <w:sz w:val="18"/>
                  <w:szCs w:val="18"/>
                  <w:color w:val="0000FF"/>
                  <w:w w:val="94"/>
                </w:rPr>
                <w:t>ABL Credit Agreement dated as of February 17, 2021, among Rent-A-Center, Inc., as Borrower, the several lenders from time to time</w:t>
              </w:r>
            </w:hyperlink>
          </w:p>
        </w:tc>
      </w:tr>
      <w:tr>
        <w:trPr>
          <w:trHeight w:val="176"/>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900" w:type="dxa"/>
            <w:vAlign w:val="bottom"/>
            <w:tcBorders>
              <w:top w:val="single" w:sz="8" w:color="0000FF"/>
            </w:tcBorders>
            <w:gridSpan w:val="22"/>
          </w:tcPr>
          <w:p>
            <w:pPr>
              <w:spacing w:after="0" w:line="156" w:lineRule="exact"/>
              <w:rPr>
                <w:rFonts w:ascii="Arial" w:cs="Arial" w:eastAsia="Arial" w:hAnsi="Arial"/>
                <w:sz w:val="18"/>
                <w:szCs w:val="18"/>
                <w:color w:val="0000FF"/>
                <w:w w:val="97"/>
              </w:rPr>
            </w:pPr>
            <w:hyperlink r:id="rId53">
              <w:r>
                <w:rPr>
                  <w:rFonts w:ascii="Arial" w:cs="Arial" w:eastAsia="Arial" w:hAnsi="Arial"/>
                  <w:sz w:val="18"/>
                  <w:szCs w:val="18"/>
                  <w:color w:val="0000FF"/>
                  <w:w w:val="97"/>
                </w:rPr>
                <w:t>party thereto and JPMorgan Chase Bank, N.A., as Administrative Agent (incorporated herein by reference to Exhibit 10.2 to the</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35"/>
        </w:trPr>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0" w:type="dxa"/>
            <w:vAlign w:val="bottom"/>
            <w:tcBorders>
              <w:top w:val="single" w:sz="8" w:color="0000FF"/>
              <w:bottom w:val="single" w:sz="8" w:color="0000FF"/>
            </w:tcBorders>
            <w:gridSpan w:val="10"/>
          </w:tcPr>
          <w:p>
            <w:pPr>
              <w:spacing w:after="0" w:line="136" w:lineRule="exact"/>
              <w:rPr>
                <w:rFonts w:ascii="Arial" w:cs="Arial" w:eastAsia="Arial" w:hAnsi="Arial"/>
                <w:sz w:val="15"/>
                <w:szCs w:val="15"/>
                <w:color w:val="0000FF"/>
              </w:rPr>
            </w:pPr>
            <w:hyperlink r:id="rId53">
              <w:r>
                <w:rPr>
                  <w:rFonts w:ascii="Arial" w:cs="Arial" w:eastAsia="Arial" w:hAnsi="Arial"/>
                  <w:sz w:val="15"/>
                  <w:szCs w:val="15"/>
                  <w:color w:val="0000FF"/>
                </w:rPr>
                <w:t>registrant's Current Report on Form 8-K dated as of February 17, 2021.)</w:t>
              </w:r>
            </w:hyperlink>
          </w:p>
        </w:tc>
        <w:tc>
          <w:tcPr>
            <w:tcW w:w="4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58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17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Term Loan Credit Agreement dated as of February 17, 2021, among Rent-A-Center, Inc., as Borrower, the several lenders from time to</w:t>
              </w:r>
            </w:hyperlink>
          </w:p>
        </w:tc>
      </w:tr>
      <w:tr>
        <w:trPr>
          <w:trHeight w:val="176"/>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time party thereto and JPMorgan Chase Bank, N.A., as Administrative Agent (incorporated herein by reference to Exhibit 10.3 to the</w:t>
              </w:r>
            </w:hyperlink>
          </w:p>
        </w:tc>
        <w:tc>
          <w:tcPr>
            <w:tcW w:w="2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36"/>
        </w:trPr>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0" w:type="dxa"/>
            <w:vAlign w:val="bottom"/>
            <w:tcBorders>
              <w:bottom w:val="single" w:sz="8" w:color="0000FF"/>
            </w:tcBorders>
            <w:gridSpan w:val="10"/>
          </w:tcPr>
          <w:p>
            <w:pPr>
              <w:spacing w:after="0" w:line="136" w:lineRule="exact"/>
              <w:rPr>
                <w:rFonts w:ascii="Arial" w:cs="Arial" w:eastAsia="Arial" w:hAnsi="Arial"/>
                <w:sz w:val="15"/>
                <w:szCs w:val="15"/>
                <w:color w:val="0000FF"/>
              </w:rPr>
            </w:pPr>
            <w:hyperlink r:id="rId54">
              <w:r>
                <w:rPr>
                  <w:rFonts w:ascii="Arial" w:cs="Arial" w:eastAsia="Arial" w:hAnsi="Arial"/>
                  <w:sz w:val="15"/>
                  <w:szCs w:val="15"/>
                  <w:color w:val="0000FF"/>
                </w:rPr>
                <w:t>registrant's Current Report on Form 8-K dated as of February 17, 2021.)</w:t>
              </w:r>
            </w:hyperlink>
          </w:p>
        </w:tc>
        <w:tc>
          <w:tcPr>
            <w:tcW w:w="620" w:type="dxa"/>
            <w:vAlign w:val="bottom"/>
            <w:gridSpan w:val="2"/>
          </w:tcPr>
          <w:p>
            <w:pPr>
              <w:spacing w:after="0"/>
              <w:rPr>
                <w:sz w:val="11"/>
                <w:szCs w:val="11"/>
                <w:color w:val="auto"/>
              </w:rPr>
            </w:pPr>
          </w:p>
        </w:tc>
        <w:tc>
          <w:tcPr>
            <w:tcW w:w="1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Registration Rights Agreement, dated as of February 17, 2021, by and among Rent-A-Center, Inc. and certain former owners of Acima</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8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Holdings, LLC (incorporated herein by reference to Exhibit 10.1 to the registrant's Current Report on Form 8-K dated as of February</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17, 2021.)</w:t>
              </w:r>
            </w:hyperlink>
          </w:p>
        </w:tc>
        <w:tc>
          <w:tcPr>
            <w:tcW w:w="1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4"/>
              </w:rPr>
            </w:pPr>
            <w:hyperlink w:anchor="page40">
              <w:r>
                <w:rPr>
                  <w:rFonts w:ascii="Arial" w:cs="Arial" w:eastAsia="Arial" w:hAnsi="Arial"/>
                  <w:sz w:val="18"/>
                  <w:szCs w:val="18"/>
                  <w:color w:val="0000FF"/>
                  <w:w w:val="94"/>
                </w:rPr>
                <w:t>Certification pursuant to Rule 13a-14(a) of the Securities Exchange Act of 1934 implementing Section 302 of the Sarbanes-Oxley Act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40">
              <w:r>
                <w:rPr>
                  <w:rFonts w:ascii="Arial" w:cs="Arial" w:eastAsia="Arial" w:hAnsi="Arial"/>
                  <w:sz w:val="18"/>
                  <w:szCs w:val="18"/>
                  <w:color w:val="0000FF"/>
                </w:rPr>
                <w:t>of 2002 by Mitchell E. Fadel</w:t>
              </w:r>
            </w:hyperlink>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4"/>
              </w:rPr>
            </w:pPr>
            <w:hyperlink w:anchor="page41">
              <w:r>
                <w:rPr>
                  <w:rFonts w:ascii="Arial" w:cs="Arial" w:eastAsia="Arial" w:hAnsi="Arial"/>
                  <w:sz w:val="18"/>
                  <w:szCs w:val="18"/>
                  <w:color w:val="0000FF"/>
                  <w:w w:val="94"/>
                </w:rPr>
                <w:t>Certification pursuant to Rule 13a-14(a) of the Securities Exchange Act of 1934 implementing Section 302 of the Sarbanes-Oxley Act</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w:anchor="page41">
              <w:r>
                <w:rPr>
                  <w:rFonts w:ascii="Arial" w:cs="Arial" w:eastAsia="Arial" w:hAnsi="Arial"/>
                  <w:sz w:val="18"/>
                  <w:szCs w:val="18"/>
                  <w:color w:val="0000FF"/>
                  <w:w w:val="91"/>
                </w:rPr>
                <w:t>of 2002 by Maureen B. Short</w:t>
              </w:r>
            </w:hyperlink>
          </w:p>
        </w:tc>
        <w:tc>
          <w:tcPr>
            <w:tcW w:w="7820" w:type="dxa"/>
            <w:vAlign w:val="bottom"/>
            <w:tcBorders>
              <w:top w:val="single" w:sz="8" w:color="0000FF"/>
            </w:tcBorders>
            <w:gridSpan w:val="19"/>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Certification pursuant to 18 U.S.C. Section 1350 as adopted pursuant to Section 906 of the Sarbanes-Oxley Act of 2002 by Mitchell E.</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42">
              <w:r>
                <w:rPr>
                  <w:rFonts w:ascii="Arial" w:cs="Arial" w:eastAsia="Arial" w:hAnsi="Arial"/>
                  <w:sz w:val="18"/>
                  <w:szCs w:val="18"/>
                  <w:color w:val="0000FF"/>
                  <w:w w:val="88"/>
                </w:rPr>
                <w:t>Fadel</w:t>
              </w:r>
            </w:hyperlink>
          </w:p>
        </w:tc>
        <w:tc>
          <w:tcPr>
            <w:tcW w:w="9360" w:type="dxa"/>
            <w:vAlign w:val="bottom"/>
            <w:tcBorders>
              <w:top w:val="single" w:sz="8" w:color="0000FF"/>
            </w:tcBorders>
            <w:gridSpan w:val="14"/>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200" w:type="dxa"/>
            <w:vAlign w:val="bottom"/>
          </w:tcPr>
          <w:p>
            <w:pPr>
              <w:spacing w:after="0"/>
              <w:rPr>
                <w:sz w:val="22"/>
                <w:szCs w:val="22"/>
                <w:color w:val="auto"/>
              </w:rPr>
            </w:pPr>
          </w:p>
        </w:tc>
        <w:tc>
          <w:tcPr>
            <w:tcW w:w="10020" w:type="dxa"/>
            <w:vAlign w:val="bottom"/>
            <w:gridSpan w:val="28"/>
          </w:tcPr>
          <w:p>
            <w:pPr>
              <w:spacing w:after="0"/>
              <w:rPr>
                <w:rFonts w:ascii="Arial" w:cs="Arial" w:eastAsia="Arial" w:hAnsi="Arial"/>
                <w:sz w:val="18"/>
                <w:szCs w:val="18"/>
                <w:color w:val="0000FF"/>
                <w:w w:val="93"/>
              </w:rPr>
            </w:pPr>
            <w:hyperlink w:anchor="page43">
              <w:r>
                <w:rPr>
                  <w:rFonts w:ascii="Arial" w:cs="Arial" w:eastAsia="Arial" w:hAnsi="Arial"/>
                  <w:sz w:val="18"/>
                  <w:szCs w:val="18"/>
                  <w:color w:val="0000FF"/>
                  <w:w w:val="93"/>
                </w:rPr>
                <w:t>Certification pursuant to 18 U.S.C. Section 1350 as adopted pursuant to Section 906 of the Sarbanes-Oxley Act of 2002 by Maureen B.</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43">
              <w:r>
                <w:rPr>
                  <w:rFonts w:ascii="Arial" w:cs="Arial" w:eastAsia="Arial" w:hAnsi="Arial"/>
                  <w:sz w:val="18"/>
                  <w:szCs w:val="18"/>
                  <w:color w:val="0000FF"/>
                  <w:w w:val="88"/>
                </w:rPr>
                <w:t>Short</w:t>
              </w:r>
            </w:hyperlink>
          </w:p>
        </w:tc>
        <w:tc>
          <w:tcPr>
            <w:tcW w:w="9360" w:type="dxa"/>
            <w:vAlign w:val="bottom"/>
            <w:tcBorders>
              <w:top w:val="single" w:sz="8" w:color="0000FF"/>
            </w:tcBorders>
            <w:gridSpan w:val="14"/>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5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7"/>
              </w:rPr>
              <w:t>101.INS*</w:t>
            </w:r>
          </w:p>
        </w:tc>
        <w:tc>
          <w:tcPr>
            <w:tcW w:w="200" w:type="dxa"/>
            <w:vAlign w:val="bottom"/>
          </w:tcPr>
          <w:p>
            <w:pPr>
              <w:spacing w:after="0"/>
              <w:rPr>
                <w:sz w:val="21"/>
                <w:szCs w:val="21"/>
                <w:color w:val="auto"/>
              </w:rPr>
            </w:pPr>
          </w:p>
        </w:tc>
        <w:tc>
          <w:tcPr>
            <w:tcW w:w="10020" w:type="dxa"/>
            <w:vAlign w:val="bottom"/>
            <w:gridSpan w:val="28"/>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files because its XBRL tags are embedded</w:t>
            </w:r>
          </w:p>
        </w:tc>
      </w:tr>
      <w:tr>
        <w:trPr>
          <w:trHeight w:val="230"/>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20" w:type="dxa"/>
            <w:vAlign w:val="bottom"/>
            <w:gridSpan w:val="28"/>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200" w:type="dxa"/>
            <w:vAlign w:val="bottom"/>
          </w:tcPr>
          <w:p>
            <w:pPr>
              <w:spacing w:after="0"/>
              <w:rPr>
                <w:sz w:val="24"/>
                <w:szCs w:val="24"/>
                <w:color w:val="auto"/>
              </w:rPr>
            </w:pPr>
          </w:p>
        </w:tc>
        <w:tc>
          <w:tcPr>
            <w:tcW w:w="10020" w:type="dxa"/>
            <w:vAlign w:val="bottom"/>
            <w:gridSpan w:val="2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200" w:type="dxa"/>
            <w:vAlign w:val="bottom"/>
          </w:tcPr>
          <w:p>
            <w:pPr>
              <w:spacing w:after="0"/>
              <w:rPr>
                <w:sz w:val="24"/>
                <w:szCs w:val="24"/>
                <w:color w:val="auto"/>
              </w:rPr>
            </w:pPr>
          </w:p>
        </w:tc>
        <w:tc>
          <w:tcPr>
            <w:tcW w:w="10020" w:type="dxa"/>
            <w:vAlign w:val="bottom"/>
            <w:gridSpan w:val="2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101.DEF*</w:t>
            </w:r>
          </w:p>
        </w:tc>
        <w:tc>
          <w:tcPr>
            <w:tcW w:w="200" w:type="dxa"/>
            <w:vAlign w:val="bottom"/>
          </w:tcPr>
          <w:p>
            <w:pPr>
              <w:spacing w:after="0"/>
              <w:rPr>
                <w:sz w:val="24"/>
                <w:szCs w:val="24"/>
                <w:color w:val="auto"/>
              </w:rPr>
            </w:pPr>
          </w:p>
        </w:tc>
        <w:tc>
          <w:tcPr>
            <w:tcW w:w="10020" w:type="dxa"/>
            <w:vAlign w:val="bottom"/>
            <w:gridSpan w:val="2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96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200" w:type="dxa"/>
            <w:vAlign w:val="bottom"/>
          </w:tcPr>
          <w:p>
            <w:pPr>
              <w:spacing w:after="0"/>
              <w:rPr>
                <w:sz w:val="24"/>
                <w:szCs w:val="24"/>
                <w:color w:val="auto"/>
              </w:rPr>
            </w:pPr>
          </w:p>
        </w:tc>
        <w:tc>
          <w:tcPr>
            <w:tcW w:w="10020" w:type="dxa"/>
            <w:vAlign w:val="bottom"/>
            <w:gridSpan w:val="2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101.PRE*</w:t>
            </w:r>
          </w:p>
        </w:tc>
        <w:tc>
          <w:tcPr>
            <w:tcW w:w="200" w:type="dxa"/>
            <w:vAlign w:val="bottom"/>
          </w:tcPr>
          <w:p>
            <w:pPr>
              <w:spacing w:after="0"/>
              <w:rPr>
                <w:sz w:val="24"/>
                <w:szCs w:val="24"/>
                <w:color w:val="auto"/>
              </w:rPr>
            </w:pPr>
          </w:p>
        </w:tc>
        <w:tc>
          <w:tcPr>
            <w:tcW w:w="10020" w:type="dxa"/>
            <w:vAlign w:val="bottom"/>
            <w:gridSpan w:val="2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200" w:type="dxa"/>
            <w:vAlign w:val="bottom"/>
          </w:tcPr>
          <w:p>
            <w:pPr>
              <w:spacing w:after="0"/>
              <w:rPr>
                <w:sz w:val="24"/>
                <w:szCs w:val="24"/>
                <w:color w:val="auto"/>
              </w:rPr>
            </w:pPr>
          </w:p>
        </w:tc>
        <w:tc>
          <w:tcPr>
            <w:tcW w:w="10020" w:type="dxa"/>
            <w:vAlign w:val="bottom"/>
            <w:gridSpan w:val="28"/>
          </w:tcPr>
          <w:p>
            <w:pPr>
              <w:spacing w:after="0"/>
              <w:rPr>
                <w:sz w:val="20"/>
                <w:szCs w:val="20"/>
                <w:color w:val="auto"/>
              </w:rPr>
            </w:pPr>
            <w:r>
              <w:rPr>
                <w:rFonts w:ascii="Arial" w:cs="Arial" w:eastAsia="Arial" w:hAnsi="Arial"/>
                <w:sz w:val="18"/>
                <w:szCs w:val="18"/>
                <w:color w:val="auto"/>
              </w:rPr>
              <w:t>Cover page Interactive Data File (embedded within the inline XBRL document contained in Exhibit 101)</w:t>
            </w:r>
          </w:p>
        </w:tc>
      </w:tr>
      <w:tr>
        <w:trPr>
          <w:trHeight w:val="231"/>
        </w:trPr>
        <w:tc>
          <w:tcPr>
            <w:tcW w:w="960" w:type="dxa"/>
            <w:vAlign w:val="bottom"/>
          </w:tcPr>
          <w:p>
            <w:pPr>
              <w:spacing w:after="0"/>
              <w:rPr>
                <w:sz w:val="20"/>
                <w:szCs w:val="20"/>
                <w:color w:val="auto"/>
              </w:rPr>
            </w:pPr>
          </w:p>
        </w:tc>
        <w:tc>
          <w:tcPr>
            <w:tcW w:w="10220" w:type="dxa"/>
            <w:vAlign w:val="bottom"/>
            <w:gridSpan w:val="29"/>
          </w:tcPr>
          <w:p>
            <w:pPr>
              <w:ind w:left="100"/>
              <w:spacing w:after="0"/>
              <w:rPr>
                <w:sz w:val="20"/>
                <w:szCs w:val="20"/>
                <w:color w:val="auto"/>
              </w:rPr>
            </w:pPr>
            <w:r>
              <w:rPr>
                <w:rFonts w:ascii="Arial" w:cs="Arial" w:eastAsia="Arial" w:hAnsi="Arial"/>
                <w:sz w:val="14"/>
                <w:szCs w:val="14"/>
                <w:color w:val="auto"/>
              </w:rPr>
              <w:t>*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RENT-A-CENTER, INC.</w:t>
      </w:r>
    </w:p>
    <w:p>
      <w:pPr>
        <w:spacing w:after="0" w:line="29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MAUREEN B. SHORT</w:t>
            </w:r>
          </w:p>
        </w:tc>
      </w:tr>
      <w:tr>
        <w:trPr>
          <w:trHeight w:val="222"/>
        </w:trPr>
        <w:tc>
          <w:tcPr>
            <w:tcW w:w="2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Maureen B. Short</w:t>
            </w:r>
          </w:p>
        </w:tc>
      </w:tr>
      <w:tr>
        <w:trPr>
          <w:trHeight w:val="230"/>
        </w:trPr>
        <w:tc>
          <w:tcPr>
            <w:tcW w:w="2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3"/>
              </w:rPr>
              <w:t>EVP, Chief Financial Officer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03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u w:val="single" w:color="auto"/>
          <w:color w:val="auto"/>
        </w:rPr>
        <w:t>Exhibit 31.1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Mitchell E. Fadel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3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u w:val="single" w:color="auto"/>
          <w:color w:val="auto"/>
        </w:rPr>
        <w:t>Exhibit 31.2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Maureen B. Short, certify that:</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Maureen B. Short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Maureen B. Short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180"/>
        <w:spacing w:after="0" w:line="265" w:lineRule="auto"/>
        <w:rPr>
          <w:sz w:val="20"/>
          <w:szCs w:val="20"/>
          <w:color w:val="auto"/>
        </w:rPr>
      </w:pPr>
      <w:r>
        <w:rPr>
          <w:rFonts w:ascii="Arial" w:cs="Arial" w:eastAsia="Arial" w:hAnsi="Arial"/>
          <w:sz w:val="21"/>
          <w:szCs w:val="21"/>
          <w:color w:val="auto"/>
        </w:rPr>
        <w:t>In connection with the Quarterly Report on Form 10-Q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March 31, 2021,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02"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Mitchell E. Fadel</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 and 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May 7, 2021</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180"/>
        <w:spacing w:after="0" w:line="250" w:lineRule="auto"/>
        <w:rPr>
          <w:sz w:val="20"/>
          <w:szCs w:val="20"/>
          <w:color w:val="auto"/>
        </w:rPr>
      </w:pPr>
      <w:r>
        <w:rPr>
          <w:rFonts w:ascii="Arial" w:cs="Arial" w:eastAsia="Arial" w:hAnsi="Arial"/>
          <w:sz w:val="22"/>
          <w:szCs w:val="22"/>
          <w:color w:val="auto"/>
        </w:rPr>
        <w:t>In connection with the Quarterly Report on Form 10-Q of Rent-A-Center,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for the period ended March 31, 2021, as filed with the Securities and Exchange Commission on the date hereof (the "</w:t>
      </w:r>
      <w:r>
        <w:rPr>
          <w:rFonts w:ascii="Arial" w:cs="Arial" w:eastAsia="Arial" w:hAnsi="Arial"/>
          <w:sz w:val="22"/>
          <w:szCs w:val="22"/>
          <w:b w:val="1"/>
          <w:bCs w:val="1"/>
          <w:i w:val="1"/>
          <w:iCs w:val="1"/>
          <w:color w:val="auto"/>
        </w:rPr>
        <w:t>Report</w:t>
      </w:r>
      <w:r>
        <w:rPr>
          <w:rFonts w:ascii="Arial" w:cs="Arial" w:eastAsia="Arial" w:hAnsi="Arial"/>
          <w:sz w:val="22"/>
          <w:szCs w:val="22"/>
          <w:color w:val="auto"/>
        </w:rPr>
        <w:t>"), I, Maureen B. Short, Chief Financial Officer of the Company, hereby certify, pursuant to 18 U.S.C. Section 1350, as adopted pursuant to Section 906 of the Sarbanes-Oxley Act of 2002, that, to the best of my knowledge:</w:t>
      </w:r>
    </w:p>
    <w:p>
      <w:pPr>
        <w:spacing w:after="0" w:line="21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Maureen B. Short</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Maureen B. Short</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Executive Vice President,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May 7, 2021</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lowerRoman"/>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6" Type="http://schemas.openxmlformats.org/officeDocument/2006/relationships/image" Target="media/image39.png"/><Relationship Id="rId46" Type="http://schemas.openxmlformats.org/officeDocument/2006/relationships/hyperlink" Target="http://www.sec.gov/Archives/edgar/data/933036/000095013402016210/d02215exv3w1.txt" TargetMode="External"/><Relationship Id="rId47" Type="http://schemas.openxmlformats.org/officeDocument/2006/relationships/hyperlink" Target="http://www.sec.gov/Archives/edgar/data/933036/000095013404010948/d17068exv3w2.txt" TargetMode="External"/><Relationship Id="rId48" Type="http://schemas.openxmlformats.org/officeDocument/2006/relationships/hyperlink" Target="http://www.sec.gov/Archives/edgar/data/933036/000093303620000119/ex-32amendedandrestate.htm" TargetMode="External"/><Relationship Id="rId49" Type="http://schemas.openxmlformats.org/officeDocument/2006/relationships/hyperlink" Target="http://www.sec.gov/Archives/edgar/data/933036/000093303617000022/exhibit31march282017america.htm" TargetMode="External"/><Relationship Id="rId50" Type="http://schemas.openxmlformats.org/officeDocument/2006/relationships/hyperlink" Target="http://www.sec.gov/Archives/edgar/data/933036/000093303617000033/ex-41_q12017.htm" TargetMode="External"/><Relationship Id="rId51" Type="http://schemas.openxmlformats.org/officeDocument/2006/relationships/hyperlink" Target="http://www.sec.gov/Archives/edgar/data/933036/000110465921024846/tm216741d1_ex4-1.htm" TargetMode="External"/><Relationship Id="rId52" Type="http://schemas.openxmlformats.org/officeDocument/2006/relationships/hyperlink" Target="http://www.sec.gov/Archives/edgar/data/933036/000110465921008215/tm214347d1_ex10-1.htm" TargetMode="External"/><Relationship Id="rId53" Type="http://schemas.openxmlformats.org/officeDocument/2006/relationships/hyperlink" Target="http://www.sec.gov/Archives/edgar/data/933036/000110465921024846/tm216741d1_ex10-2.htm" TargetMode="External"/><Relationship Id="rId54" Type="http://schemas.openxmlformats.org/officeDocument/2006/relationships/hyperlink" Target="http://www.sec.gov/Archives/edgar/data/933036/000110465921024846/tm216741d1_ex10-3.htm" TargetMode="External"/><Relationship Id="rId55" Type="http://schemas.openxmlformats.org/officeDocument/2006/relationships/hyperlink" Target="http://www.sec.gov/Archives/edgar/data/933036/000110465921024846/tm21674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2021-05-07T14:37:10Z</dcterms:created>
  <dcterms:modified xsi:type="dcterms:W3CDTF">2021-05-07T14:37:10Z</dcterms:modified>
</cp:coreProperties>
</file>