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color w:val="auto"/>
        </w:rPr>
        <w:t>(Mark One)</w:t>
      </w:r>
    </w:p>
    <w:p>
      <w:pPr>
        <w:spacing w:after="0" w:line="115" w:lineRule="exact"/>
        <w:rPr>
          <w:sz w:val="24"/>
          <w:szCs w:val="24"/>
          <w:color w:val="auto"/>
        </w:rPr>
      </w:pPr>
    </w:p>
    <w:p>
      <w:pPr>
        <w:ind w:left="480" w:hanging="139"/>
        <w:spacing w:after="0"/>
        <w:tabs>
          <w:tab w:leader="none" w:pos="4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fiscal year ended December 31, 2024</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or</w:t>
      </w:r>
    </w:p>
    <w:p>
      <w:pPr>
        <w:spacing w:after="0" w:line="29" w:lineRule="exact"/>
        <w:rPr>
          <w:sz w:val="24"/>
          <w:szCs w:val="24"/>
          <w:color w:val="auto"/>
        </w:rPr>
      </w:pPr>
    </w:p>
    <w:p>
      <w:pPr>
        <w:ind w:left="480" w:hanging="139"/>
        <w:spacing w:after="0"/>
        <w:tabs>
          <w:tab w:leader="none" w:pos="4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74" w:lineRule="exact"/>
        <w:rPr>
          <w:sz w:val="24"/>
          <w:szCs w:val="24"/>
          <w:color w:val="auto"/>
        </w:rPr>
      </w:pPr>
    </w:p>
    <w:tbl>
      <w:tblPr>
        <w:tblLayout w:type="fixed"/>
        <w:tblInd w:w="106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gridSpan w:val="3"/>
          </w:tcPr>
          <w:p>
            <w:pPr>
              <w:ind w:left="7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384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to</w:t>
            </w:r>
          </w:p>
        </w:tc>
      </w:tr>
      <w:tr>
        <w:trPr>
          <w:trHeight w:val="133"/>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300" w:type="dxa"/>
            <w:vAlign w:val="bottom"/>
            <w:gridSpan w:val="6"/>
          </w:tcPr>
          <w:p>
            <w:pPr>
              <w:jc w:val="center"/>
              <w:ind w:right="24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Commission File Number: 001-38047</w:t>
            </w:r>
          </w:p>
        </w:tc>
      </w:tr>
      <w:tr>
        <w:trPr>
          <w:trHeight w:val="389"/>
        </w:trPr>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00" w:type="dxa"/>
            <w:vAlign w:val="bottom"/>
            <w:gridSpan w:val="6"/>
          </w:tcPr>
          <w:p>
            <w:pPr>
              <w:jc w:val="center"/>
              <w:ind w:right="2440"/>
              <w:spacing w:after="0"/>
              <w:rPr>
                <w:sz w:val="20"/>
                <w:szCs w:val="20"/>
                <w:color w:val="auto"/>
              </w:rPr>
            </w:pPr>
            <w:r>
              <w:rPr>
                <w:rFonts w:ascii="Times New Roman" w:cs="Times New Roman" w:eastAsia="Times New Roman" w:hAnsi="Times New Roman"/>
                <w:sz w:val="31"/>
                <w:szCs w:val="31"/>
                <w:b w:val="1"/>
                <w:bCs w:val="1"/>
                <w:color w:val="auto"/>
                <w:w w:val="99"/>
              </w:rPr>
              <w:t>Upbound Group, Inc.</w:t>
            </w: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300" w:type="dxa"/>
            <w:vAlign w:val="bottom"/>
            <w:gridSpan w:val="6"/>
          </w:tcPr>
          <w:p>
            <w:pPr>
              <w:jc w:val="center"/>
              <w:ind w:right="2460"/>
              <w:spacing w:after="0"/>
              <w:rPr>
                <w:sz w:val="20"/>
                <w:szCs w:val="20"/>
                <w:color w:val="auto"/>
              </w:rPr>
            </w:pPr>
            <w:r>
              <w:rPr>
                <w:rFonts w:ascii="Times New Roman" w:cs="Times New Roman" w:eastAsia="Times New Roman" w:hAnsi="Times New Roman"/>
                <w:sz w:val="10"/>
                <w:szCs w:val="10"/>
                <w:i w:val="1"/>
                <w:iCs w:val="1"/>
                <w:color w:val="auto"/>
                <w:w w:val="99"/>
              </w:rPr>
              <w:t>(Exact name of registrant as specified in its charter)</w:t>
            </w:r>
          </w:p>
        </w:tc>
      </w:tr>
      <w:tr>
        <w:trPr>
          <w:trHeight w:val="176"/>
        </w:trPr>
        <w:tc>
          <w:tcPr>
            <w:tcW w:w="680" w:type="dxa"/>
            <w:vAlign w:val="bottom"/>
          </w:tcPr>
          <w:p>
            <w:pPr>
              <w:spacing w:after="0"/>
              <w:rPr>
                <w:sz w:val="15"/>
                <w:szCs w:val="15"/>
                <w:color w:val="auto"/>
              </w:rPr>
            </w:pPr>
          </w:p>
        </w:tc>
        <w:tc>
          <w:tcPr>
            <w:tcW w:w="19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20" w:type="dxa"/>
            <w:vAlign w:val="bottom"/>
            <w:gridSpan w:val="2"/>
          </w:tcPr>
          <w:p>
            <w:pPr>
              <w:jc w:val="center"/>
              <w:ind w:left="2060"/>
              <w:spacing w:after="0"/>
              <w:rPr>
                <w:sz w:val="20"/>
                <w:szCs w:val="20"/>
                <w:color w:val="auto"/>
              </w:rPr>
            </w:pPr>
            <w:r>
              <w:rPr>
                <w:rFonts w:ascii="Times New Roman" w:cs="Times New Roman" w:eastAsia="Times New Roman" w:hAnsi="Times New Roman"/>
                <w:sz w:val="12"/>
                <w:szCs w:val="12"/>
                <w:b w:val="1"/>
                <w:bCs w:val="1"/>
                <w:color w:val="auto"/>
                <w:w w:val="99"/>
              </w:rPr>
              <w:t>45-0491516</w:t>
            </w:r>
          </w:p>
        </w:tc>
        <w:tc>
          <w:tcPr>
            <w:tcW w:w="20" w:type="dxa"/>
            <w:vAlign w:val="bottom"/>
          </w:tcPr>
          <w:p>
            <w:pPr>
              <w:spacing w:after="0"/>
              <w:rPr>
                <w:sz w:val="15"/>
                <w:szCs w:val="15"/>
                <w:color w:val="auto"/>
              </w:rPr>
            </w:pPr>
          </w:p>
        </w:tc>
      </w:tr>
      <w:tr>
        <w:trPr>
          <w:trHeight w:val="159"/>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i w:val="1"/>
                <w:iCs w:val="1"/>
                <w:color w:val="auto"/>
                <w:w w:val="99"/>
              </w:rPr>
              <w:t>(State or other jurisdiction of</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(I.R.S. Employer</w:t>
            </w:r>
          </w:p>
        </w:tc>
      </w:tr>
      <w:tr>
        <w:trPr>
          <w:trHeight w:val="159"/>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i w:val="1"/>
                <w:iCs w:val="1"/>
                <w:color w:val="auto"/>
                <w:w w:val="99"/>
              </w:rPr>
              <w:t>incorporation or organization)</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Identification No.)</w:t>
            </w:r>
          </w:p>
        </w:tc>
      </w:tr>
      <w:tr>
        <w:trPr>
          <w:trHeight w:val="159"/>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5501 Headquarters Drive, Plano, Texas</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20" w:type="dxa"/>
            <w:vAlign w:val="bottom"/>
            <w:gridSpan w:val="2"/>
          </w:tcPr>
          <w:p>
            <w:pPr>
              <w:jc w:val="right"/>
              <w:ind w:right="623"/>
              <w:spacing w:after="0"/>
              <w:rPr>
                <w:sz w:val="20"/>
                <w:szCs w:val="20"/>
                <w:color w:val="auto"/>
              </w:rPr>
            </w:pPr>
            <w:r>
              <w:rPr>
                <w:rFonts w:ascii="Times New Roman" w:cs="Times New Roman" w:eastAsia="Times New Roman" w:hAnsi="Times New Roman"/>
                <w:sz w:val="12"/>
                <w:szCs w:val="12"/>
                <w:b w:val="1"/>
                <w:bCs w:val="1"/>
                <w:color w:val="auto"/>
              </w:rPr>
              <w:t>75024</w:t>
            </w:r>
          </w:p>
        </w:tc>
        <w:tc>
          <w:tcPr>
            <w:tcW w:w="20" w:type="dxa"/>
            <w:vAlign w:val="bottom"/>
          </w:tcPr>
          <w:p>
            <w:pPr>
              <w:spacing w:after="0"/>
              <w:rPr>
                <w:sz w:val="13"/>
                <w:szCs w:val="13"/>
                <w:color w:val="auto"/>
              </w:rPr>
            </w:pPr>
          </w:p>
        </w:tc>
      </w:tr>
      <w:tr>
        <w:trPr>
          <w:trHeight w:val="159"/>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i w:val="1"/>
                <w:iCs w:val="1"/>
                <w:color w:val="auto"/>
                <w:w w:val="99"/>
              </w:rPr>
              <w:t>(Address of principal executive offices)</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(Zip Code)</w:t>
            </w:r>
          </w:p>
        </w:tc>
      </w:tr>
      <w:tr>
        <w:trPr>
          <w:trHeight w:val="159"/>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60" w:type="dxa"/>
            <w:vAlign w:val="bottom"/>
            <w:gridSpan w:val="2"/>
          </w:tcPr>
          <w:p>
            <w:pPr>
              <w:jc w:val="center"/>
              <w:ind w:left="1508"/>
              <w:spacing w:after="0"/>
              <w:rPr>
                <w:sz w:val="20"/>
                <w:szCs w:val="20"/>
                <w:color w:val="auto"/>
              </w:rPr>
            </w:pPr>
            <w:r>
              <w:rPr>
                <w:rFonts w:ascii="Times New Roman" w:cs="Times New Roman" w:eastAsia="Times New Roman" w:hAnsi="Times New Roman"/>
                <w:sz w:val="12"/>
                <w:szCs w:val="12"/>
                <w:b w:val="1"/>
                <w:bCs w:val="1"/>
                <w:color w:val="auto"/>
                <w:w w:val="99"/>
              </w:rPr>
              <w:t>972-801-1100</w:t>
            </w: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300" w:type="dxa"/>
            <w:vAlign w:val="bottom"/>
            <w:gridSpan w:val="6"/>
          </w:tcPr>
          <w:p>
            <w:pPr>
              <w:jc w:val="center"/>
              <w:ind w:right="244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r>
      <w:tr>
        <w:trPr>
          <w:trHeight w:val="223"/>
        </w:trPr>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300" w:type="dxa"/>
            <w:vAlign w:val="bottom"/>
            <w:gridSpan w:val="6"/>
          </w:tcPr>
          <w:p>
            <w:pPr>
              <w:jc w:val="center"/>
              <w:ind w:right="2460"/>
              <w:spacing w:after="0"/>
              <w:rPr>
                <w:sz w:val="20"/>
                <w:szCs w:val="20"/>
                <w:color w:val="auto"/>
              </w:rPr>
            </w:pPr>
            <w:r>
              <w:rPr>
                <w:rFonts w:ascii="Times New Roman" w:cs="Times New Roman" w:eastAsia="Times New Roman" w:hAnsi="Times New Roman"/>
                <w:sz w:val="12"/>
                <w:szCs w:val="12"/>
                <w:color w:val="auto"/>
                <w:w w:val="99"/>
              </w:rPr>
              <w:t>Securities registered pursuant to Section 12(b) of the Act:</w:t>
            </w:r>
          </w:p>
        </w:tc>
      </w:tr>
      <w:tr>
        <w:trPr>
          <w:trHeight w:val="123"/>
        </w:trPr>
        <w:tc>
          <w:tcPr>
            <w:tcW w:w="6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Title of Each Class</w:t>
            </w:r>
          </w:p>
        </w:tc>
        <w:tc>
          <w:tcPr>
            <w:tcW w:w="1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Trading Symbol</w:t>
            </w:r>
          </w:p>
        </w:tc>
        <w:tc>
          <w:tcPr>
            <w:tcW w:w="2120" w:type="dxa"/>
            <w:vAlign w:val="bottom"/>
          </w:tcPr>
          <w:p>
            <w:pPr>
              <w:spacing w:after="0"/>
              <w:rPr>
                <w:sz w:val="10"/>
                <w:szCs w:val="10"/>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8"/>
              </w:rPr>
              <w:t>Name of Exchange on Which Registered</w:t>
            </w:r>
          </w:p>
        </w:tc>
      </w:tr>
      <w:tr>
        <w:trPr>
          <w:trHeight w:val="20"/>
        </w:trPr>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15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UPBD</w:t>
            </w:r>
          </w:p>
        </w:tc>
        <w:tc>
          <w:tcPr>
            <w:tcW w:w="3840" w:type="dxa"/>
            <w:vAlign w:val="bottom"/>
            <w:gridSpan w:val="3"/>
          </w:tcPr>
          <w:p>
            <w:pPr>
              <w:jc w:val="center"/>
              <w:ind w:left="2040"/>
              <w:spacing w:after="0"/>
              <w:rPr>
                <w:sz w:val="20"/>
                <w:szCs w:val="20"/>
                <w:color w:val="auto"/>
              </w:rPr>
            </w:pPr>
            <w:r>
              <w:rPr>
                <w:rFonts w:ascii="Times New Roman" w:cs="Times New Roman" w:eastAsia="Times New Roman" w:hAnsi="Times New Roman"/>
                <w:sz w:val="12"/>
                <w:szCs w:val="12"/>
                <w:b w:val="1"/>
                <w:bCs w:val="1"/>
                <w:color w:val="auto"/>
                <w:w w:val="99"/>
              </w:rPr>
              <w:t>The Nasdaq Global Select Market</w:t>
            </w:r>
          </w:p>
        </w:tc>
      </w:tr>
    </w:tbl>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 xml:space="preserve">Securities registered pursuant to Section 12(g) of the Act: </w:t>
      </w:r>
      <w:r>
        <w:rPr>
          <w:rFonts w:ascii="Times New Roman" w:cs="Times New Roman" w:eastAsia="Times New Roman" w:hAnsi="Times New Roman"/>
          <w:sz w:val="10"/>
          <w:szCs w:val="10"/>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44450</wp:posOffset>
            </wp:positionV>
            <wp:extent cx="17449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4980" cy="6985"/>
                    </a:xfrm>
                    <a:prstGeom prst="rect">
                      <a:avLst/>
                    </a:prstGeom>
                    <a:noFill/>
                  </pic:spPr>
                </pic:pic>
              </a:graphicData>
            </a:graphic>
          </wp:anchor>
        </w:drawing>
      </w:r>
    </w:p>
    <w:p>
      <w:pPr>
        <w:spacing w:after="0" w:line="180" w:lineRule="exact"/>
        <w:rPr>
          <w:sz w:val="24"/>
          <w:szCs w:val="24"/>
          <w:color w:val="auto"/>
        </w:rPr>
      </w:pPr>
    </w:p>
    <w:p>
      <w:pPr>
        <w:spacing w:after="0" w:line="138" w:lineRule="exact"/>
        <w:tabs>
          <w:tab w:leader="none" w:pos="6120" w:val="left"/>
        </w:tabs>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95" w:lineRule="exact"/>
        <w:rPr>
          <w:sz w:val="24"/>
          <w:szCs w:val="24"/>
          <w:color w:val="auto"/>
        </w:rPr>
      </w:pPr>
    </w:p>
    <w:p>
      <w:pPr>
        <w:spacing w:after="0" w:line="138" w:lineRule="exact"/>
        <w:tabs>
          <w:tab w:leader="none" w:pos="6700" w:val="left"/>
        </w:tabs>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32" w:lineRule="exact"/>
        <w:rPr>
          <w:sz w:val="24"/>
          <w:szCs w:val="24"/>
          <w:color w:val="auto"/>
        </w:rPr>
      </w:pPr>
    </w:p>
    <w:p>
      <w:pPr>
        <w:spacing w:after="0" w:line="16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spacing w:after="0" w:line="16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p>
      <w:pPr>
        <w:spacing w:after="0" w:line="138" w:lineRule="exact"/>
        <w:tabs>
          <w:tab w:leader="none" w:pos="1360" w:val="left"/>
          <w:tab w:leader="none" w:pos="2460" w:val="left"/>
        </w:tabs>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49" w:lineRule="exact"/>
        <w:rPr>
          <w:sz w:val="24"/>
          <w:szCs w:val="24"/>
          <w:color w:val="auto"/>
        </w:rPr>
      </w:pPr>
    </w:p>
    <w:p>
      <w:pPr>
        <w:spacing w:after="0" w:line="138" w:lineRule="exact"/>
        <w:tabs>
          <w:tab w:leader="none" w:pos="1560" w:val="left"/>
        </w:tabs>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94"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57" w:lineRule="exact"/>
        <w:rPr>
          <w:sz w:val="24"/>
          <w:szCs w:val="24"/>
          <w:color w:val="auto"/>
        </w:rPr>
      </w:pPr>
    </w:p>
    <w:p>
      <w:pPr>
        <w:ind w:right="4160"/>
        <w:spacing w:after="0" w:line="15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58" w:lineRule="exact"/>
        <w:rPr>
          <w:sz w:val="24"/>
          <w:szCs w:val="24"/>
          <w:color w:val="auto"/>
        </w:rPr>
      </w:pPr>
    </w:p>
    <w:p>
      <w:pPr>
        <w:ind w:right="680"/>
        <w:spacing w:after="0" w:line="16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57" w:lineRule="exact"/>
        <w:rPr>
          <w:sz w:val="24"/>
          <w:szCs w:val="24"/>
          <w:color w:val="auto"/>
        </w:rPr>
      </w:pPr>
    </w:p>
    <w:p>
      <w:pPr>
        <w:ind w:right="80"/>
        <w:spacing w:after="0" w:line="168" w:lineRule="exact"/>
        <w:rPr>
          <w:sz w:val="20"/>
          <w:szCs w:val="20"/>
          <w:color w:val="auto"/>
        </w:rPr>
      </w:pPr>
      <w:r>
        <w:rPr>
          <w:rFonts w:ascii="Times New Roman" w:cs="Times New Roman" w:eastAsia="Times New Roman" w:hAnsi="Times New Roman"/>
          <w:sz w:val="12"/>
          <w:szCs w:val="12"/>
          <w:color w:val="auto"/>
        </w:rPr>
        <w:t xml:space="preserve">Indicate by check mark whether any of these error corrections are restatements that require a recovery analysis of incentive-based compensation received by any of the registrant's executive officers during the relevant recovery period pursuant to §240 10D-1(b). </w:t>
      </w:r>
      <w:r>
        <w:rPr>
          <w:rFonts w:ascii="MS PGothic" w:cs="MS PGothic" w:eastAsia="MS PGothic" w:hAnsi="MS PGothic"/>
          <w:sz w:val="12"/>
          <w:szCs w:val="12"/>
          <w:color w:val="auto"/>
        </w:rPr>
        <w:t>☐</w:t>
      </w:r>
    </w:p>
    <w:p>
      <w:pPr>
        <w:spacing w:after="0" w:line="20" w:lineRule="exact"/>
        <w:rPr>
          <w:sz w:val="24"/>
          <w:szCs w:val="24"/>
          <w:color w:val="auto"/>
        </w:rPr>
      </w:pPr>
    </w:p>
    <w:p>
      <w:pPr>
        <w:spacing w:after="0" w:line="138" w:lineRule="exact"/>
        <w:tabs>
          <w:tab w:leader="none" w:pos="592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9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Aggregate market value of the 53,741,143 shares of Common Stock held by non-affiliates of the registrant at the closing sales price as reported on The Nasdaq Global Select Market, on June 30, 2024</w:t>
            </w:r>
          </w:p>
        </w:tc>
        <w:tc>
          <w:tcPr>
            <w:tcW w:w="54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1,649,853,144</w:t>
            </w:r>
          </w:p>
        </w:tc>
      </w:tr>
      <w:tr>
        <w:trPr>
          <w:trHeight w:val="156"/>
        </w:trPr>
        <w:tc>
          <w:tcPr>
            <w:tcW w:w="9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 of shares of Common Stock outstanding as of the close of business on February 18, 2025:</w:t>
            </w:r>
          </w:p>
        </w:tc>
        <w:tc>
          <w:tcPr>
            <w:tcW w:w="5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57,423,571</w:t>
            </w: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Portions of the definitive proxy statement relating to the 2025 Annual Meeting of Stockholders of Upbound Group, Inc.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619760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89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40" w:type="dxa"/>
            <w:vAlign w:val="bottom"/>
          </w:tcPr>
          <w:p>
            <w:pPr>
              <w:spacing w:after="0"/>
              <w:rPr>
                <w:sz w:val="16"/>
                <w:szCs w:val="16"/>
                <w:color w:val="auto"/>
              </w:rPr>
            </w:pPr>
          </w:p>
        </w:tc>
      </w:tr>
      <w:tr>
        <w:trPr>
          <w:trHeight w:val="171"/>
        </w:trPr>
        <w:tc>
          <w:tcPr>
            <w:tcW w:w="10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6"/>
        </w:trPr>
        <w:tc>
          <w:tcPr>
            <w:tcW w:w="1080" w:type="dxa"/>
            <w:vAlign w:val="bottom"/>
          </w:tcPr>
          <w:p>
            <w:pPr>
              <w:spacing w:after="0"/>
              <w:rPr>
                <w:sz w:val="14"/>
                <w:szCs w:val="14"/>
                <w:color w:val="auto"/>
              </w:rPr>
            </w:pPr>
          </w:p>
        </w:tc>
        <w:tc>
          <w:tcPr>
            <w:tcW w:w="89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1240" w:type="dxa"/>
            <w:vAlign w:val="bottom"/>
          </w:tcPr>
          <w:p>
            <w:pPr>
              <w:spacing w:after="0"/>
              <w:rPr>
                <w:sz w:val="14"/>
                <w:szCs w:val="14"/>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4</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12</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1B.</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38</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1C.</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Cybersecurity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38</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39</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Legal Proceedings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39</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Mine Safety Disclosures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39</w:t>
            </w:r>
          </w:p>
        </w:tc>
      </w:tr>
      <w:tr>
        <w:trPr>
          <w:trHeight w:val="389"/>
        </w:trPr>
        <w:tc>
          <w:tcPr>
            <w:tcW w:w="1080" w:type="dxa"/>
            <w:vAlign w:val="bottom"/>
          </w:tcPr>
          <w:p>
            <w:pPr>
              <w:spacing w:after="0"/>
              <w:rPr>
                <w:sz w:val="24"/>
                <w:szCs w:val="24"/>
                <w:color w:val="auto"/>
              </w:rPr>
            </w:pPr>
          </w:p>
        </w:tc>
        <w:tc>
          <w:tcPr>
            <w:tcW w:w="89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1240" w:type="dxa"/>
            <w:vAlign w:val="bottom"/>
          </w:tcPr>
          <w:p>
            <w:pPr>
              <w:spacing w:after="0"/>
              <w:rPr>
                <w:sz w:val="24"/>
                <w:szCs w:val="24"/>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40</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Reserved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40</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7.</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41</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7A.</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53</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8.</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54</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9.</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93</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9A.</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93</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9B.</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94</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9C.</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94</w:t>
            </w:r>
          </w:p>
        </w:tc>
      </w:tr>
      <w:tr>
        <w:trPr>
          <w:trHeight w:val="389"/>
        </w:trPr>
        <w:tc>
          <w:tcPr>
            <w:tcW w:w="1080" w:type="dxa"/>
            <w:vAlign w:val="bottom"/>
          </w:tcPr>
          <w:p>
            <w:pPr>
              <w:spacing w:after="0"/>
              <w:rPr>
                <w:sz w:val="24"/>
                <w:szCs w:val="24"/>
                <w:color w:val="auto"/>
              </w:rPr>
            </w:pPr>
          </w:p>
        </w:tc>
        <w:tc>
          <w:tcPr>
            <w:tcW w:w="89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1240" w:type="dxa"/>
            <w:vAlign w:val="bottom"/>
          </w:tcPr>
          <w:p>
            <w:pPr>
              <w:spacing w:after="0"/>
              <w:rPr>
                <w:sz w:val="24"/>
                <w:szCs w:val="24"/>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10.</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94</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11.</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Executive 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94</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12.</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94</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13.</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94</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14.</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94</w:t>
            </w:r>
          </w:p>
        </w:tc>
      </w:tr>
      <w:tr>
        <w:trPr>
          <w:trHeight w:val="389"/>
        </w:trPr>
        <w:tc>
          <w:tcPr>
            <w:tcW w:w="1080" w:type="dxa"/>
            <w:vAlign w:val="bottom"/>
          </w:tcPr>
          <w:p>
            <w:pPr>
              <w:spacing w:after="0"/>
              <w:rPr>
                <w:sz w:val="24"/>
                <w:szCs w:val="24"/>
                <w:color w:val="auto"/>
              </w:rPr>
            </w:pPr>
          </w:p>
        </w:tc>
        <w:tc>
          <w:tcPr>
            <w:tcW w:w="894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1240" w:type="dxa"/>
            <w:vAlign w:val="bottom"/>
          </w:tcPr>
          <w:p>
            <w:pPr>
              <w:spacing w:after="0"/>
              <w:rPr>
                <w:sz w:val="24"/>
                <w:szCs w:val="24"/>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15.</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95</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16.</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99</w:t>
            </w:r>
          </w:p>
        </w:tc>
      </w:tr>
      <w:tr>
        <w:trPr>
          <w:trHeight w:val="393"/>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89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6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This Annual Report on Form 10-K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(which includes Bridge IT, Inc. (“Brigit”) following the closing of our acquisition of Brigit (the “Merger”) on January 31, 2025), our segments, our growth strategies, our expectations, plans and strategy relating to our capital structure and capital allocation, including any share repurchases under our share repurchase program, the potential impact of the matters discussed in Note M, and other statements that are not historical facts. Unless expressly indicated or the context requires otherwise, the terms “Upbound Group, Inc.,” “Company,” “we,” “us,” and “our” in this document refer to Upbound Group, Inc. and, where appropriate, its subsidiaries.</w:t>
      </w:r>
    </w:p>
    <w:p>
      <w:pPr>
        <w:spacing w:after="0" w:line="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Annual Report on Form 10-K.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below. 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235" w:lineRule="exact"/>
        <w:rPr>
          <w:sz w:val="20"/>
          <w:szCs w:val="20"/>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costs, difficulties or disruptions related to the integration of Brigit operations into our other operations will be greater than expected;</w:t>
      </w:r>
    </w:p>
    <w:p>
      <w:pPr>
        <w:spacing w:after="0" w:line="51" w:lineRule="exact"/>
        <w:rPr>
          <w:rFonts w:ascii="Times New Roman" w:cs="Times New Roman" w:eastAsia="Times New Roman" w:hAnsi="Times New Roman"/>
          <w:sz w:val="14"/>
          <w:szCs w:val="14"/>
          <w:color w:val="auto"/>
        </w:rPr>
      </w:pPr>
    </w:p>
    <w:p>
      <w:pPr>
        <w:ind w:left="620" w:hanging="233"/>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anticipated benefits from the Brigit acquisition may not be fully realized or may take longer to realize than expected;</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64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w:t>
      </w:r>
    </w:p>
    <w:p>
      <w:pPr>
        <w:ind w:left="520" w:hanging="133"/>
        <w:spacing w:after="0" w:line="284" w:lineRule="auto"/>
        <w:tabs>
          <w:tab w:leader="none" w:pos="68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future cash requirements as a result of the Brigit acquisition, whether caused by unanticipated increases in capital expenditures or working capital needs, unanticipated liabilities or otherwise;</w:t>
      </w:r>
    </w:p>
    <w:p>
      <w:pPr>
        <w:ind w:left="620" w:hanging="233"/>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talent and dedication of key employees of Brigit;</w:t>
      </w:r>
    </w:p>
    <w:p>
      <w:pPr>
        <w:spacing w:after="0" w:line="51" w:lineRule="exact"/>
        <w:rPr>
          <w:rFonts w:ascii="Times New Roman" w:cs="Times New Roman" w:eastAsia="Times New Roman" w:hAnsi="Times New Roman"/>
          <w:sz w:val="14"/>
          <w:szCs w:val="14"/>
          <w:color w:val="auto"/>
        </w:rPr>
      </w:pPr>
    </w:p>
    <w:p>
      <w:pPr>
        <w:jc w:val="both"/>
        <w:ind w:left="520" w:hanging="133"/>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strength of the economy and other economic conditions affecting consumer preferences, spending and payment behaviors, including the availability of credit to our target consumers and to other consumers, impacts from continued or renewed inflation, central bank monetary policy initiatives to address inflation concerns, and a possible recession or slowdown in economic growth;</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affecting the disposable income available to our current and potential customers;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unemployment rate;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market conditions, including changes in interest rates and availability of funding sources for us;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credit ratings;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encountered in managing the financial and operational performance of our multiple business segments;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pricing, value proposition and other changes to our consumer offerings and strategies being deployed in our businesses;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execute our strategic initiatives, including mitigating risks associated with any potential additional mergers and acquisitions, or lease-to-own refranchising opportunities;</w:t>
      </w: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potential acquisition candidates, complete acquisitions and successfully integrate acquired companies, including Brigit;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3" w:name="page4"/>
    <w:bookmarkEnd w:id="3"/>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effectively manage our operating labor and non-labor operating expenses, including merchandise losses for our lease-to-own offerings;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caused by the operation of our information management systems or disruptions in the systems of our host retailers or other third parties with whom we do business;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virtual lease-to-own business, including our ability to continue to develop and successfully implement the necessary technologies;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the benefits expected from our integrated virtual and staffed third-party retailer offering and to successfully grow this business segment;</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potential operating margin degradation due to the higher cost of merchandise and higher merchandise losses in our Acima segment compared to our Rent-A-Center segment;</w:t>
      </w:r>
    </w:p>
    <w:p>
      <w:pPr>
        <w:spacing w:after="0" w:line="51" w:lineRule="exact"/>
        <w:rPr>
          <w:rFonts w:ascii="Times New Roman" w:cs="Times New Roman" w:eastAsia="Times New Roman" w:hAnsi="Times New Roman"/>
          <w:sz w:val="14"/>
          <w:szCs w:val="14"/>
          <w:color w:val="auto"/>
        </w:rPr>
      </w:pPr>
    </w:p>
    <w:p>
      <w:pPr>
        <w:jc w:val="both"/>
        <w:ind w:left="140" w:hanging="133"/>
        <w:spacing w:after="0" w:line="270"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risks associated with our recently acquired Brigit business and its consumer products and services, including managing losses and payment defaults, regulatory, licensing and other compliance risks, risks associated with Brigit’s reliance on regulated banks and on providers of third party data, technology and other third-party service providers; and other new risks for our company;</w:t>
      </w:r>
    </w:p>
    <w:p>
      <w:pPr>
        <w:spacing w:after="0" w:line="8"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administrative proceedings to which we are or may be a party to from time to time and changes in estimates relating to litigation reserves, including in each case in connection with the regulatory and litigation matters described in Note M to our consolidated financial statements included in this Annual Report on Form 10-K;</w:t>
      </w:r>
    </w:p>
    <w:p>
      <w:pPr>
        <w:jc w:val="both"/>
        <w:ind w:left="140" w:hanging="133"/>
        <w:spacing w:after="0" w:line="26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compliance with applicable statutes and regulations governing our businesses, impacts from the enforcement of existing laws and regulations and the enactment of new laws and regulations adversely affecting our business, including in connection with the regulatory matters described in Note M to our consolidated financial statements included in this Annual Report on Form 10-K, and any legislative or other regulatory enforcement efforts that seek to re-characterize store-based or virtual lease-to-own transactions as credit sales and to apply consumer credit laws and regulations to our lease-to-own business or to apply credit laws to Brigit’s consumer offerings;</w:t>
      </w:r>
    </w:p>
    <w:p>
      <w:pPr>
        <w:spacing w:after="0" w:line="13"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transition to more-readily scalable “cloud-based” solutions;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successfully implement digital or e-commerce capabilities, including mobile applications;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proprietary intellectual property;</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that of our host retailers or other third parties with whom we do business to protect the integrity and security of customer, employee, supplier and host retailer or other third party information, which may be adversely affected by hacking, computer viruses, or similar disruptions;</w:t>
      </w: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our goodwill or other intangible assets;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supply chain;</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of, or disruptions in, our distribution network;</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inflation or deflation in the prices of our lease-to-own products and other related costs;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allegations of product safety and quality control issues, including recalls of goods we lease to customers;</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as well as the effectiveness of, lease-to-own store consolidations, including our ability to retain the revenue from customer accounts merged into another store location as a result of a store consolidation;</w:t>
      </w: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available cash flow and our ability to generate sufficient cash flow to continue paying dividends;</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from traditional competitors, virtual lease-to-own competitors, online retailers, Buy-Now-Pay-Later, earned wage access and financial health technology competitors and other fintech companies and other competitors, including subprime lenders;</w:t>
      </w: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successfully market products and services that appeal to our current and future targeted customer segments and to accurately estimate the size of the total addressable market;</w:t>
      </w: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preferences and perceptions of our brands;</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provide consumers with additional products and services beyond lease-to-own and products and services currently offered by Brigit, including through third-party partnerships;</w:t>
      </w: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revenue associated with acquired lease-to-own customer accounts and enhance the performance of acquired stores;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new rental or lease purchase agreements and collect on our existing rental or lease purchase agreements;</w:t>
      </w:r>
    </w:p>
    <w:p>
      <w:pPr>
        <w:spacing w:after="0" w:line="200" w:lineRule="exact"/>
        <w:rPr>
          <w:sz w:val="20"/>
          <w:szCs w:val="20"/>
          <w:color w:val="auto"/>
        </w:rPr>
      </w:pPr>
    </w:p>
    <w:p>
      <w:pPr>
        <w:spacing w:after="0" w:line="3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1186" w:right="319" w:bottom="1440" w:gutter="0" w:footer="0" w:header="0"/>
        </w:sectPr>
      </w:pPr>
    </w:p>
    <w:bookmarkStart w:id="4" w:name="page5"/>
    <w:bookmarkEnd w:id="4"/>
    <w:p>
      <w:pPr>
        <w:ind w:left="140" w:hanging="133"/>
        <w:spacing w:after="0" w:line="284" w:lineRule="auto"/>
        <w:tabs>
          <w:tab w:leader="none" w:pos="1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tariff policies, including any impacts from tariffs imposed by the current Presidential Administration on the price of imported goods, or consumer prices overall or other financial impacts of such tariffs or any retaliatory tariffs enacted by U.S. trading partners on our costs or target consumers;</w:t>
      </w: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the economic conditions of the industries, countries or markets that we serve;</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and data security costs;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breaches in data security or other disturbances to our information technology and other networks;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relating to self-insurance liabilities and income tax reserves;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effective tax rate;</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controls; and</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risks detailed from time to time in our reports furnished or filed with the United States Securities and Exchange Commission (the “SEC”).</w:t>
      </w:r>
    </w:p>
    <w:p>
      <w:pPr>
        <w:spacing w:after="0" w:line="200" w:lineRule="exact"/>
        <w:rPr>
          <w:sz w:val="20"/>
          <w:szCs w:val="20"/>
          <w:color w:val="auto"/>
        </w:rPr>
      </w:pPr>
    </w:p>
    <w:p>
      <w:pPr>
        <w:spacing w:after="0" w:line="3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1186"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Upbound Group, Inc.</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Unless the context indicates otherwise, references to “we,” “us”, “our”, and the “Company” refer to the consolidated business operations of Upbound Group, Inc., the parent, and any or all of its direct and indirect subsidiaries. For any references in this document to Note A through Note U, refer to the Notes to Consolidated Financial Statements in Item 8 included in this Annual Report on Form 10-K.</w:t>
      </w:r>
    </w:p>
    <w:p>
      <w:pPr>
        <w:spacing w:after="0" w:line="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are a technology and data-driven leader in accessible and inclusive financial solutions that address the evolving needs and aspirations of underserved consumers. Through our Acima and Rent-A-Center segments, 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w:t>
      </w:r>
    </w:p>
    <w:p>
      <w:pPr>
        <w:spacing w:after="0" w:line="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January 31, 2025, we completed the acquisition of Brigit, a holistic financial health technology company that has helped millions of Americans budget better, access their earned wages before their regularly scheduled payday, build their credit through savings, protect themselves from identity theft, and find ways to earn and save money. Its mission is to help everyday Americans build a better financial future. See Note B in our consolidated financial statements included in this Annual Report on Form 10-K for additional information.</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We were incorporated in the State of Delaware in 1986, and our common stock is traded on The Nasdaq Global Select Market under the ticker symbol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UPBD.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principal executive offices are located at 5501 Headquarters Drive, Plano, Texas 75024. Our telephone number is (972) 801-1100 and our company website is www.upbound.com. Information contained on our website is not incorporated by reference into this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Lease Purchase Transaction</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lease purchase transaction is a flexible alternative that provides freedom for consumers who wish to obtain use and enjoyment of brand name merchandise with no long-term obligation and without having to pay the full price up front. Our customer has the right, but is not obligated, to acquire title to the merchandise either through an early purchase option or through payment of all lease renewals that would be required to obtain ownership.</w:t>
      </w:r>
    </w:p>
    <w:p>
      <w:pPr>
        <w:spacing w:after="0" w:line="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unit economics of the lease purchase transaction vary depending on the length of time customers take to obtain ownership of the product or whether the customer chooses to return the product without obtaining ownership. If a customer elects an early purchase option within a designated period of time following the initial lease, such as 90 or 120 days, a customer generally pays the retail price of the product plus a premium to the cost. Other lease-to-own transactions involve the customer leasing our merchandise through all lease renewal terms required to obtain ownership of the merchandise at the conclusion of the final lease renewal term. A customer may also elect to obtain ownership any time after the initial lease period, but prior to the completion of all lease renewals otherwise required to obtain ownership. Due to the longer lease period as a result of completing all lease renewals, along with the other benefits that are part of the lease-to-own transaction, obtaining ownership through payment of all lease renewals involves a higher total cost compared to the cost of the general retail price of the product if it was purchased upfront. Customers primarily take ownership of the merchandise through early purchase options, where the customer elects to make a lump-sum payment at a discounted purchase price prior to the final lease renewal. In the Rent-A-Center segment, the product is often rented more than one time before a customer ultimately obtains ownership.</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are differences in the unit economics between our Rent-A-Center and Acima segments, as we generally purchase our merchandise at wholesale prices for our Rent-A-Center segment and at retail prices for our Acima segment. Historically, operating margin for our Acima segment has benefited from the lower overhead cost associated with the virtual options employed at many third-party locations.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features of the lease purchase transaction include:</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No long term obligation. </w:t>
      </w:r>
      <w:r>
        <w:rPr>
          <w:rFonts w:ascii="Times New Roman" w:cs="Times New Roman" w:eastAsia="Times New Roman" w:hAnsi="Times New Roman"/>
          <w:sz w:val="14"/>
          <w:szCs w:val="14"/>
          <w:color w:val="auto"/>
        </w:rPr>
        <w:t>A customer may terminate a lease purchase agreement at any time without penalty. Such customers have no obligation for remaining payments other than any outstanding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balances to the date of return.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6" w:name="page7"/>
    <w:bookmarkEnd w:id="6"/>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Convenient payment options. </w:t>
      </w:r>
      <w:r>
        <w:rPr>
          <w:rFonts w:ascii="Times New Roman" w:cs="Times New Roman" w:eastAsia="Times New Roman" w:hAnsi="Times New Roman"/>
          <w:sz w:val="14"/>
          <w:szCs w:val="14"/>
          <w:color w:val="auto"/>
        </w:rPr>
        <w:t>Our customers make payments on a weekly, bi-weekly, semi-monthly or monthly basis in our stores, at our third-party retailer locations, online or by telephone.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accept cash, credit or debit cards and payment via certain electronic platforms (such as PayPal and Venmo).</w:t>
      </w:r>
    </w:p>
    <w:p>
      <w:pPr>
        <w:spacing w:after="0" w:line="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Flexible options to obtain ownership. </w:t>
      </w:r>
      <w:r>
        <w:rPr>
          <w:rFonts w:ascii="Times New Roman" w:cs="Times New Roman" w:eastAsia="Times New Roman" w:hAnsi="Times New Roman"/>
          <w:sz w:val="14"/>
          <w:szCs w:val="14"/>
          <w:color w:val="auto"/>
        </w:rPr>
        <w:t>Ownership of the merchandise generally transfers to the customer if the customer continuously renews the lease purchase agreement for a required period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between seven and 30 months, depending upon the product type, or exercises a specified early purchase option.</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Reinstatement</w:t>
      </w:r>
      <w:r>
        <w:rPr>
          <w:rFonts w:ascii="Times New Roman" w:cs="Times New Roman" w:eastAsia="Times New Roman" w:hAnsi="Times New Roman"/>
          <w:sz w:val="14"/>
          <w:szCs w:val="14"/>
          <w:color w:val="auto"/>
        </w:rPr>
        <w:t>. If a customer is temporarily unable to make payments on a piece of rental merchandise and returns the merchandise, that customer generally may later re-rent the same piece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merchandise (or, if unavailable, a substitute of comparable quality, age and condition) on the terms that existed at the time the merchandise was returned, and pick up payments where they left off without losing credit for what they previously paid.</w:t>
      </w:r>
    </w:p>
    <w:p>
      <w:pPr>
        <w:spacing w:after="0" w:line="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Approval with less than perfect credit. </w:t>
      </w:r>
      <w:r>
        <w:rPr>
          <w:rFonts w:ascii="Times New Roman" w:cs="Times New Roman" w:eastAsia="Times New Roman" w:hAnsi="Times New Roman"/>
          <w:sz w:val="14"/>
          <w:szCs w:val="14"/>
          <w:color w:val="auto"/>
        </w:rPr>
        <w:t>Generally, no established credit score or credit history is required. In the Rent-A-Center segment, we use a proprietary decision engine to verify customer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as part of our approval process for entering into a lease purchase agreement. In our Acima segment, which provides on-site or virtual lease-to-own options through third-party retailers and through Acima direct to consumer offerings, customers complete the application process through a variety of resources, including online digital waterfall technology, third-party retailer electronic portals, online e-commerce websites, and the Acima mobile application. A robust proprietary automated decision engine process is used to confirm certain customer information for approval of the lease purchase agreement.</w:t>
      </w:r>
    </w:p>
    <w:p>
      <w:pPr>
        <w:spacing w:after="0" w:line="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Brand name merchandise. </w:t>
      </w:r>
      <w:r>
        <w:rPr>
          <w:rFonts w:ascii="Times New Roman" w:cs="Times New Roman" w:eastAsia="Times New Roman" w:hAnsi="Times New Roman"/>
          <w:sz w:val="14"/>
          <w:szCs w:val="14"/>
          <w:color w:val="auto"/>
        </w:rPr>
        <w:t>In our store locations and through our third-party retailers, we offer merchandise from a large number of well-known brands such as Ashley home furnishings; LG,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Samsung, and Sony home electronics; LG, Samsung, General Electric, Whirlpool, Amana, and Maytag appliances; and HP, Acer, Asus, and Samsung computers and/or tablets.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Delivery and set-up. </w:t>
      </w:r>
      <w:r>
        <w:rPr>
          <w:rFonts w:ascii="Times New Roman" w:cs="Times New Roman" w:eastAsia="Times New Roman" w:hAnsi="Times New Roman"/>
          <w:sz w:val="14"/>
          <w:szCs w:val="14"/>
          <w:color w:val="auto"/>
        </w:rPr>
        <w:t>We generally offer same-day or next-day delivery and installation of our merchandise at no additional cost to the customer in our Rent-A-Center stores. Our Acima locations rely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our third-party retailers to deliver merchandise leased by the customer, or for the customer to carry-out leased merchandise. Our third-party retailers typically charge us a fee for delivery, which we pass on to the customer.</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Product maintenance and replacement. </w:t>
      </w:r>
      <w:r>
        <w:rPr>
          <w:rFonts w:ascii="Times New Roman" w:cs="Times New Roman" w:eastAsia="Times New Roman" w:hAnsi="Times New Roman"/>
          <w:sz w:val="14"/>
          <w:szCs w:val="14"/>
          <w:color w:val="auto"/>
        </w:rPr>
        <w:t>In our Rent-A-Center segment, and in the Acima segment where required by law, we provide any required service or repair without additional charge, except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event of damage in excess of normal wear and tear and certain other limited circumstances. The cost to repair the merchandise may be reimbursed by the vendor if the item is still under factory warranty. If the product cannot be repaired at the customer’s residence, we provide a temporary replacement while the product is being repaired. If the product cannot be repaired, we will replace it with a product of comparable quality, age and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strategy is focused on achieving our mission to elevate financial opportunity for all and growing our business through emphasis on the following key initiatives:</w:t>
      </w:r>
    </w:p>
    <w:p>
      <w:pPr>
        <w:spacing w:after="0" w:line="51" w:lineRule="exact"/>
        <w:rPr>
          <w:sz w:val="20"/>
          <w:szCs w:val="20"/>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data analytics capabilities to attract new customers, approve more customers and mitigate risk across business segments;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Upgrade and integrate technology platforms to allow for a more simplified and seamless consumer experience, third-party retailer and waterfall integration and consumer transaction process and coworker efficiency;</w:t>
      </w:r>
    </w:p>
    <w:p>
      <w:pPr>
        <w:ind w:left="520" w:hanging="133"/>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on market opportunities and enhance our competitive position across both traditional and virtual lease-to-own solutions, and implement complementary products and services that supplement our current offerings and provide our customers more financial alternatives;</w:t>
      </w: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centers of excellence that will be leveraged across the organization to support our various business segments, utilizing best practices to drive efficiency and growth;</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penetration with current Acima third-party retailers and build on our strength with small to medium size businesses while also adding new national and regional third-party retailers to our platform and expanding our direct-to-consumer channels; and</w:t>
      </w:r>
    </w:p>
    <w:p>
      <w:pPr>
        <w:ind w:left="520" w:hanging="133"/>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Rent-A-Center, accelerate the shift to e-commerce, improve the fully integrated omni-channel customer experience and expand product categories, which we expect will increase brand awareness and customer loyalty.</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Our Operating Segments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report financial operating performance under four operating segments. To better reflect our current strategic focus, our third-party retailer business operations are reported as the Acima segment, which includes our virtual and staffed business models; and our company-owned stores and e-commerce platform through rentacenter.com are reported as the Rent-A-Center segment. In addition, we report operating results for our Mexico and Franchising segments. Additional information regarding our operating segments is presented in </w:t>
      </w:r>
      <w:r>
        <w:rPr>
          <w:rFonts w:ascii="Times New Roman" w:cs="Times New Roman" w:eastAsia="Times New Roman" w:hAnsi="Times New Roman"/>
          <w:sz w:val="14"/>
          <w:szCs w:val="14"/>
          <w:i w:val="1"/>
          <w:iCs w:val="1"/>
          <w:color w:val="auto"/>
        </w:rPr>
        <w:t>“Management’s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Condition and Results of Operations” </w:t>
      </w:r>
      <w:r>
        <w:rPr>
          <w:rFonts w:ascii="Times New Roman" w:cs="Times New Roman" w:eastAsia="Times New Roman" w:hAnsi="Times New Roman"/>
          <w:sz w:val="14"/>
          <w:szCs w:val="14"/>
          <w:color w:val="auto"/>
        </w:rPr>
        <w:t>contained in Item 7 of this Annual Report on Form 10-K, and financial information regarding these segments and revenues by geographic area are provided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Note T to our consolidated financial statements contained in this Annual Report on Form 10-K. Substantially all of our revenues for the past three years originated in the United States.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Acima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Acima segment, which primarily operates in the United States and Puerto Rico, includes the operations of Acima Holdings, LLC (“Acima Holdings”), which we acquired in February 2021, and locations previously operating under our Acceptance Now brand, which completed the transition to the Acima platform in 2024. The Acima segment generally offers consumers who do not qualify for traditional financing the lease-to-own transaction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use a proprietary automated process to confirm certain customer information for approval of the lease purchase agreement, including certain information from consumer reporting agencies as part of our decisioning process that may constitute a "consumer report" under applicable law. We believe our lease-to-own solutions within the Acima segment are beneficial for both the retailer and the consumer. The retailer captures more sales and reduces their payment risk because we buy the merchandise directly from them. We believe consumers also benefit from our Acima model because they are able to obtain the products they want and need under flexible terms and without the necessity of relying on credit to finance a purchase or need to pay the full cost upfront. We generally pay the retail price for merchandise purchased from our third-party retailers and subsequently leased to the customer. Through certain third-party retailers, we offer our customers the option to obtain ownership of the product at or slightly above the full retail price if they pay within 90 days. In some cases, the retailer provides us a rebate on the cost of the merchandise if the customer exercises this 90-day option.</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Acima operating model is highly agile and dynamic given our virtual offerings and our ability to open and close staffed and unstaffed locations quickly and efficiently. Generally, our Acima staffed locations consist of an area with a tablet computer, desk and chairs. We occupy the space without charge by agreement with each retailer. In our virtual locations, transactions are initiated through an electronic portal accessible by third-party retailers on their store computers, on our third-party retailers' e-commerce sites or through our Acima direct to consumer offerings including the Acima mobile application. Accordingly, capital expenditures with respect to new Acima locations are minimal.</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Acima relies on our third-party retailers to deliver merchandise leased by the customer. Such third-party retailers typically charge us a fee for delivery, which we pass on to the customer. In the event the customer wishes to return rented merchandise and terminate their lease, we provide various return options. Most merchandise returned from an Acima lease-to-own transaction is subsequently donated or offered for lease at one of our Rent-A-Center stores. Our Acima segment comprised approximately 52% of our consolidated revenues for the year ended December 31,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Rent-A-Center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Rent-A-Center segment consists of company-owned lease-to-own stores in the United States and Puerto Rico that lease durable goods to customers on a lease-to-own basis. Our Rent-A-Center segment operates through our company-owned stores and e-commerce platform through rentacenter.com. As of December 31, 2024, we operated 1,728 company-owned stores in the United States and Puerto Rico, including 51 retail installment sales stores under the names “Get It Now” and “Home Choice.” We routinely evaluate the locations in which we operate to optimize our store network. Our Rent-A-Center segment comprised approximately 43% of our consolidated revenues for the year ended December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Mexico</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Mexico segment consists of our company-owned lease-to-own stores in Mexico that lease durable goods to customers on a lease-to-own basis. As of December 31, 2024, we operated 132 stores in Mexico.</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color w:val="auto"/>
        </w:rPr>
        <w:t>Franchising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Rent-A-Center Franchising International, Inc., an indirect wholly-owned subsidiary of the Company (our “Franchising Segment”), is a franchisor of lease-to-own stores. The stores in our Franchising segment use our Rent-A-Center, ColorTyme or RimTyme trade names, service marks, trademarks and logos, and operate under distinctive operating procedures and standards.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franchised 448 stores in 29 states operating under the Rent-A-Center (412 stores), ColorTyme (7 stores) and RimTyme (29 stores) trade names. These lease-to-own stores primarily offer high quality products such as furniture and accessories, consumer electronics, appliances, computers, wheels and tires.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franchisor, Franchising receives royalties of 3.0% to 6.0% of the franchisees’ monthly gross revenue and, generally, an initial fee of up to $10,000 per new location.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store locations allocated among the Rent-A-Center, Mexico and Franchising operating segments as of December 31 of each of the years indicated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gridSpan w:val="2"/>
          </w:tcPr>
          <w:p>
            <w:pPr>
              <w:ind w:left="74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42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0"/>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Rent-A-Center</w:t>
            </w:r>
          </w:p>
        </w:tc>
        <w:tc>
          <w:tcPr>
            <w:tcW w:w="9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w:t>
            </w: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Franchising</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w:t>
            </w:r>
          </w:p>
        </w:tc>
      </w:tr>
      <w:tr>
        <w:trPr>
          <w:trHeight w:val="16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locations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r>
      <w:tr>
        <w:trPr>
          <w:trHeight w:val="20"/>
        </w:trPr>
        <w:tc>
          <w:tcPr>
            <w:tcW w:w="6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discussion applies generally to all of our operating segments, unless otherwise noted.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Expenses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operating segment expenses primarily relate to merchandise costs and labor and non-labor operating expenses, including salaries and benefits for our employees, lease charge-offs, occupancy, delivery, advertising, selling, insurance, travel, fixed asset depreciation, and other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Selection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stores in our Rent-A-Center, Mexico, and Franchising segments generally offer merchandise from certain basic product categories: such as furniture, including mattresses; tires; consumer electronics; appliances; tools; handbags; computers; and accessories. Although we seek to maintain sufficient inventory in our stores to offer customers a wide variety of models, styles and brands, we generally limit merchandise to prescribed levels to maintain strict inventory controls. We also provide merchandise options to our Rent-A-Center customers through our extended marketplace on our e-commerce platform. We seek to provide a wide variety of high quality merchandise to our customers, and we emphasize products from name-brand manufacturers. Customers may request either new merchandise or previously leased merchandise. Previously leased merchandise is generally offered at a similar weekly, bi-weekly, semi-monthly, or monthly lease rate as is offered for new merchandise, but with an opportunity to obtain ownership of the merchandise after fewer lease payments.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furniture products include dining room, living room and bedroom furniture featuring a number of styles, materials and colors. Accessories include lamps and tables and are typically rented as part of a package of items, such as a complete room of furniture. Showroom displays enable customers to visualize how the product will look in their homes and provide a showcase for accessories. Appliances include refrigerators, freezers, washing machines, dryers, and ranges. Consumer electronic products offered by our stores include high definition televisions, home theater systems, video game consoles and stereos. We offer desktop, laptop, and tablet computers.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merchandise assortment may vary in our non-U.S. stores according to market characteristics and consumer demand unique to the particular country in which we are operating. For example, in Mexico, the appliances we offer are sourced locally, providing our customers in Mexico the look and feel to which they are accustomed in that product category.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Acima locations offer merchandise available for sale in-store and online through third-party retailers, including furniture and accessories, consumer electronics and appliances, wheels and tires, and jewelry.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auto"/>
        </w:rPr>
        <w:t>Product Turnover</w:t>
      </w:r>
    </w:p>
    <w:p>
      <w:pPr>
        <w:spacing w:after="0" w:line="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average, in the Rent-A-Center segment, lease renewals of 17 months or exercising an early purchase option is generally required to obtain ownership of new merchandise. Product turnover is the number of times a product is rented to a different customer. On average, a product is leased (turned over) to multiple customers before a customer acquires ownership. Merchandise returned in the Acima segment is often moved to a Rent-A-Center store where it is offered for lease. Ownership is attained in approximately 38% of lease purchase agreements in the Rent-A-Center segment. The average total life for each product in our Rent-A-Center segment is approximately 16 months, which includes the initial lease period, all additional lease periods and idle time in our system. To cover the higher operating expenses generated by the key benefits of lease purchase transactions and product turnover, lease purchase agreements require higher aggregate payments to obtain ownership over time (if elected by the customer) than are generally charged under purchase plans, such as installment purchase or credit plans.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 Management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majority of our lease purchase agreements are subject to weekly, bi-weekly, semi-monthly, and monthly renewal terms. In our Rent-A-Center stores, managers use our management information system to track past due payments on a daily basis. Similarly, past due payments are monitored on a daily basis by on-site employees in our Acima staffed locations and by our back-office account management team in respect of our Acima virtual locations. If a customer fails to make a lease payment when due, we will attempt to contact the customer to terminate the account and arrange to regain possession of our merchandise or, if elected by the customer, to obtain payment and reinstate the agreement.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our Rent-A-Center segment, we attempt to recover the merchandise as soon as possible following non-renewal or termination of a lease purchase agreement. These efforts are enhanced by the personal and job-related references required of customers, the personal nature of the relationships between our employees and customers, and the availability of lifetime reinstatement.</w:t>
      </w:r>
    </w:p>
    <w:p>
      <w:pPr>
        <w:spacing w:after="0" w:line="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If a customer does not return the merchandise or make a payment sufficient to reinstate an agreement, the remaining book value of the leased merchandise associated with delinquent accounts is generally charged off on or before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time the account became past due in the Rent-A-Center and Mexico segments, on or before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our Acima segment or during the month following the 150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certain Acima locations formerly operating under the Acceptance Now brand.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our Acima segment, we purchase the merchandise selected by the customer from the applicable third-party retailer at the time such customer enters into a lease purchase agreement with us and the product is delivered. We retain ownership of the leased property unless and until the customer elects to purchase the property pursuant to the lease terms.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our Rent-A-Center and Mexico segments, we purchase our rental merchandise from a variety of suppliers. In 2024, approximately 39% and 16% of our merchandise purchases were attributable to Ashley Furniture Industries and Whirlpool, respectively. No other brand accounted for more than 10% of merchandise purchased during these periods. We do not generally enter into written contracts with our suppliers that obligate us to meet certain minimum purchasing levels. Although we expect to continue relationships with our existing suppliers, we believe there are numerous sources of products available, and we do not believe the success of our operations is dependent on any one or more of our present suppliers. However, any termination or disruption to our relationship with Ashley Furniture Industries, Whirlpool or other significant suppliers could materially adversely impact our results.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respect to our Franchising segment, our franchise agreements with franchisees require the franchised stores to exclusively offer for rent or sale only those brands, types and models of products that Franchising has approved. The franchised stores are required to maintain an adequate mix of inventory that consists of approved products for rent as dictated by Franchising policy manuals. Franchisees can purchase product through us or directly from various approved suppliers.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executive management team has extensive experience in the lease-to-own industry, as well as financial services and technology and has demonstrated the ability to grow and manage our business through their operational leadership and strategic vision. Our regional and district managers generally have long tenures with us, and we have a history of promoting management personnel from within. To support our strategic efforts we have hired additional key management members in recent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executive management team's extensive industry and company experience will allow us to effectively execute our strategies.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promote our products and services through direct marketing, paid and organic search optimization, digital advertisements, paid social media, radio and television commercials, and store signage. Our advertisements emphasize such features as product and name-brand selection, limited time offers, easy approval process, the flexible payment and return options, the ability to avoid relying on credit to finance a purchase and without requiring long-term contracts or obligations, convenient delivery and set-up, product repair and loaner services, lifetime reinstatement and multiple options to acquire ownership if desired by the customer, including early purchase pricing options or through a fixed number of lease renewal payments. In addition, in the Rent-A-Center segment, we promote the “RAC Worry-Free Guarantee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to further highlight these aspects of the lease purchase transaction. We believe that by leveraging our advertising efforts to highlight the benefits of the lease purchase transaction, we will continue to educate our customers and potential customers about the lease-to-own alternative to credit as well as promote our reputation as a leading provider of high-quality, branded merchandise and services.</w:t>
      </w:r>
    </w:p>
    <w:p>
      <w:pPr>
        <w:spacing w:after="0" w:line="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Franchising has established national advertising funds for the franchised stores, whereby Franchising has the right to collect up to 4.5% of the monthly gross revenue from each franchisee as contributions to the fund. Franchising directs the advertising programs of the fund, generally consisting of television and radio commercials and print and digital display advertisements. Franchising also has the right to require franchisees to expend up to 3% of their monthly gross revenue on local advertising.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&amp; Competition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 to data released by the Fair Isaac Corporation on October 29, 2024, consumers in the “subprime” category (those with credit scores below 650) made up approximately 25% of the United States population. Approximately 31% of U.S. consumers have incomes below $50,000 and may lack access to traditional credit. The lease-to-own industry provides customers the opportunity to obtain merchandise they might otherwise be unable to obtain due to insufficient cash resources or a lack of access to credit to finance a purchase.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stores, kiosks and other lease-to-own operations compete with other national, regional and local lease-to-own businesses, including online only competitors, as well as with rental stores that do not offer their customers a purchase option. With respect to customers desiring to purchase merchandise for cash or on credit, we also compete with retail stores, online competitors, Buy-Now-Pay-Later and other fintech companies and other competitors, including subprime lenders. Competition is based primarily on convenience, store location, product selection and availability, customer service, and pricing. See </w:t>
      </w:r>
      <w:r>
        <w:rPr>
          <w:rFonts w:ascii="Times New Roman" w:cs="Times New Roman" w:eastAsia="Times New Roman" w:hAnsi="Times New Roman"/>
          <w:sz w:val="14"/>
          <w:szCs w:val="14"/>
          <w:i w:val="1"/>
          <w:iCs w:val="1"/>
          <w:color w:val="auto"/>
        </w:rPr>
        <w:t>“The industries in which we operate are highly competitive, which could impede our ability to maintain lease volumes and pricing and have a material adverse effect on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operating results” </w:t>
      </w:r>
      <w:r>
        <w:rPr>
          <w:rFonts w:ascii="Times New Roman" w:cs="Times New Roman" w:eastAsia="Times New Roman" w:hAnsi="Times New Roman"/>
          <w:sz w:val="14"/>
          <w:szCs w:val="14"/>
          <w:color w:val="auto"/>
        </w:rPr>
        <w:t>contained in Item 1A of this Annual Report on Form 10-K.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revenue mix is moderately seasonal, with the first quarter of each fiscal year generally providing higher merchandise sales than any other 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own various trademarks and service marks that are used in connection with our operations, including certain trademarks that have been registered with the United States Patent and Trademark Office. The duration of our registered trademarks is unlimited, subject to periodic renewal and continued use. We believe we hold the necessary rights for protection of the trademarks and service marks essential to our business. The products held for rent in our lease-to-own stores or through our third-party retailers also bear trademarks and service marks held by their respective manufacturers.</w:t>
      </w:r>
    </w:p>
    <w:p>
      <w:pPr>
        <w:spacing w:after="0" w:line="22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4"/>
          <w:szCs w:val="14"/>
          <w:color w:val="auto"/>
        </w:rPr>
        <w:t>The Franchising segment licenses the use of the Rent-A-Center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ColorTyme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trademarks and service marks to its franchisees under its franchise agreements with such franchisees. The Franchising segment also owns various trademarks and service marks, including ColorTyme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RimTyme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that are used in connection with its operations and have been registered with the United States Patent and Trademark office. The duration of these marks is unlimited, subject to periodic renewal and continued use.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employed a total of 11,970 coworkers, the vast majority of which are full time employees. Our employee base is made up of 10,110 coworkers in our U.S. Operations, including Puerto Rico, 1,300 coworkers in our Mexico operations and 560 coworkers at our corporate facilities.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continually monitor our demand for labor and provide training and competitive compensation packages in an effort to attract and retain skilled coworkers. We believe our coworkers are one of the primary keys to successfully operating our business and achieving our strategic objectives. Our human capital measures and objectives focus on the successful training and development of our coworkers, in addition to their safety. We also focus on supporting an inclusive and talented workforce with a variety of backgrounds and perspectives. All of our coworkers are employed at will and are free to end their employment with us at any time.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of Lease-to-Own Transactions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u w:val="single" w:color="auto"/>
          <w:color w:val="auto"/>
        </w:rPr>
        <w:t>State Regulation.</w:t>
      </w:r>
      <w:r>
        <w:rPr>
          <w:rFonts w:ascii="Times New Roman" w:cs="Times New Roman" w:eastAsia="Times New Roman" w:hAnsi="Times New Roman"/>
          <w:sz w:val="14"/>
          <w:szCs w:val="14"/>
          <w:color w:val="auto"/>
        </w:rPr>
        <w:t xml:space="preserve"> Currently, 46 states, the District of Columbia and Puerto Rico have rental purchase statutes that recognize and regulate lease purchase transactions as separate and distinct from credit sales. We believe this existing legislation is generally favorable to us, as it defines and clarifies the various disclosures, procedures and transaction structures related to the lease-to-own business with which we must comply. With some variations in individual states, most related state legislation requires the lessor to make prescribed disclosures to customers about the rental purchase agreement and transaction, and provides time periods during which customers may reinstate agreements despite having failed to make a timely payment. Some state rental purchase laws prescribe grace periods for non-payment, prohibit or limit certain types of collection or other practices, and limit certain fees that may be charged. Eleven states limit the total rental payments that can be charged to amounts ranging from 2.0 times to 2.4 times the lessor's disclosed cash price or the retail value of the rental product. Six of those eleven states also limit the lessor's cash price of merchandise to amounts ranging from 1.56 to 2.5 times our cost for each item.</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Although Minnesota has a rental purchase statute, the rental purchase transaction is also treated as a credit sale subject to consumer lending restrictions pursuant to judicial decision. Therefore, we offer our customers in Minnesota an opportunity to purchase our merchandise through an installment sale transaction in our Home Choice stores. As of December 31, 2024, we operated 21 Home Choice stores in Minnesota.</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North Carolina has no rental purchase legislation. However, the retail installment sales statute in North Carolina expressly provides that lease transactions which provide for more than a nominal purchase price at the end of the agreed rental period are not credit sales under the statute. As of December 31, 2024, we operated 84 lease-to-own stores and 13 Acima staffed locations in North Carolina.</w:t>
      </w:r>
    </w:p>
    <w:p>
      <w:pPr>
        <w:spacing w:after="0" w:line="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Courts in Wisconsin and New Jersey, which do not have rental purchase statutes, have rendered decisions which classify rental purchase transactions as credit sales subject to consumer lending restrictions. Accordingly, in Wisconsin, we offer our customers an opportunity to purchase our merchandise through an installment sale transaction in our Get It Now stores. In New Jersey, we have modified our typical rental purchase agreements to provide disclosures, grace periods, and pricing that we believe comply with the retail installment sales act. As of December 31, 2024, we operated 30 Get It Now stores in Wisconsin and 18 Rent-A-Center stores in New Jersey.</w:t>
      </w:r>
    </w:p>
    <w:p>
      <w:pPr>
        <w:spacing w:after="0" w:line="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to state lease-to-own laws as described above, general consumer protection laws and regulations adopted by states and enforcement activities by state attorneys general and other consumer regulatory authorities may also impact our business. There can be no assurance as to whether the enforcement of existing state laws or regulations, including in connection with the regulatory matters described in Note M to our consolidated financial statements included in this Annual Report on Form 10-K, or the enactment of new laws or regulations that may unfavorably impact the lease-to-own industry would have a material and adverse effect on us.</w:t>
      </w:r>
    </w:p>
    <w:p>
      <w:pPr>
        <w:spacing w:after="0" w:line="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u w:val="single" w:color="auto"/>
          <w:color w:val="auto"/>
        </w:rPr>
        <w:t>Federal Regulation</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color w:val="auto"/>
        </w:rPr>
        <w:t xml:space="preserve"> To date, no comprehensive federal legislation has been enacted regulating the rental purchase transaction. However, other consumer protection laws and regulations adopted at the federal level and enforcement activities by the CFPB and the Federal Trade Commission may impact our business. The Dodd-Frank Wall Street Reform and Consumer Protection Act (“Dodd-Frank Act”) regulates “leases” if, among other things, the initial term of the lease is at least 90 days. We believe the lease-to-own transaction, therefore, is not a covered “lease” under the Dodd-Frank Act because, among other reasons, the lease-to-own transaction is for a term of week to week, or at most, month to month. The Consumer Financial Protection Bureau (“CFPB”) may adopt a different interpretation of the Dodd-Frank Act or other federal consumer financial protection laws and is currently engaged in investigations and enforcement activities with respect to the lease-to-own industry, including pending litigation against our Acima subsidiary as discussed in this Annual Report on Form 10-K.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2" w:name="page13"/>
    <w:bookmarkEnd w:id="12"/>
    <w:p>
      <w:pPr>
        <w:jc w:val="both"/>
        <w:spacing w:after="0" w:line="246" w:lineRule="auto"/>
        <w:rPr>
          <w:sz w:val="20"/>
          <w:szCs w:val="20"/>
          <w:color w:val="auto"/>
        </w:rPr>
      </w:pPr>
      <w:r>
        <w:rPr>
          <w:rFonts w:ascii="Times New Roman" w:cs="Times New Roman" w:eastAsia="Times New Roman" w:hAnsi="Times New Roman"/>
          <w:sz w:val="14"/>
          <w:szCs w:val="14"/>
          <w:color w:val="auto"/>
        </w:rPr>
        <w:t>From time to time, we have supported legislation introduced in Congress that would regulate the rental purchase transaction. While both beneficial and adverse legislation regulating the rental purchase transaction may be introduced in Congress in the future, any adverse federal legislation, if enacted, could have a material and adverse effect on us. In addition, there can be no assurance as to whether the enforcement of existing federal consumer protection laws or regulations, including in connection with the regulatory matters described in Note M to our consolidated financial statements included in this Annual Report on Form 10-K, or the enactment of new laws or regulations that may unfavorably impact the lease-to-own industry would have a material and adverse effect on 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Mexico</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comprehensive legislation regulating the lease-to-own transaction has been enacted in Mexico. We use substantially the same rental purchase transaction in Mexico as in the U.S. stores, but with such additional provisions as we believe may be necessary to comply with Mexico’s specific laws and customs.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proxy statements and other information with the SEC. The public may obtain copies of these reports and any amendments at the SEC's website, www.sec.gov. Additionally, we make available free of charge on or through our website our Annual Report on Form 10-K, our Quarterly Reports on Form 10-Q, our Current Reports on Form 8-K and amendments to those reports filed or furnished pursuant to Section 13(a) or 15(d) of the Exchange Act as soon as reasonably practicable after we electronically file such material with, or furnish it to, the SEC. We also provide electronic or paper copies of our filings free of charge upon request. In addition, our Board of Directors has adopted a Code of Business Conduct and Ethics applicable to all members of our Board of Directors, as well as all of our coworkers, including our Chief Executive Officer, Chief Financial Officer, principal accounting officer and controller. The Code of Business Conduct and Ethics forms the foundation of a compliance program we established as part of our commitment to responsible business practices that includes policies, training, monitoring and other components covering a wide variety of specific areas applicable to our business activities and employee conduct. A copy of the Code of Business Conduct and Ethics is published on our website at https://investor.upbound.com/corporate-governance/governance-documents. We intend to make all required disclosures concerning any amendments to, or waivers from, this Code of Business Conduct and Ethics on our website.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i w:val="1"/>
          <w:iCs w:val="1"/>
          <w:color w:val="auto"/>
        </w:rPr>
        <w:t>Risk Factors.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Investing in Upbound Group, Inc. involves a high degree of risk, and you should carefully consider the risks described in this section and the other information included in this Annual Report on Form 10-K, including our Consolidated Financial Statements and related notes, before making an investment decision. Please note that the headings reflected below are provided solely for convenience of the reader and do not indicate that a given risk applies only to the heading under which it is located. The risks described in this section include, but are not limited to, those highlighted in the following list: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Economic Conditions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The success of our business is dependent on factors affecting consumer spending and payment behaviors that are not under our control.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Vendors, Suppliers and Products</w:t>
      </w:r>
    </w:p>
    <w:p>
      <w:pPr>
        <w:spacing w:after="0" w:line="25" w:lineRule="exact"/>
        <w:rPr>
          <w:sz w:val="20"/>
          <w:szCs w:val="20"/>
          <w:color w:val="auto"/>
        </w:rPr>
      </w:pPr>
    </w:p>
    <w:p>
      <w:pPr>
        <w:ind w:left="120" w:hanging="115"/>
        <w:spacing w:after="0"/>
        <w:tabs>
          <w:tab w:leader="none" w:pos="120"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Disruptions in our supply chain and other factors affecting the distribution of our merchandise could materially and adversely affect our business.</w:t>
      </w:r>
    </w:p>
    <w:p>
      <w:pPr>
        <w:spacing w:after="0" w:line="8" w:lineRule="exact"/>
        <w:rPr>
          <w:rFonts w:ascii="Times New Roman" w:cs="Times New Roman" w:eastAsia="Times New Roman" w:hAnsi="Times New Roman"/>
          <w:sz w:val="14"/>
          <w:szCs w:val="14"/>
          <w:b w:val="1"/>
          <w:bCs w:val="1"/>
          <w:i w:val="1"/>
          <w:iCs w:val="1"/>
          <w:color w:val="auto"/>
        </w:rPr>
      </w:pPr>
    </w:p>
    <w:p>
      <w:pPr>
        <w:ind w:left="140" w:hanging="135"/>
        <w:spacing w:after="0" w:line="253" w:lineRule="auto"/>
        <w:tabs>
          <w:tab w:leader="none" w:pos="136"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rely on the receipt of information from third-party data vendors, and inaccuracies in or delays in receiving such information, or the termination of our relationships with such vendors, could have a material adverse effect on our business, operating results and financial condition.</w:t>
      </w:r>
    </w:p>
    <w:p>
      <w:pPr>
        <w:ind w:left="140" w:hanging="135"/>
        <w:spacing w:after="0" w:line="253" w:lineRule="auto"/>
        <w:tabs>
          <w:tab w:leader="none" w:pos="136"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must successfully manage our inventory to reflect customer demand and anticipate changing consumer preferences and leasing trends or our revenue and profitability could be materially and adversely affected.</w:t>
      </w:r>
    </w:p>
    <w:p>
      <w:pPr>
        <w:ind w:left="120" w:hanging="115"/>
        <w:spacing w:after="0"/>
        <w:tabs>
          <w:tab w:leader="none" w:pos="1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Allegations of or actual product safety and quality control issues, including product recalls, could harm our reputation, divert resources, reduce sales and increase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Strategy and Operations</w:t>
      </w:r>
    </w:p>
    <w:p>
      <w:pPr>
        <w:spacing w:after="0" w:line="25" w:lineRule="exact"/>
        <w:rPr>
          <w:sz w:val="20"/>
          <w:szCs w:val="20"/>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we are unable to successfully appeal to and engage with our target consumers, our business and financial performance may be materially and adversely affected.</w:t>
      </w:r>
    </w:p>
    <w:p>
      <w:pPr>
        <w:spacing w:after="0" w:line="8" w:lineRule="exact"/>
        <w:rPr>
          <w:rFonts w:ascii="Times New Roman" w:cs="Times New Roman" w:eastAsia="Times New Roman" w:hAnsi="Times New Roman"/>
          <w:sz w:val="14"/>
          <w:szCs w:val="14"/>
          <w:i w:val="1"/>
          <w:iCs w:val="1"/>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must maintain brands that are recognized and trusted by consumers and third-party retailers.</w:t>
      </w:r>
    </w:p>
    <w:p>
      <w:pPr>
        <w:spacing w:after="0" w:line="8" w:lineRule="exact"/>
        <w:rPr>
          <w:rFonts w:ascii="Times New Roman" w:cs="Times New Roman" w:eastAsia="Times New Roman" w:hAnsi="Times New Roman"/>
          <w:sz w:val="14"/>
          <w:szCs w:val="14"/>
          <w:i w:val="1"/>
          <w:iCs w:val="1"/>
          <w:color w:val="auto"/>
        </w:rPr>
      </w:pPr>
    </w:p>
    <w:p>
      <w:pPr>
        <w:ind w:left="14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proprietary algorithms and customer decisioning tools used to approve customers are subject to unexpected changes in behavior caused by macroeconomic conditions, which could cause these tools to no longer be indicative of our customers’ ability to perform under their agreements with us.</w:t>
      </w:r>
    </w:p>
    <w:p>
      <w:pPr>
        <w:ind w:left="120" w:hanging="115"/>
        <w:spacing w:after="0"/>
        <w:tabs>
          <w:tab w:leader="none" w:pos="1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Failure to effectively manage our costs could have a material adverse effect on our profitability.</w:t>
      </w:r>
    </w:p>
    <w:p>
      <w:pPr>
        <w:spacing w:after="0" w:line="8" w:lineRule="exact"/>
        <w:rPr>
          <w:rFonts w:ascii="Times New Roman" w:cs="Times New Roman" w:eastAsia="Times New Roman" w:hAnsi="Times New Roman"/>
          <w:sz w:val="14"/>
          <w:szCs w:val="14"/>
          <w:i w:val="1"/>
          <w:iCs w:val="1"/>
          <w:color w:val="auto"/>
        </w:rPr>
      </w:pPr>
    </w:p>
    <w:p>
      <w:pPr>
        <w:jc w:val="both"/>
        <w:ind w:left="14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face risks in our Acima third-party retailer business and virtual locations that differ in some potentially significant respects from the risks of the traditional lease-to-own business conducted in Rent-A-Center store locations. These risks could have a material adverse effect on Acima, which could negatively impact our ability to grow the Acima segment and result in a material adverse effect on our results of operations.</w:t>
      </w:r>
    </w:p>
    <w:p>
      <w:pPr>
        <w:ind w:left="14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strategy to grow the third-party retailer business depends on our ability to develop and offer robust virtual lease-to-own technology, including algorithmic decisioning programs and waterfall integrations.</w:t>
      </w:r>
    </w:p>
    <w:p>
      <w:pPr>
        <w:ind w:left="14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operations are dependent on effective information management systems. Failure of our systems or those of our host retailers could negatively impact our business, financial condition and results of operations.</w:t>
      </w:r>
    </w:p>
    <w:p>
      <w:pPr>
        <w:ind w:left="14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we fail to protect the integrity and security of customer, employee, supplier and host retailer or other third party information, or if our host retailers or other third parties fail to protect the integrity and security of customer information, we could incur significant liability and damage our reputation, and our business could be materially and adversely affected.</w:t>
      </w:r>
    </w:p>
    <w:p>
      <w:pPr>
        <w:ind w:left="120" w:hanging="115"/>
        <w:spacing w:after="0"/>
        <w:tabs>
          <w:tab w:leader="none" w:pos="1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industries in which we operate are highly competitive, which could impede our ability to maintain lease volumes and pricing and have a material adverse effect on our operating results.</w:t>
      </w:r>
    </w:p>
    <w:p>
      <w:pPr>
        <w:spacing w:after="0" w:line="8" w:lineRule="exact"/>
        <w:rPr>
          <w:rFonts w:ascii="Times New Roman" w:cs="Times New Roman" w:eastAsia="Times New Roman" w:hAnsi="Times New Roman"/>
          <w:sz w:val="14"/>
          <w:szCs w:val="14"/>
          <w:i w:val="1"/>
          <w:iCs w:val="1"/>
          <w:color w:val="auto"/>
        </w:rPr>
      </w:pPr>
    </w:p>
    <w:p>
      <w:pPr>
        <w:ind w:left="14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we are unable to attract, train and retain managerial personnel and hourly associates in our stores and staffed Acima locations, our reputation, sales and operating results may be materially and adversely affected.</w:t>
      </w:r>
    </w:p>
    <w:p>
      <w:pPr>
        <w:ind w:left="14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risks associated with climate change and other environmental impacts and increased focus by stakeholders on environmental issues, including those associated with climate change, could adversely affect our business, financial condition and operating results.</w:t>
      </w:r>
    </w:p>
    <w:p>
      <w:pPr>
        <w:ind w:left="140" w:hanging="135"/>
        <w:spacing w:after="0" w:line="266"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integration and use of artificial intelligence (“AI”) and similar technology in our business presents risks and challenges that could adversely affect our business, reputation, and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Legal and Compliance Matters</w:t>
      </w:r>
    </w:p>
    <w:p>
      <w:pPr>
        <w:spacing w:after="0" w:line="25" w:lineRule="exact"/>
        <w:rPr>
          <w:sz w:val="20"/>
          <w:szCs w:val="20"/>
          <w:color w:val="auto"/>
        </w:rPr>
      </w:pPr>
    </w:p>
    <w:p>
      <w:pPr>
        <w:ind w:left="140" w:hanging="135"/>
        <w:spacing w:after="0" w:line="266"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4" w:name="page15"/>
    <w:bookmarkEnd w:id="14"/>
    <w:p>
      <w:pPr>
        <w:ind w:left="140" w:hanging="135"/>
        <w:spacing w:after="0" w:line="265"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outcome of the previously disclosed investigations by the CFPB, multi-state attorneys' general group and the New York Attorney General into certain of Acima’s business practices is uncertain and may materially and adversely affect our business.</w:t>
      </w:r>
    </w:p>
    <w:p>
      <w:pPr>
        <w:jc w:val="both"/>
        <w:ind w:left="140" w:hanging="135"/>
        <w:spacing w:after="0" w:line="170" w:lineRule="exact"/>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Federal and state regulatory authorities are increasingly focused on the lease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to</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own industry, and any negative change in these laws or regulations or the passage of unfavorable new laws or regulations or the manner in which any of these are enforced or interpreted could expose us to significant additional costs or compliance-related burdens and could require us to alter our business practices in a manner that may be materially adverse to us.</w:t>
      </w:r>
    </w:p>
    <w:p>
      <w:pPr>
        <w:ind w:left="140" w:hanging="135"/>
        <w:spacing w:after="0" w:line="170" w:lineRule="exact"/>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lease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to</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own transactions are regulated by and subject to the requirements of federal and state laws and regulations that vary by jurisdiction, which require significant compliance costs and expose us to regulatory action or other litigation.</w:t>
      </w:r>
    </w:p>
    <w:p>
      <w:pPr>
        <w:ind w:left="14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Laws and regulations regarding information security and data collection, use and privacy are increasingly rigorous and subject to change, which may cause us to incur significant compliance costs and subject us to adverse impacts in the event of actual or alleged compliance failures.</w:t>
      </w:r>
    </w:p>
    <w:p>
      <w:pPr>
        <w:ind w:left="120" w:hanging="115"/>
        <w:spacing w:after="0"/>
        <w:tabs>
          <w:tab w:leader="none" w:pos="1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reputation, ability to do business and operating results may be impaired by improper conduct by any of our employees, agents or business partners, including third-party retailers.</w:t>
      </w:r>
    </w:p>
    <w:p>
      <w:pPr>
        <w:spacing w:after="0" w:line="8" w:lineRule="exact"/>
        <w:rPr>
          <w:rFonts w:ascii="Times New Roman" w:cs="Times New Roman" w:eastAsia="Times New Roman" w:hAnsi="Times New Roman"/>
          <w:sz w:val="14"/>
          <w:szCs w:val="14"/>
          <w:i w:val="1"/>
          <w:iCs w:val="1"/>
          <w:color w:val="auto"/>
        </w:rPr>
      </w:pPr>
    </w:p>
    <w:p>
      <w:pPr>
        <w:jc w:val="both"/>
        <w:ind w:left="14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third-party retailers, demand for our goods and the transactions we offer could decrease and our business could be materially and adversely affected.</w:t>
      </w:r>
    </w:p>
    <w:p>
      <w:pPr>
        <w:ind w:left="14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may be unable to protect our intellectual property, or may be alleged to have infringed upon the intellectual property rights of others, which could result in a loss of our competitive advantage, a diversion of resources and a material adverse effect on our business and results of operations.</w:t>
      </w:r>
    </w:p>
    <w:p>
      <w:pPr>
        <w:ind w:left="14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Brigit previously entered into a settlement with the FTC under which it continues to have ongoing compliance obligations, noncompliance with which could result in material regulatory enforcement.</w:t>
      </w:r>
    </w:p>
    <w:p>
      <w:pPr>
        <w:ind w:left="120" w:hanging="115"/>
        <w:spacing w:after="0"/>
        <w:tabs>
          <w:tab w:leader="none" w:pos="1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Brigit business is subject to extensive regulation and oversight in a variety of areas under federal, state and local laws.</w:t>
      </w:r>
    </w:p>
    <w:p>
      <w:pPr>
        <w:spacing w:after="0" w:line="8" w:lineRule="exact"/>
        <w:rPr>
          <w:rFonts w:ascii="Times New Roman" w:cs="Times New Roman" w:eastAsia="Times New Roman" w:hAnsi="Times New Roman"/>
          <w:sz w:val="14"/>
          <w:szCs w:val="14"/>
          <w:i w:val="1"/>
          <w:iCs w:val="1"/>
          <w:color w:val="auto"/>
        </w:rPr>
      </w:pPr>
    </w:p>
    <w:p>
      <w:pPr>
        <w:ind w:left="14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our Brigit business were determined to be operating without having obtained necessary state or local licenses, registrations, or similar regulatory filings or approvals, it could adversely affect Brigit’s business, results of operations, financial condition, and future prospects.</w:t>
      </w:r>
    </w:p>
    <w:p>
      <w:pPr>
        <w:jc w:val="both"/>
        <w:ind w:left="140" w:hanging="135"/>
        <w:spacing w:after="0" w:line="259"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Federal and state regulatory authorities are increasingly focused on the earned wage access industry, and any negative change in these laws or regulations or the passage of unfavorable new laws or regulations or the manner in which any of these are enforced or interpreted could expose Brigit to significant additional costs or compliance-related burdens and could require Brigit to alter its business practices in a manner that may be materially adverse to Brigit.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Indebtedness and Other Financial Matters</w:t>
      </w:r>
    </w:p>
    <w:p>
      <w:pPr>
        <w:spacing w:after="0" w:line="25" w:lineRule="exact"/>
        <w:rPr>
          <w:sz w:val="20"/>
          <w:szCs w:val="20"/>
          <w:color w:val="auto"/>
        </w:rPr>
      </w:pPr>
    </w:p>
    <w:p>
      <w:pPr>
        <w:ind w:left="120" w:hanging="115"/>
        <w:spacing w:after="0"/>
        <w:tabs>
          <w:tab w:leader="none" w:pos="1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have significant indebtedness, and the level of our indebtedness could materially and adversely affect us.</w:t>
      </w:r>
    </w:p>
    <w:p>
      <w:pPr>
        <w:spacing w:after="0" w:line="8" w:lineRule="exact"/>
        <w:rPr>
          <w:rFonts w:ascii="Times New Roman" w:cs="Times New Roman" w:eastAsia="Times New Roman" w:hAnsi="Times New Roman"/>
          <w:sz w:val="14"/>
          <w:szCs w:val="14"/>
          <w:i w:val="1"/>
          <w:iCs w:val="1"/>
          <w:color w:val="auto"/>
        </w:rPr>
      </w:pPr>
    </w:p>
    <w:p>
      <w:pPr>
        <w:ind w:left="140" w:hanging="135"/>
        <w:spacing w:after="0" w:line="253" w:lineRule="auto"/>
        <w:tabs>
          <w:tab w:leader="none" w:pos="136"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amount of borrowings permitted under the Asset Based Loan Credit Facility (the “ABL Credit Facility”) is limited to the value of certain of our assets, and Upbound Group, Inc. relies in part on available borrowings under the ABL Credit Facility for cash to operate its business, which subjects it to market and counterparty risk, some of which is beyond Upbound Group, Inc.’s control.</w:t>
      </w:r>
    </w:p>
    <w:p>
      <w:pPr>
        <w:ind w:left="120" w:hanging="115"/>
        <w:spacing w:after="0"/>
        <w:tabs>
          <w:tab w:leader="none" w:pos="1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variable rate indebtedness subjects us to interest rate risk, which could cause our debt service obligations to increase significantly.</w:t>
      </w:r>
    </w:p>
    <w:p>
      <w:pPr>
        <w:spacing w:after="0" w:line="8" w:lineRule="exact"/>
        <w:rPr>
          <w:rFonts w:ascii="Times New Roman" w:cs="Times New Roman" w:eastAsia="Times New Roman" w:hAnsi="Times New Roman"/>
          <w:sz w:val="14"/>
          <w:szCs w:val="14"/>
          <w:i w:val="1"/>
          <w:iCs w:val="1"/>
          <w:color w:val="auto"/>
        </w:rPr>
      </w:pPr>
    </w:p>
    <w:p>
      <w:pPr>
        <w:ind w:left="140" w:hanging="135"/>
        <w:spacing w:after="0" w:line="253" w:lineRule="auto"/>
        <w:tabs>
          <w:tab w:leader="none" w:pos="136"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organizational documents and our current or future debt instruments contain or may contain provisions that may prevent or deter another group from paying a premium over the market price to Upbound Group, Inc.’s stockholders to acquire its stock.</w:t>
      </w:r>
    </w:p>
    <w:p>
      <w:pPr>
        <w:ind w:left="120" w:hanging="115"/>
        <w:spacing w:after="0"/>
        <w:tabs>
          <w:tab w:leader="none" w:pos="1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our goodwill or intangible assets become impaired, we may be required to record a significant charge to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Acquisition of Brigit</w:t>
      </w:r>
    </w:p>
    <w:p>
      <w:pPr>
        <w:spacing w:after="0" w:line="25" w:lineRule="exact"/>
        <w:rPr>
          <w:sz w:val="20"/>
          <w:szCs w:val="20"/>
          <w:color w:val="auto"/>
        </w:rPr>
      </w:pPr>
    </w:p>
    <w:p>
      <w:pPr>
        <w:ind w:left="140" w:hanging="135"/>
        <w:spacing w:after="0" w:line="266" w:lineRule="auto"/>
        <w:tabs>
          <w:tab w:leader="none" w:pos="13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may be unable to realize the anticipated benefits of the Brigit acquisition, including synergies, and expect to incur substantial expenses related to the acquisition, which could have a material adverse effect on our business, financial condition and results of operations.</w:t>
      </w:r>
    </w:p>
    <w:p>
      <w:pPr>
        <w:spacing w:after="0" w:line="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The risks described in this section are not the only risks that could materially and adversely affect our business; other risks currently believed to be immaterial or additional risks not currently known to us could also materially and adversely affect our business, financial condition or results of operations. If any of the events or circumstances described in this section actually occur, our business, operating results, financial condition, cash flows, and prospects could be materially and adversely affected. In that event, the market price of our securities could decline, and you could lose part or all of your investment.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Risks Relating to Economic Conditions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business is dependent on factors affecting consumer spending and payment behaviors that are not under our control.</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Consumer spending and payment behaviors are affected by general economic conditions and other factors including levels of employment, disposable consumer income, prevailing interest rates, consumer debt and availability of credit, cost of fuel, food and housing, inflation, recession and fears of recession, war (including the current conflicts in Ukraine and the Middle East) and fears of war, terrorist activities, pandemics, inclement weather, tariff policies, tax rates and rate increases, timing of receipt of tax refunds, consumer confidence in future economic conditions and political conditions and consumer perceptions of personal well-being and security. Unfavorable general economic changes, due to any one or more of these or other factors, could reduce demand for our products and services resulting in lower revenue or negatively impact consumer payment behavior resulting in higher than expected losses and negatively impacting our business and financial results. For example, since the latter part of 2021, we have experienced negative trends in customer behavior following the expiration of government stimulus and relief programs combined with a significant rise in the U.S. consumer price index, resulting in significant pressure on the discretionary income levels of our consumers. This led us to tighten our underwriting policies in an effort to improve risk management related to the execution of new leases. The continuation of the trends described above combined with the tightening of our underwriting policies has reduced the number of active leases with corresponding decreases in lease revenue and operating cash flows compared to having less restrictive underwriting policies.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to the negative trends in customer behavior described above, we have also been impacted by other negative macroeconomic trends, including a tight labor market, which has contributed to wage inflation, and global supply chain disruptions resulting in reduced product availability and rising product costs. The possible economic policies of the new U.S. Presidential Administration, including proposed new or increased tariffs on U.S. trading partners and potential retaliatory tariffs enacted by U.S. trading partners, may also lead to continued or renewed inflationary pressures, reduced product availability and rising product costs. Recently, the U.S. Presidential Administration has proposed significant changes in trade policies that include export control restrictions, the negotiation or termination of trade agreements, the imposition of higher tariffs on imports into the United States, and other government regulations affecting trade between the United States and other countries, and a number of other nations have proposed similar measures directed at trade with the United States in response. As a result of these developments, there may be greater restrictions and economic disincentives on international trade, which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the lease-to-own industry has historically remained a resilient business model throughout various economic cycles, the full extent to which our risk management strategy and these macroeconomic trends (including consumer spending and payment behavior) may impact our business in future periods is uncertain. The continuation of volatile macroeconomic trends may have a material adverse impact on our financial statements, including our results of operations, operating cash flows, liquidity and capital resources. These general economic conditions and other factors described above may similarly adversely impact our Brigit business, including through changes in customer payment behaviors and losses at Brigit.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Vendors, Suppliers and Products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in our supply chain and other factors affecting the distribution of our merchandise could materially and adversely affect our business.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Disruptions in our lease-to-own business supply chain and those of our third-party retailers can and have resulted in our inability to meet our customers’ expectations, higher costs, an inability to stock our stores, or longer lead time associated with distributing merchandise. Disruptions within our supply chain network also result in decreased net sales, increased costs and reduced profits.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arrangements with our suppliers and vendors may be materially and adversely affected by changes in our financial results or financial position or changes in consumer demand, which could materially and adversely affect our business.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Substantially all of our lease-to-own merchandise suppliers and vendors sell to us on open account purchase terms. There is a risk that our key suppliers and vendors could respond to any actual or apparent decrease in, or any concern with, our financial results or liquidity by requiring or conditioning their sale of merchandise to us on more stringent or more costly payment terms, such as by requiring standby letters of credit, earlier or advance payment of invoices, payment upon delivery or other assurances or credit support or by choosing not to sell merchandise to us on a timely basis or at all. In addition, if demand for our products and services declines, the volume of merchandise we purchase from third-party suppliers may decrease, which could result in smaller discounts from our vendors or the elimination of such discounts by our vendors. Our arrangements with our suppliers and vendors may also be impacted by media reports regarding our financial position or other factors relating to</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6" w:name="page17"/>
    <w:bookmarkEnd w:id="16"/>
    <w:p>
      <w:pPr>
        <w:jc w:val="both"/>
        <w:spacing w:after="0" w:line="287" w:lineRule="auto"/>
        <w:rPr>
          <w:sz w:val="20"/>
          <w:szCs w:val="20"/>
          <w:color w:val="auto"/>
        </w:rPr>
      </w:pPr>
      <w:r>
        <w:rPr>
          <w:rFonts w:ascii="Times New Roman" w:cs="Times New Roman" w:eastAsia="Times New Roman" w:hAnsi="Times New Roman"/>
          <w:sz w:val="14"/>
          <w:szCs w:val="14"/>
          <w:color w:val="auto"/>
        </w:rPr>
        <w:t>our business. Our need for additional liquidity could materially increase and our supply of inventory could be materially disrupted if any of our key suppliers or vendors, or a significant portion of our other suppliers or vendors, takes one or more of the actions described above, which could result in increased costs of operation and decreased net sales, customer satisfaction and profits.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the receipt of information from third-party data vendors, and inaccuracies in or delays in receiving such information, or the termination of our relationships with such vendors, could have a material adverse effect on our business, operating results and financial condition.</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heavily dependent on data provided by third-party providers. We employ proprietary decisioning algorithms that determine whether or not an application for a lease submitted by a customer will be approved for a lease and the potential amount of the lease. These algorithms depend extensively upon continued access to, and timely receipt of, reliable data from external sources, such as third-party data vendors. Our data providers could stop providing data, provide untimely, incorrect or incomplete data, or increase the costs for their data for a variety of reasons, including a perception that our systems are insecure as a result of a data-security breach, regulatory concerns or for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business would be negatively impacted, which would materially and adversely affect our operating results and financial condition. We cannot provide assurance that we will be successful in maintaining our relationships with these external data-source providers or that we will be able to continue to obtain data from them on acceptable terms or at all. Furthermore, we cannot provide assurance that we will be able to obtain data from alternative sources if our current sources become unavailable. Risks similar to those described in this paragraph may also adversely impact our Brigit business, which also depends on data provided by third-party providers.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must successfully manage our inventory to reflect customer demand and anticipate changing consumer preferences and leasing trends or our revenue and profitability could be materially and adversely affected.</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success of our Rent-A-Center segment depends upon our ability to successfully manage our inventory and to anticipate and respond to merchandise trends and customer demands in a timely manner. We cannot always accurately predict consumer preferences, and they may change over time. We must order certain types of merchandise, such as consumer electronics, well in advance of seasonal increases in customer demand for those products. The extended lead times for many of our purchases may make it difficult for us to respond rapidly to new or changing consumer trends and price shifting and to maintain an optimal selection of merchandise available for lease at all times. If we misjudge any of the market for our merchandise, our customers’ product preferences or our customers’ leasing behaviors, our revenue may decline significantly, and we may not have sufficient quantities of merchandise to satisfy customer demand, or we may be required to mark down excess inventory, either of which would result in lower revenue and profit. In addition, our level of profitability and success in our Rent-A-Center segment depends on our ability to successfully re-lease our inventory of merchandise that is returned by customers of our Rent-A-Center or Acima segments, due to their lease agreements expiring, or otherwise.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Allegations of or actual product safety and quality control issues, including product recalls, could harm our reputation, divert resources, reduce sales and increase costs.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products we lease and sell in our Rent-A-Center segment and Acima segment are subject to regulation by the U.S. Consumer Product Safety Commission and similar state regulatory authorities and expose us to potential product liability claims, recalls or other regulatory or enforcement actions initiated by regulatory authorities or through private causes of action. Such claims, recalls or actions could be based on allegations that, among other things, the products leased or sold by us contain contaminants or impermissible materials, provide inadequate instructions regarding their use or misuse or include inadequate warnings, such as those concerning the materials or their flammability. We do not control the production process of the products we sell and lease and may be unable to identify a defect or deficiency in a product purchased from a manufacturer before offering it for sale or lease to our customers. Product safety or quality concerns may require us to voluntarily remove selected products from our physical locations or from our customers’ homes or cease offering those products online. Such recalls and voluntary removal of products can result in, among other things, lost sales, diverted resources, potential harm to our reputation and increased customer service costs, each of which could have a material adverse effect on our financial condition. In addition, in the event of such a product quality or safety issue, our customers who have leased the defective merchandise from us could terminate their lease agreements for that merchandise and/or not renew those lease arrangements, which could have a material adverse effect on our financial condition if we are unable to recover those losses from the vendor who supplied us with the relevant merchandise. In addition, new federal or state legislation, including new product safety and hazardous material laws and regulations, may negatively impact our operations, increase our cost of doing business and adversely affect our operating performance.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Risks Relating to Our Strategy and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the effective implementation and continued execution of our strategies.</w:t>
      </w:r>
    </w:p>
    <w:p>
      <w:pPr>
        <w:spacing w:after="0" w:line="96"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We are focused on our mission to elevate financial opportunity for cash- and credit-constrained consumers including through affordable and flexible access to durable goods that promote a higher quality of living. In recent years, we accelerated our virtual growth strategy through the acquisition of Merchants Preferred, launch of our Preferred Lease offering and acquisition of Acima Holdings, with a focus towards executing on large market opportunities through national and regional third-party retailers. Most recently, we acquired Brigit, which expands our strategic focus into technology-driven financial health solutions, such as earned wage access (“EWA”) and credit building products for consumers who are underserved by traditional financial institutions. We seek to capitalize on key differentiators in our expanding virtual and technology-driven offerings, as well as grow our business through expansion in our lease-to-own product verticals,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commerce platform and other digital enhancements, improving the customer and third-party retailer experience and providing consumers with greater opportunities to shop how, when and where they want with the flexibility of our lease-to-own solutions. Our Rent-A-Center segment employs its own growth strategies and seeks to adapt to changing consumer preferences and shopping behaviors while managing its cost structure. Brigit also has its own growth strategies as it seeks to achieve significant growth in providing financial health solutions to consumers.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Growth of our business, including through the launch of new product offerings requires us to invest in or expand our information and technology capabilities, engage and retain experienced management, invest in our stores and otherwise incur additional costs. Our inability to address these concerns or otherwise to achieve targeted results associated with our initiatives could materially and adversely affect our results of operations, or negatively impact our ability to successfully execute future strategies, which may result in a material adverse effect on our business and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appeal to and engage with our target consumers and third-party retailers, our business and financial performance may be materially and adversely affected.</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operate in the consumer retail industry through brick-and-mortar stores and digitally including through third-party retailer channels. Through our Brigit business, we now also provide financial health solutions direct to consumers. As such, our success depends, among other things, on our ability to identify and successfully market products and services through various channels that appeal to our current and future target customer segments and third-party retailers, to align our offerings with consumer and third-party retailer preferences and to maintain favorable perceptions of our brands by our target consumers and third-party retailers. If we are unable to successfully appeal to and engage with our target consumers and third-party retailers, our business and financial performance may be materially and adversely affected.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must maintain corporate brands that are recognized and trusted by consumers and third-party retailers.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brands could be adversely affected by situations that reflect negatively on us, whether due to our business practices, adverse financial developments, a data breach, perceptions of our corporate governance or how we address environmental or social responsibility initiatives, the conduct of our officers, directors, or employees, the actions of a significant partner or other businesses with which we do business, or other causes. The negative impacts of these or other events may be amplified as consumers and other stakeholders increase or change their expectations regarding the conduct of public companies, sustainability efforts, and corporate responsibility. These impacts may be further complicated such that perceptions are formed through rapid and broad interactions using modern communication and social media tools over which we have no control. Any such event could decrease demand for our products, reduce our ability to recruit and retain employees, and lead to greater regulatory scrutiny of our businesses.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proprietary algorithms and customer decisioning tools used to approve customers are subject to unexpected changes in behavior caused by macroeconomic conditions, which could cause these tools to no longer be indicative of our customers’ ability to perform under their agreements with us.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our proprietary customer lease decisioning process to be a key to the success of our business for both Acima and Rent-A-Center. Brigit also employs a proprietary decisioning process to approve consumers for its products and services. We assume behavior and attributes observed from prior customers, among other factors, are indicative of performance by future customers. Unexpected changes in behavior caused by macroeconomic conditions, including, for example, impacts to the U.S. economy related to the COVID-19 pandemic and changes in consumer behavior relating thereto as well as the current challenging macroeconomic conditions, could lead to increased incidence and costs related to lease merchandise write-offs or customer losses at Brigit. For example, we experienced higher losses in the fourth quarter of 2021 and during 2022 due to the impacts of changing consumer payment behaviors following the expiration of governmental stimulus programs and high inflation. Unexpected changes in behavior caused by macroeconomic conditions will impact our decisioning process and likely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14"/>
          <w:szCs w:val="14"/>
          <w:color w:val="auto"/>
        </w:rPr>
        <w:t>require frequent adjustments and the application of greater management judgment in the interpretation and adjustment of the results produced by our decisioning tools and we may be unable to accurately predict and respond to the impact of a prolonged economic downturn or changes to consumer behaviors, which in turn may limit our ability to manage risk and avoid lease merchandise write-offs and could result in our accounts receivable allowance being insufficient. Even after the effect of the current macroeconomic conditions subside, unexpected changes in behavior caused by macroeconomic conditions such as the U.S. economy experiencing a recession or slowdown in economic growth and job losses related thereto, a continued high interest rate environment, inflationary pressures, reduced availability or elimination of government subsidies, changes in consumer preferences, availability of alternative products or other factors, could lead to increased incidence and costs related to lease merchandise write-offs or other customer losses.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take advantage of merger and acquisition opportunities from time to time with the intent of advancing our key initiatives, but such activities may not prove successful and may subject us to additional risks.</w:t>
      </w:r>
    </w:p>
    <w:p>
      <w:pPr>
        <w:spacing w:after="0" w:line="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From time to time, we may take advantage of additional merger and acquisition opportunities intended to advance our key strategic initiatives. Such merger and acquisition opportunities, such as our recent Brigit acquisition, may involve numerous risks, including the following:</w:t>
      </w:r>
    </w:p>
    <w:p>
      <w:pPr>
        <w:spacing w:after="0" w:line="1" w:lineRule="exact"/>
        <w:rPr>
          <w:sz w:val="20"/>
          <w:szCs w:val="20"/>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integrating the operations, systems, technologies, products and personnel of the acquired businesses;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entering markets in which we have no or limited direct prior experience and where competitors in such markets may have stronger market positions;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application of regulatory regimes that have not previously applied to, and may significantly impact, our business;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normal daily operations of the business and the challenges of managing larger and more widespread operations;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key employees, vendors and other business partners of the businesses we acquire;</w:t>
      </w:r>
    </w:p>
    <w:p>
      <w:pPr>
        <w:spacing w:after="0" w:line="23" w:lineRule="exact"/>
        <w:rPr>
          <w:rFonts w:ascii="Times New Roman" w:cs="Times New Roman" w:eastAsia="Times New Roman" w:hAnsi="Times New Roman"/>
          <w:sz w:val="14"/>
          <w:szCs w:val="14"/>
          <w:color w:val="auto"/>
        </w:rPr>
      </w:pPr>
    </w:p>
    <w:p>
      <w:pPr>
        <w:ind w:left="520" w:hanging="133"/>
        <w:spacing w:after="0" w:line="161" w:lineRule="exact"/>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debt, contingent liabilities and amortization expenses and write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offs of goodwill in connection with such activities that could harm our financial condition; and</w:t>
      </w:r>
    </w:p>
    <w:p>
      <w:pPr>
        <w:spacing w:after="0" w:line="79"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dilutive issuances of common stock or other equity securities.</w:t>
      </w:r>
    </w:p>
    <w:p>
      <w:pPr>
        <w:spacing w:after="0" w:line="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Mergers and acquisitions are inherently risky and subject to many factors outside of our control. We cannot assure you that our previous or future acquisitions will be successful and will not materially and adversely affect our business, operating results or financial condition. Failure to manage and successfully integrate acquisitions could materially harm our business and operating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effectively manage our costs could have a material adverse effect on our profitability.</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Consumer spending remains uncertain and our continued profitability is largely dependent on our ability to effectively manage our cost structure, certain elements of which are largely fixed in nature. We have experienced, and may experience in the future, increases in the costs of purchasing certain merchandise from suppliers or third-party retailers as a result of various factors, including supply/demand trends, tariffs and other government regulations, increases in the prices of certain commodities, increases in shipping costs and general economic conditions. We have experienced and may experience in the future increases in labor costs as a result of wage inflation for employees in many regions or increased competition for employees as unemployment rates decline. We have limited or no control over many of these inflationary forces. In addition, due to the competitive environment in our industries and increasing price transparency, we may not be able to recover all or even a portion of such cost increases by increasing our merchandise or other prices, fees, or otherwise. Even if we are able to increase merchandise or other prices or fees, those cost increases to our customers could result in reduced demand for our products and services. As a result, the failure to manage our overall cost of operations, labor and benefit rates, advertising and marketing expenses, operating leases, charge-offs due to customer-stolen merchandise, other operating expenses or indirect spending could materially and adversely affect our profitability.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face risks in our Acima third-party retailer business and virtual locations that differ in some potentially significant respects from the risks of the traditional lease-to-own business conducted in Rent-A-Center store locations. These risks could have a material adverse effect on Acima, which could negatively impact our ability to grow the Acima segment and result in a material adverse effect on our results of operations.</w:t>
      </w:r>
    </w:p>
    <w:p>
      <w:pPr>
        <w:spacing w:after="0" w:line="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Our Acima segment offers the lease-to-own transaction through the stores or websites of third-party retailers and, therefore, faces risks different from those that have historically been associated with our traditional lease-to-own business conducted in our Rent-A-Center store locations. These potential risks include, among others:</w:t>
      </w:r>
    </w:p>
    <w:p>
      <w:pPr>
        <w:spacing w:after="0" w:line="1" w:lineRule="exact"/>
        <w:rPr>
          <w:sz w:val="20"/>
          <w:szCs w:val="20"/>
          <w:color w:val="auto"/>
        </w:rPr>
      </w:pPr>
    </w:p>
    <w:p>
      <w:pPr>
        <w:ind w:left="52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ability of unaffiliated third-party retailers to attract customers and to maintain quality and consistency in their operations and their ability to continue to provide eligible durable goods desired by customers;</w:t>
      </w: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relationships with unaffiliated third-party retailers;</w:t>
      </w:r>
    </w:p>
    <w:p>
      <w:pPr>
        <w:spacing w:after="0" w:line="51" w:lineRule="exact"/>
        <w:rPr>
          <w:rFonts w:ascii="Times New Roman" w:cs="Times New Roman" w:eastAsia="Times New Roman" w:hAnsi="Times New Roman"/>
          <w:sz w:val="14"/>
          <w:szCs w:val="14"/>
          <w:color w:val="auto"/>
        </w:rPr>
      </w:pPr>
    </w:p>
    <w:p>
      <w:pPr>
        <w:jc w:val="both"/>
        <w:ind w:left="520" w:hanging="133"/>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unaffiliated third-party retailers for many important business functions, from advertising through assistance with lease transaction applications, including, for example, adhering to Acima’s merchant policies and procedures, properly explaining the nature of the lease-to-own transaction to potential customers, properly handling customer inquiries made directly to the third-party retailer and properly explaining that the lease transaction is with Acima and not with the third-party retailer;</w:t>
      </w:r>
    </w:p>
    <w:p>
      <w:pPr>
        <w:spacing w:after="0" w:line="8" w:lineRule="exact"/>
        <w:rPr>
          <w:rFonts w:ascii="Times New Roman" w:cs="Times New Roman" w:eastAsia="Times New Roman" w:hAnsi="Times New Roman"/>
          <w:sz w:val="14"/>
          <w:szCs w:val="14"/>
          <w:color w:val="auto"/>
        </w:rPr>
      </w:pPr>
    </w:p>
    <w:p>
      <w:pPr>
        <w:jc w:val="both"/>
        <w:ind w:left="520" w:hanging="133"/>
        <w:spacing w:after="0" w:line="261" w:lineRule="auto"/>
        <w:tabs>
          <w:tab w:leader="none" w:pos="516" w:val="left"/>
        </w:tabs>
        <w:numPr>
          <w:ilvl w:val="0"/>
          <w:numId w:val="14"/>
        </w:numPr>
        <w:rPr>
          <w:rFonts w:ascii="Arial" w:cs="Arial" w:eastAsia="Arial" w:hAnsi="Arial"/>
          <w:sz w:val="14"/>
          <w:szCs w:val="14"/>
          <w:b w:val="1"/>
          <w:bCs w:val="1"/>
          <w:i w:val="1"/>
          <w:iCs w:val="1"/>
          <w:color w:val="auto"/>
        </w:rPr>
      </w:pPr>
      <w:r>
        <w:rPr>
          <w:rFonts w:ascii="Times New Roman" w:cs="Times New Roman" w:eastAsia="Times New Roman" w:hAnsi="Times New Roman"/>
          <w:sz w:val="14"/>
          <w:szCs w:val="14"/>
          <w:color w:val="auto"/>
        </w:rPr>
        <w:t>increased regulatory focus on the virtual lease-to-own transaction and/or the potential that regulators adopt new regulations or legislation (or existing laws and regulations may be interpreted in a manner) that negatively impact Acima’s ability to offer virtual lease-to-own programs or certain products or services through third-party retailers, and/or that regulators may attempt to force the application of laws and regulations on Acima’s lease-to-own business or certain products or services in inconsistent and unpredictable ways that could increase the compliance-related costs incurred by us, restrict certain business activities and negatively impact our financial and operational performance (see, for example, the regulatory matters discussed in Note M to our consolidated financial statements included in this Annual Report on Form 10-K);</w:t>
      </w:r>
    </w:p>
    <w:p>
      <w:pPr>
        <w:spacing w:after="0" w:line="15" w:lineRule="exact"/>
        <w:rPr>
          <w:rFonts w:ascii="Arial" w:cs="Arial" w:eastAsia="Arial" w:hAnsi="Arial"/>
          <w:sz w:val="14"/>
          <w:szCs w:val="14"/>
          <w:b w:val="1"/>
          <w:bCs w:val="1"/>
          <w:i w:val="1"/>
          <w:iCs w:val="1"/>
          <w:color w:val="auto"/>
        </w:rPr>
      </w:pPr>
    </w:p>
    <w:p>
      <w:pPr>
        <w:ind w:left="52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automatic bank account drafts for lease payments, which may become disfavored as a payment method for these transactions by regulators and/or providers, or may otherwise become unavailable;</w:t>
      </w:r>
    </w:p>
    <w:p>
      <w:pPr>
        <w:ind w:left="52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product diversity within Acima’s merchandise inventory relative to our traditional store-based lease-to-own business, which can complicate matters such as merchandise repair and disposition of merchandise that is returned and which exposes us to risks associated with products with which we have limited experience;</w:t>
      </w:r>
    </w:p>
    <w:p>
      <w:pPr>
        <w:ind w:left="52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barriers to entry and start-up capital costs to launch a competitor due to the reliance of Acima and its competitors on the store locations and inventories of third-party retailers, and online connections with retailers, rather than incurring the cost to obtain and maintain brick and mortar locations and in-store or in-warehouse inventories;</w:t>
      </w:r>
    </w:p>
    <w:p>
      <w:pPr>
        <w:jc w:val="both"/>
        <w:ind w:left="520" w:hanging="133"/>
        <w:spacing w:after="0" w:line="26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obligations to Acima’s third-party retailers and their service providers for losses stemming from Acima’s failure to perform with respect to its products and services, to comply with applicable laws or regulations or to take steps to protect its third-party retailers’' and their customers’ data and information from being accessed or stolen by unauthorized third-parties, including through cyberattacks;</w:t>
      </w:r>
    </w:p>
    <w:p>
      <w:pPr>
        <w:ind w:left="520" w:hanging="133"/>
        <w:spacing w:after="0" w:line="161" w:lineRule="exact"/>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consumer fraud with respect to Acima’s lease-to-own business and e-commerce business as compared to the traditional store-based Rent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Center Business;</w:t>
      </w:r>
    </w:p>
    <w:p>
      <w:pPr>
        <w:spacing w:after="0" w:line="79"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merchant fraud due to the planned growth in third-party retailers and other merchants from which customers can select products to lease from Acima;</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gross margins compared to the Rent-A-Center segment because Acima generally purchases merchandise it leases to customers at retail, rather than wholesale, prices;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financial, regulatory or other risks associated with the development and implementation of new digital technologies that are intended to enhance the customer and third-party retailer experience and to differentiate Acima from competing consumer offerings, including Acima direct to consumer offerings; and</w:t>
      </w: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Acima to adequately protect its proprietary technologies or to address any claims of infringement by third-parties.</w:t>
      </w:r>
    </w:p>
    <w:p>
      <w:pPr>
        <w:spacing w:after="0" w:line="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These risks could have a material adverse effect on Acima, which could negatively impact our ability to grow the Acima segment and result in a material adverse effect on our results of operations. In addition, these risks have become more significant due to the size of the Acima segment as a percentage of our overall company.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0" w:name="page21"/>
    <w:bookmarkEnd w:id="20"/>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strategy to grow the third-party retailer business depends on our ability to develop and offer robust virtual lease-to-own technology, including algorithmic decisioning programs and waterfall integrations.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our third-party retailer business began as a staffed model, our strategy to grow the third-party retailer business depends on significantly expanding our unstaffed or virtual lease-to-own solution. The acquisitions of Merchants Preferred and Acima Holdings in recent years, including scalable technology offering, robust decision engine, enhanced infrastructure and experienced management team members accelerated the development of our virtual lease-to-own offering. Since 2021, we have further executed on our virtual growth strategy through, among other things, continued investments in Acima’s proprietary offerings, technologies and organizational enhancements. We may not realize the intended benefits from these investments and initiatives. If we are unable to maintain and continuously improve our technologies and decisioning methodologies, our business and financial results may be materially and adversely affected.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compete effectively within the growing e-commerce sector, our business and results of operations may be materially and adversely affected.</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Competition from the e-commerce sector continues to grow and has been accelerated by trends that developed as a result of restrictions implemented due to COVID-19. To compete in this e-commerce sector, we must be able to innovate and develop technologies and digital solutions that appeal to our customer. We utilize virtual capabilities within our Acima and Rent-A-Center segments. There can be no assurance we will be successful in continuing to develop the technologies and digital solutions necessary to grow our e-commerce business in a profitable manner. Certain of our competitors, and a number of e-commerce retailers, have established e-commerce operations against which we compete for customers. It is possible that the increasing competition from the e-commerce sector may reduce or prevent us from growing our market share, gross and operating margins, and may materially and adversely affect our business and results of operations in other ways.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are dependent on effective information management systems. Failure of our systems or those of our host retailers could negatively impact our business, financial condition and results of operations.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utilize integrated information management systems. The efficient operation of our business is dependent on these systems to effectively manage our financial and operational data. The failure of our information management systems to perform as designed due to “bugs,” crashes, computer viruses, security breaches, cyberattacks, phishing attacks, internet failures and outages, operator error, or catastrophic events, and any associated loss of data or interruption of such information management systems for a significant period of time could disrupt our business. If the information management systems sustain repeated failures, we may not be able to manage our store and virtual operations or our Brigit operations, which could have a material adverse effect on our business, financial condition and results of operations. We continuously need to improve and upgrade our systems and technology while maintaining their reliability and integrity. We invest in new information management technology and systems and implement modifications and upgrades to existing systems. These investments include replacing legacy systems, making changes to existing systems, building redundancies, and acquiring new systems and hardware with updated functionality. We take actions and implement procedures designed to ensure the successful implementation of these investments, including the testing of new systems and the transfer of existing data. These efforts may take longer and may require greater financial and other resources than anticipated, may cause distraction of key personnel, may cause disruptions to our existing systems and our business, and may not provide the anticipated benefits. A disruption in our information management systems, or our inability to improve, upgrade, integrate or expand our systems to meet our evolving business requirements, could impair our ability to achieve critical strategic initiatives and could materially and adversely affect our business, financial condition and results of operations. Similar risks associated with Acima host retailer information management systems or information management systems of Brigit’s commercial partners, which we do not control, may also materially and adversely affect our business, financial condition and results of operations.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protect the integrity and security of customer, employee, supplier and host retailer or other third party information, or if our host retailers or other third parties fail to protect the integrity and security of customer information, we could incur significant liability and damage our reputation, and our business could be materially and adversely affected.</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collect, store and process certain personal information provided to us by our customers, including social security numbers, dates of birth, banking information, credit and debit card information and data we receive from consumer reporting companies, including credit report information, as well as certain confidential information about our third-party retailers and employees, among others. Much of this data constitutes confidential personally identifiable information (“PII”) which, if unlawfully accessed, either through a “hacking” attack or otherwise, could subject us to significant liability as further discussed below.</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our knowledge, our business other than the Brigit business has not suffered a significant security breach during 2024 or during 2025 through February 25, 2025, nor has the Brigit business suffered a significant security breach since being acquired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4"/>
          <w:szCs w:val="14"/>
          <w:color w:val="auto"/>
        </w:rPr>
        <w:t>by Upbound and through February 25, 2025, the date of this Annual Report on Form 10-K. However, despite instituted safeguards for the protection of such information, our systems are subject to significant risk of compromise from increasingly aggressive and sophisticated cyberattacks, including hacking, computer viruses, malicious or destructive code, ransomware, social engineering attacks (including phishing and impersonation), denial-of-service attacks and other attacks and similar disruptions from the unauthorized use of or access to information technology systems. Our IT systems are subject to constant attempts to gain unauthorized access in order to disrupt our business operations and capture, misappropriate, destroy or manipulate various types of information that we rely on, including confidential PII or other confidential information. In addition, one of our employees, contractors or other third parties with whom we do business may attempt to circumvent our security measures in order to obtain such information, or if a third party we are engaged with suffers a breach, we could potentially also suffer from the loss of such information. Loss or misuse of customer, employee, supplier or third-party retailer information could disrupt our operations, damage our reputation, and expose us to claims from customers, employees, suppliers, third-party retailers, bank partners, regulators and other persons, any of which could have a material adverse effect on our business, financial condition and results of operations. Successful data breaches or other cybersecurity incidents at other companies, whether or not we are involved, could lead to a general loss of customer confidence that could similarly negatively affect us, including harming the market perception of the effectiveness of our security measures or financial technology in general. Further, if any such compromise, breach or misuse is not detected quickly, the effect could be compounded. The costs associated with information security, such as increased investment in technology, the costs of compliance with privacy laws and industry standards, fines, penalties, or liability, and costs incurred to prevent or remediate information security breaches, could materially and adversely affect our business. In addition, we rely on the secure operation of our website and other third-party systems generally to assist us in the collection and transmission of the sensitive data we collect. Similar risks associated with Acima host retailers’, Brigit’s bank partners’ or other service providers’ failure to protect the integrity and security of customer information, which we do not control, may also materially and adversely affect our business, financial condition and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achieve and maintain effective internal controls could have a material adverse effect on our business.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Effective internal controls are necessary for us to provide reliable financial reports. If we cannot provide reliable financial reports, our brand and operating results could be harmed. Additionally, as a public company, we are required to document and test our internal control over financial reporting pursuant to Section 404 of the Sarbanes-Oxley Act of 2002, as amended (“Sarbanes-Oxley”), so that our management can certify, on an annual basis, that our internal control over financial reporting is effective. We are also required to, among other things, establish and periodically evaluate procedures with respect to our disclosure controls and procedures.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While we continue to evaluate and improve our internal controls, we cannot be certain that these measures will ensure that we implement and maintain adequate controls over our financial processes and reporting in the future. In addition, we may face challenges integrating Brigit, which was not subject to the rules and regulations promulgated under Sarbanes-Oxley prior to its acquisition by us, into our internal control infrastructure.</w:t>
      </w:r>
    </w:p>
    <w:p>
      <w:pPr>
        <w:spacing w:after="0" w:line="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from time to time, we may not be able to ensure that we can conclude on an ongoing basis that we have effective internal control over financial reporting in accordance with Section 404 of Sarbanes-Oxley. Failure to achieve and maintain an effective internal control environment could cause investors to lose confidence in our reported financial information, which could have a material adverse effect on our ability to raise capital, and may also expose us to potential claims and losses. Additionally, any such failure could subject us to increased regulatory scrutiny, which could also have a material adverse effect on our business and the price of our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industries in which we operate are highly competitive, which could impede our ability to maintain lease volumes and pricing and have a material adverse effect on our operating results.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categories of products we lease and sell from time to time, including furniture, appliances and electronics such as televisions, computers and smartphones, are the subject of intense competition from a number of types of competitors, including national, regional and local operators of lease-to-own stores, virtual lease-to-own companies, traditional and online providers of used goods and merchandise, traditional, “big-box” and e-commerce retailers, fintech firms and others. In addition, the lease-to-own industry faces competition from layaway programs and various types of consumer finance companies, including Buy-Now-Pay-Later, installment, payday and title loan companies that may enable our customers to shop at traditional or online retailers, as well as rental stores that do not offer their customers a purchase option. These competitors may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2" w:name="page23"/>
    <w:bookmarkEnd w:id="22"/>
    <w:p>
      <w:pPr>
        <w:jc w:val="both"/>
        <w:spacing w:after="0" w:line="259" w:lineRule="auto"/>
        <w:rPr>
          <w:sz w:val="20"/>
          <w:szCs w:val="20"/>
          <w:color w:val="auto"/>
        </w:rPr>
      </w:pPr>
      <w:r>
        <w:rPr>
          <w:rFonts w:ascii="Times New Roman" w:cs="Times New Roman" w:eastAsia="Times New Roman" w:hAnsi="Times New Roman"/>
          <w:sz w:val="14"/>
          <w:szCs w:val="14"/>
          <w:color w:val="auto"/>
        </w:rPr>
        <w:t>have significantly greater financial and operating resources, greater name recognition in certain markets, and offer a larger selection of products at more competitive prices than our Rent-A-Center and Acima segments. Competitors with greater financial resources may be able to grow faster than us, including through acquisitions. Our competitors may also employ aggressive marketing strategies involving frequent sales and discounts, including the use of certain products as “loss leaders” to increase customer traffic. Engaging in these pricing strategies could cause a material reduction in our sales revenue and gross margins. Alternatively, we may be unable to or elect not to engage in these pricing strategies, which could decrease our lease volumes. The expansion of digital retail has increased the number and variety of retailers with which we compete, and certain online retailers may have greater brand recognition, social media following and engagement and sophisticated websites than we do.</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these competitors may be willing to offer products and services on an unprofitable basis in an effort to gain market share or be willing to finance or lease certain types of products that we are not willing to or are unable to lease. Additionally, these competitors may be willing to enter into customer leases where services, rather than goods, comprise the significant portion of the lease value, or be willing to engage in other practices related to pricing, compliance, and other areas in which we are not willing to or cannot engage. The increasing competition from all of these sources may also reduce the market share held by our Rent-A-Center and Acima segments.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Acima segment relies heavily on relationships with third-party retailers. An increase in competition, which we continue to face, could cause our third-party retailers to no longer offer the Acima lease-to-own solutions in favor of those of our competitors, or to offer the Acima lease-to-own solutions and the products of our competitors simultaneously at the same store locations, which could slow growth in the Acima segment and limit or reduce profitability. Furthermore, Acima’s lease-to-own competitors may deploy different business models, such as direct-to-consumer strategies, that forego reliance on third-party retailer relationships that may prove to be more successful.</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recently acquired Brigit business also faces significant competition from other providers of EWA and credit builder products and other financial health technology companies, which may adversely impact Brigit's ability to achieve its growth objectives in a timely manner or at all.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retain key employees.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success of Upbound Group, Inc. depends in part upon its ability to retain its executive leadership, management team and other key employees. Key personnel may depart because of a variety of reasons. The loss of these individuals without adequate replacement could materially and adversely affect our ability to sustain and grow our business. The inability to attract and retain qualified individuals, or a significant increase in the costs to do so, would materially and adversely affect our operations.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attract, train and retain managerial personnel and hourly associates in our stores and staffed Acima locations, our reputation, sales and operating results may be materially and adversely affected.</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workforce is comprised primarily of employees who work on an hourly basis. We rely on our sales associates in our Rent-A-Center store locations and staffed Acima locations to provide customers with an enjoyable and informative shopping experience and to help ensure the efficient processing and delivery of products. To grow our operations and meet the needs and expectations of our customers, we must attract, train, and retain a large number of hourly associates, while at the same time controlling labor costs. We compete with other retail businesses as well as restaurants for many candidates for employment at our store locations and staffed Acima locations. These positions have historically had high turnover rates, which can lead to increased training, retention and other costs. Our ability to control labor costs is also subject to numerous external factors and compliance with regulatory structures, including competition for and availability of qualified personnel in a given market, unemployment levels within those markets, governmental regulatory bodies such as the Equal Employment Opportunity Commission and the National Labor Relations Board, prevailing wage rates and wage and hour laws, minimum wage laws, the impact of legislation governing labor and employee relations or benefits, such as the Affordable Care Act, health insurance costs and our ability to maintain good relations with our employees. If we are unable to attract and retain quality employees at reasonable cost, or fail to comply with the regulations and laws impacting personnel, it could have a material adverse effect on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Acts of nature, whether due to climate change, pandemic or otherwise, can disrupt our operations and those of our third-party retailers.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Rent-A-Center store operations, as well as those of our third-party retailers at Acima, are subject to the effects of adverse acts of nature, such as pandemics and other public health crises, winter storms, hurricanes, hail storms, strong winds, earthquakes, tornadoes and wildfires, which have in the past caused damage such as flooding and other damage to our stores and those of our third-party retailers in specific geographic locations, including in Mexico, Puerto Rico, Florida, Louisiana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3" w:name="page24"/>
    <w:bookmarkEnd w:id="23"/>
    <w:p>
      <w:pPr>
        <w:jc w:val="both"/>
        <w:spacing w:after="0" w:line="287" w:lineRule="auto"/>
        <w:rPr>
          <w:sz w:val="20"/>
          <w:szCs w:val="20"/>
          <w:color w:val="auto"/>
        </w:rPr>
      </w:pPr>
      <w:r>
        <w:rPr>
          <w:rFonts w:ascii="Times New Roman" w:cs="Times New Roman" w:eastAsia="Times New Roman" w:hAnsi="Times New Roman"/>
          <w:sz w:val="14"/>
          <w:szCs w:val="14"/>
          <w:color w:val="auto"/>
        </w:rPr>
        <w:t>Texas, and may, depending upon the location and severity of such events, materially and unfavorably impact our business continuity. We cannot guarantee that the amount of any hurricane, windstorm, earthquake, flood, business interruption or other casualty insurance we may maintain from time to time would cover any or all damages caused by any such event.</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the risk of pandemics and other threats to public health, and the reactions of governmental authorities to those emergencies. The lease-to-own industry can benefit during recessionary economic cycles or credit-constrained environments because it provides credit constrained customers with a viable option to obtain merchandise they may not otherwise be able to obtain through other retailers offering traditional financing options. However, there are no assurances that the continuing or future pandemics will not lead to future government actions negatively impacting our business. In addition, pandemics could lead to lasting changes in consumer behavior detrimental to our business.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COVID-19 pandemic and the measures taken in response to it prevented us from continuing our operations in the ordinary course, which had an immediate adverse effect on our business as we experienced operational restrictions, delays on our timing or ability to obtain desired merchandise and increased costs. To the extent that similar measures are implemented in the future in response to a pandemic or other public health or safety crises, our business and results of operations may be adversely affected.</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risks associated with climate change and other environmental impacts and increased focus by stakeholders on environmental issues, including those associated with climate change, could adversely affect our business, financial condition and operating results.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Climatologists predict the long-term effects of climate change and global warming will result in the increased frequency, intensity, unpredictability and duration of weather events, which could significantly disrupt supply chains, potentially impacting our vendors’ costs and the production of products leased at our Rent-A-Center stores as well as our third-party retailers at Acima. These weather events could also lead to an increased rate of temporary store closures and reduced customer traffic at our stores and impact the availability and costs of products, commodities and energy, which in turn may impact our ability to procure goods or services required for the operation of our business at the quantities and levels we require.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concern over climate change may result in new or increased regional, federal or global legal and regulatory requirements to reduce or mitigate the effects of greenhouse gases, including increased disclosure requirements. These requirements may lead to an increase in tax, transportation, utility and other expenses.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Lastly, there is increased focus, including by governmental and non-governmental organizations, investors, customers and communities on these and other environmental sustainability matters, including deforestation, land use, climate impact and recyclability or recoverability of packaging, including plastic. Our reputation could be damaged if we or others in our industries do not act, or are perceived not to act, responsibly with respect to our impact on the environment. Moreover, our customers, stockholders, employees and other stakeholders have diverse expectations, demands and perspectives on these topics, which are continuing to evolve. We may not be able to meet the diverse expectations and demands of all of our stakeholders, which could result in adverse publicity, harm our reputation, lead to claims against us and affect our relationships with our customers and employees, and subject us to legal and operational risks, any of which could have a material adverse effect on our business. Our host retailers in our Acima segment may face similar risks, which could adversely impact the results of our Acima segment.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Franchising segment is dependent on the ability and success of our third-party franchisees, over which we have limited control.</w:t>
      </w:r>
    </w:p>
    <w:p>
      <w:pPr>
        <w:spacing w:after="0" w:line="96"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The franchisees of our Franchising segment are independent third-party businesses that are contractually obligated to operate in accordance with the operational and other standards set forth in their respective franchise agreements. Although we evaluate potential franchisee candidates before entering into a franchisor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franchisee relationship with them, we cannot be certain that management of a given candidate will have the business acumen or financial resources necessary to operate successful franchises in their approved territories. Because franchisees are independent businesses and not employees, we are not able to control them to the same extent as our Rent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Center stores, and the ultimate success and quality of a franchise ultimately rests with the franchisee. Certain state franchise laws may also limit our ability to terminate, not renew or modify our franchise agreements. Our franchisees may fail in key areas, or experience significant business or financial difficulties, which could slow our growth, reduce our franchise fees, royalties and revenue, damage our reputation, expose us to regulatory enforcement actions or private litigation and/or cause us to incur additional costs. If we fail to adequately mitigate any such future losses, our business and financial condition could be materially and adversely affected.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4" w:name="page25"/>
    <w:bookmarkEnd w:id="24"/>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businesses are typically subject to seasonality, which causes our revenues and operating cash flows to fluctuate and may adversely affect our ability to borrow on our credit facilities, service our debt obligations and fund our operations.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typically experiences moderate seasonality with the first quarter of each fiscal year generally providing higher sales than any other quarter, due to customers’ receipt of federal tax refunds, followed by reduced demand in the second and third quarters of each fiscal year. This seasonality requires us to manage our cash flows over the course of the year. If our revenues were to fall substantially below what we would normally expect during certain periods, our annual financial results, our ability to borrow on our credit facilities, and our ability to service our debt obligations or fund our operations could be adversely affected.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current insurance program may expose us to unexpected costs and negatively affect our financial performance.</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insurance coverage is subject to deductibles, self-insured retentions, limits of liability and similar provisions that we believe are prudent based on our operations. We may elect to accept higher deductibles or reduce the amount of coverage to reduce insurance cost. Because we self-insure a significant portion of expected losses under our workers’ compensation, general liability, vehicle and group health insurance programs, unanticipated changes in any applicable actuarial assumptions and management estimates underlying our recorded liabilities for these losses, including potential increases in medical and indemnity costs, could result in materially different amounts of expense than expected under these programs. This could have a material adverse effect on our financial condition and results of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were not able to send or accept electronic payments, our business and financial results could be adversely affected.</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rely on access to various financial networks to process payments received from our customers. These include credit card and debit card networks and the Automated Clearing House (ACH) network. Our ability to participate in these networks depends on our compliance with applicable laws and regulations and with the complex rules of each network and any related industry supervisory groups. If we fail to comply with legal requirements or rules and best practices established by a network or industry group, including those related to data security, we could be assessed significant monetary fines and other penalties, including, in certain cases, the termination of our right to use the applicable network or system. Such fines and penalties, and any disruption in or termination of our ability to process customer payments electronically, could materially adversely affect our business and our brand.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integration and use of AI and similar technology in our business presents risks and challenges that could adversely affect our business, reputation, and results of operations.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in the early stages of integrating AI in our business, including machine learning AI and generative AI tools that collect and analyze data to support our business operations and customer-facing interactions. For example, we recently acquired Brigit, which offers certain products that depend on the use of AI. We also use products and services from third parties that use integrated AI technology. The use of AI tools and technology presents many challenges and risks to our business. The development and deployment of AI systems involve inherent technical complexities and uncertainties, and our AI systems may encounter unexpected technical difficulties, limitations or errors, including inaccuracies in data processing or flawed algorithms, which could compromise the reliability and effectiveness of our products and services based on AI. In addition, our competitors or other third parties may incorporate AI into their products more quickly or more successfully than us, which could impair our ability to compete effectively.</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use of AI applications, including large language models,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or reputational harm, competitive harm, regulatory scrutiny or legal liability.</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introduction of AI technologies into our products and services may result in new or enhanced governmental or regulatory scrutiny, litigation, confidentiality or security risks, ethical concerns or other complications that could adversely affect our business, reputation or financial results. The regulatory landscape governing AI technologies is evolving rapidly, and changes in laws, regulations or enforcement practices may impose new compliance requirements, restrict certain AI applications or increase our regulatory obligations, which could negatively impact our business and results of operations.</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Brigit business fails to comply with its obligations under license or technology agreements with third parties, or if Brigit cannot license rights to use technologies on reasonable terms, we could be required to pay damages, lose license rights that are critical to Brigit’s business or be unable to commercialize new products and services in the future.</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Brigit business licenses certain third-party intellectual property that is important to Brigit’s business, including data, technologies, content and software from third parties, and in the future Brigit may license additional valuable third-party data,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5" w:name="page26"/>
    <w:bookmarkEnd w:id="25"/>
    <w:p>
      <w:pPr>
        <w:jc w:val="both"/>
        <w:spacing w:after="0" w:line="257" w:lineRule="auto"/>
        <w:rPr>
          <w:sz w:val="20"/>
          <w:szCs w:val="20"/>
          <w:color w:val="auto"/>
        </w:rPr>
      </w:pPr>
      <w:r>
        <w:rPr>
          <w:rFonts w:ascii="Times New Roman" w:cs="Times New Roman" w:eastAsia="Times New Roman" w:hAnsi="Times New Roman"/>
          <w:sz w:val="14"/>
          <w:szCs w:val="14"/>
          <w:color w:val="auto"/>
        </w:rPr>
        <w:t>intellectual property or technology. If Brigit fails to comply with any of the obligations under Brigit’s license agreements or other applicable agreements, it may be required to pay damages and the licensor may have the right to terminate the license, which would cause Brigit to lose valuable rights, and could prevent Brigit from selling certain of its products and services, or inhibit its ability to commercialize current or future products and services. Brigit’s business may suffer if any current or future licenses or other grants of rights to our Brigit business terminate, if the licensors (or other applicable counterparties) fail to abide by the terms of the license or other applicable agreement, if the licensors fail to enforce the licensed intellectual property rights against infringing third parties, or if the licensed intellectual property rights are found to be invalid or unenforceable. Third parties from whom our Brigit business currently licenses data, intellectual property and technology could refuse to renew those agreements upon their expiration or could impose additional terms and fees that we otherwise would not deem acceptable, requiring Brigit to obtain the data, intellectual property or technology from another third party, if any is available, or to pay increased licensing fees or be subject to additional restrictions on Brigit’s use of such third-party data, intellectual property or technology.</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Brigit Business’s Instant Cash advances expose Brigit to the repayment risk of Brigit’s customers and if Brigit’s underwriting criteria for making advances is not sufficient to mitigate against this risk, or if the data Brigit uses to underwrite is inaccurate or incomplete, Brigit’s financial condition and operating results could be adversely affected if a substantial number of Brigit’s customers fail to repay the Instant Cash advance they receive.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Instant Cash advance product that we acquired through our acquisition of Brigit exposes Brigit to financial losses if Brigit’s customers do not repay the advance provided. The timing and volume of advance repayments have a significant impact on Brigit’s financial results and cash flows. If a large number of Brigit’s customers do not repay advances, Brigit’s financial condition and operating results would be adversely affected.</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Brigit’s underwriting standards may not offer adequate protection against the risk of non-payment, especially in periods of economic uncertainty. Brigit relies on consumer's bank account data obtained through a third party in order to develop its underwriting models and in order to underwrite any particular consumer's advance. If this data becomes unavailable or is inaccurate or incomplete, Brigit’s underwriting may not adequately predict repayment of advances.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can be no assurance that Brigit’s performance forecasts will be accurate. In periods with changing economic conditions and continued or renewed inflationary pressures, accurately forecasting repayment of advances is more difficult. Brigit’s allowance for losses is an estimate, and if actual repayment defaults are materially greater than the allowance for losses, or more generally, if Brigit’s forecasts are not accurate, Brigit’s financial position, liquidity and results of operations could be materially adversely affected.</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Brigit business’s present or any future key banking relationships are terminated and Brigit is not able to secure or successfully migrate client portfolios to a new bank partner or partners, Brigit’s business would be adversely affected.</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Brigit business relies on agreements with bank partners, including Coastal Community Bank, to provide certain of its products and services to customers. These agreements and corresponding regulations governing banks and financial institutions may give bank partners substantial discretion in approving certain aspects of Brigit’s business practices, including the application and qualification procedures for Brigit’s customers and require Brigit to comply with certain legal requirements. Discretionary actions by bank partners under these agreements could impose material limitations to, or have a material adverse effect on, Brigit’s business, financial condition and results of operations. If Brigit’s relationship with any of its bank partners is terminated, Brigit would need to find another financial institution to provide those services, which could be difficult and expensive. If Brigit is unable to find a replacement financial institution, Brigit would not be able to offer certain of its products and services to its customers, which would have a material adverse effect on Brigit’s business, financial condition and results of operations. Furthermore, Brigit’s financial results could be adversely affected if the costs associated with any of its bank partners materially change or if any penalty or claim for damages is imposed as a result of Brigit’s breach of its agreements with them.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Legal and Compliance Matters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6" w:lineRule="exact"/>
        <w:rPr>
          <w:sz w:val="20"/>
          <w:szCs w:val="20"/>
          <w:color w:val="auto"/>
        </w:rPr>
      </w:pPr>
    </w:p>
    <w:p>
      <w:pPr>
        <w:jc w:val="both"/>
        <w:spacing w:after="0" w:line="185" w:lineRule="exact"/>
        <w:rPr>
          <w:sz w:val="20"/>
          <w:szCs w:val="20"/>
          <w:color w:val="auto"/>
        </w:rPr>
      </w:pPr>
      <w:r>
        <w:rPr>
          <w:rFonts w:ascii="Times New Roman" w:cs="Times New Roman" w:eastAsia="Times New Roman" w:hAnsi="Times New Roman"/>
          <w:sz w:val="14"/>
          <w:szCs w:val="14"/>
          <w:color w:val="auto"/>
        </w:rPr>
        <w:t>In addition to laws and regulations regarding our lease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 transactions and those impacting products and services currently offered by Brigit, we are subject to consumer protection and data privacy laws and other laws and regulations. As we execute on our strategic plans, we may continue to expand into complementary businesses that engage in financial, banking or lending services, or lease-to-own or rent-to-rent transactions involving products that we do not currently offer our customers, all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6" w:name="page27"/>
    <w:bookmarkEnd w:id="26"/>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which may be subject to a variety of additional statutory and regulatory requirements not presently applicable to our operations. We have defended against, continue to defend against, and may in the future defend against, legal and regulatory proceedings from time to time, including class action lawsuits and regulatory enforcement proceedings alleging various regulatory violations. We have incurred and may in the future incur significant damages, fines, penalties, obligations to post bonds pending appeal or legal fees or expenses in connection with such legal and regulatory proceedings or may pay significant amounts to settle legal or regulatory proceedings, which could materially and adversely affect our results of operations, liquidity and capital resources. The failure to pay any material judgment would constitute a default under the ABL Credit Facility, the Term Loan Facility and the Notes (as defined in </w:t>
      </w:r>
      <w:r>
        <w:rPr>
          <w:rFonts w:ascii="Times New Roman" w:cs="Times New Roman" w:eastAsia="Times New Roman" w:hAnsi="Times New Roman"/>
          <w:sz w:val="14"/>
          <w:szCs w:val="14"/>
          <w:i w:val="1"/>
          <w:iCs w:val="1"/>
          <w:color w:val="auto"/>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Results of Operations” </w:t>
      </w:r>
      <w:r>
        <w:rPr>
          <w:rFonts w:ascii="Times New Roman" w:cs="Times New Roman" w:eastAsia="Times New Roman" w:hAnsi="Times New Roman"/>
          <w:sz w:val="14"/>
          <w:szCs w:val="14"/>
          <w:color w:val="auto"/>
        </w:rPr>
        <w:t>contained in Item 7 of this Annual Report on Form 10-K). In addition, we may become subject to significant restrictions on or changes to our business practices, operations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methods, including pricing, account management, or similar terms, as a result of existing or future governmental or other proceedings or settlements, any of which could significantly harm our reputation, both with consumers as well as with third-party retailers and materially and adversely affect our business, prospects and financial condition.</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an attempt to limit costly and lengthy consumer, employee and other litigation, including class actions, we require our customers and, with the exception of our Brigit business, our employees to sign arbitration agreements, including class action waivers. However, in addition to opt-out provisions contained in such agreements, judicial, regulatory or legislative actions may restrict or eliminate the enforceability of such agreements and waivers. In the past, various courts and administrative authorities have concluded that arbitration agreements with class action waivers are unenforceable, particularly where a small dollar amount is in controversy on an individual basis. If we are not permitted to use arbitration agreements and/or class action waivers, or if the enforceability of such agreements and waivers is restricted or eliminated, we could incur increased costs to resolve legal actions brought by customers, employees and others, as we would be forced to participate in more expensive and lengthy dispute resolution processes, any of which could have a material adverse effect on our business. See Note M to our consolidated financial statements included in this Annual Report on Form 10-K for additional information regarding certain legal and regulatory proceedings impacting our company.</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outcome of the previously disclosed investigations by the CFPB, multi-state attorneys' general group and the New York Attorney General into certain of Acima’s business practices is uncertain and may materially and adversely affect our business.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2020, prior to the December 2020 execution of the definitive agreement to acquire Acima, Acima received a Civil Investigative Demand (the “CID”) from the CFPB requesting certain information, documents and data relating to Acima’s products, services and practices from January 1, 2015 forward. The stated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responded to all CIDs and cooperated with the CFPB throughout their investigation.</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May 2023, in accordance with the CFPB’s Notice and Opportunity to Respond and Advise (“NORA”) process, the CFPB staff notified Acima that the staff may recommend that the CFPB take legal action against Acima based on allegations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and seek remedies including restitution, disgorgement, damages, injunctive relief, and civil money penalties. In June 2023, Acima submitted its response to the NORA notice.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second quarter 2024, Acima was informed by the CFPB staff that the CFPB authorized “sue or settle” authority pursuant to the NORA process. The CFPB subsequently provided Acima with a settlement proposal. Although Acima engaged in discussions with the CFPB regarding its settlement demands, Acima’s efforts to negotiate a resolution were met with the CFPB’s threat of imminent commencement of litigation, refusal to meet with Acima in person to discuss a potential resolution, and what Acima believes were unsupportable demands.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on July 22, 2024, Acima filed a lawsuit against the CFPB in the U.S. District Court for the Eastern District of Texas. Acima seeks to halt what it contends is the CFPB’s unauthorized attempt to expand its authority as limited by federal law and usurp the long-standing, comprehensive state regulatory framework governing the lease-to-own industry. Acima filed this action reluctantly, only after concluding in its judgment that the CFPB was not prepared to settle with Acima on acceptable terms. On July 26, 2024, the CFPB filed a lawsuit against Acima and its former founder in the U.S. District Court for the District of Utah, alleging violations of the consumer financial protection laws and regulations described above in connection with the CFPB’s May 2023 NORA notice. The CFPB’s lawsuit seeks injunctive relief, unspecified monetary relief and civil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penalties and other relief. Both lawsuits remain pending. Acima will vigorously prosecute the lawsuit it filed and defend itself against the CFPB’s lawsuit.</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cannot provide any assurance that Acima’s litigation against the CFPB will be successful or that Acima will be successful in defending against the CFPB’s litigation and that the CFPB’s ongoing regulatory efforts will not lead to the imposition of damages, fines, penalties, restitution, other monetary liabilities, sanctions or other relief, and/or require changes to Acima’s business practices or operations that could materially and adversely affect our business, financial condition, results of operations or reputation.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our acquisition of Acima, $45 million of a $50 million initial holdback escrowed at the closing of the transaction remains available for fines, penalties or customer restitution paid in connection with a resolution of the CFPB matter, including an adverse litigation outcome. Although the CFPB’s complaint does not contain a specific monetary demand, the CFPB’s initial monetary settlement demand exceeded the remaining $45 million holdback by a substantial amount. Therefore, there can be no assurance that the remaining escrowed amount will be sufficient to address all covered losses that may ultimately be incurred for this matter. In addition, Acima has incurred and expects to continue to incur substantial legal and related expenses associated with this matter, which are not recoverable from the holdback amount.</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Acima is also subject to the pending multi-state attorneys’ general matter and the pending New York Attorney General litigation, as described further in Note M to our consolidated financial statements included in this Annual Report on Form 10-K. As with the CFPB litigation described above and in Note M, there can be no assurance that either of these additional matters will not result in findings or alleged violations of consumer financial protection laws that could lead to enforcement actions, proceedings or additional litigation, whether by the multi-state attorneys’ general group, other state or federal agencies, or other parties, and the imposition of damages, fines, penalties, restitution, other monetary liabilities, sanctions, settlements or changes to Acima’s business practices or operations that could materially and adversely affect our business, financial condition, results of operations or reputation.</w:t>
      </w:r>
    </w:p>
    <w:p>
      <w:pPr>
        <w:spacing w:after="0" w:line="27" w:lineRule="exact"/>
        <w:rPr>
          <w:sz w:val="20"/>
          <w:szCs w:val="20"/>
          <w:color w:val="auto"/>
        </w:rPr>
      </w:pPr>
    </w:p>
    <w:p>
      <w:pPr>
        <w:jc w:val="both"/>
        <w:spacing w:after="0" w:line="185" w:lineRule="exact"/>
        <w:rPr>
          <w:sz w:val="20"/>
          <w:szCs w:val="20"/>
          <w:color w:val="auto"/>
        </w:rPr>
      </w:pPr>
      <w:r>
        <w:rPr>
          <w:rFonts w:ascii="Times New Roman" w:cs="Times New Roman" w:eastAsia="Times New Roman" w:hAnsi="Times New Roman"/>
          <w:sz w:val="14"/>
          <w:szCs w:val="14"/>
          <w:b w:val="1"/>
          <w:bCs w:val="1"/>
          <w:i w:val="1"/>
          <w:iCs w:val="1"/>
          <w:color w:val="auto"/>
        </w:rPr>
        <w:t>Federal and state regulatory authorities are increasingly focused on the lease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to</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own industry, and any negative change in these laws or regulations or the passage of unfavorable new laws or regulations or the manner in which any of these are enforced or interpreted could expose us to significant additional costs or compliance-related burdens and could require us to alter our business practices in a manner that may be materially adverse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-285115</wp:posOffset>
            </wp:positionV>
            <wp:extent cx="55880" cy="36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-285115</wp:posOffset>
            </wp:positionV>
            <wp:extent cx="55880"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there is currently no comprehensive federal legislation regulating rental purchase transactions, federal regulatory authorities such as the United States Federal Trade Commission and the CFPB are increasingly focused on the subprime financial marketplace in which the lease-to-own industry operates and adverse federal legislation may be enacted in the future. Any federal agency, or any state regulatory authority, may propose and adopt new regulations or interpret existing regulations in a manner that could materially increase both our costs of complying with laws and the risk that we could be sued or be subject to government sanctions if we are not in compliance or to alter our business practices in a manner that reduces the economic potential of our operations. Any such new laws, regulations or interpretations could include, by way of example only, those that seek to re-characterize store-based or virtual lease-to-own transactions as credit sales and to apply consumer credit laws and regulations to our business. In addition, federal and state regulators are increasingly holding businesses operating in the lease-to-own industry to higher standards of monitoring, disclosure and reporting, notwithstanding the adoption of any new laws or regulations applicable to our industry. Furthermore, regulators and courts may apply laws or regulations to our businesses in incorrect, inconsistent or unpredictable ways that may make our compliance more difficult, expensive and uncertain. This increased attention at the federal and state levels, as well as the potential for scrutiny by certain municipal governments, could increase our compliance costs significantly and materially and adversely affect the manner in which we operate. In addition, legislative or regulatory proposals regarding our industry, or interpretations of them, may subject Upbound Group, Inc. to “headline risks” whereby media attention to these matters could negatively impact our business in a particular region or in general or investor sentiment, and may materially and adversely affect our securities. Moreover, an adverse outcome from a lawsuit, even one against one of our competitors, could result in changes in the way we and others in the industry do business, possibly leading to significant costs or decreased revenues or profitability. See Note M to our consolidated financial statements included in this Annual Report on Form 10-K for additional information regarding certain legal and regulatory proceedings impacting our company.</w:t>
      </w:r>
    </w:p>
    <w:p>
      <w:pPr>
        <w:spacing w:after="0" w:line="37" w:lineRule="exact"/>
        <w:rPr>
          <w:sz w:val="20"/>
          <w:szCs w:val="20"/>
          <w:color w:val="auto"/>
        </w:rPr>
      </w:pPr>
    </w:p>
    <w:p>
      <w:pPr>
        <w:jc w:val="both"/>
        <w:spacing w:after="0" w:line="192" w:lineRule="exact"/>
        <w:rPr>
          <w:sz w:val="20"/>
          <w:szCs w:val="20"/>
          <w:color w:val="auto"/>
        </w:rPr>
      </w:pPr>
      <w:r>
        <w:rPr>
          <w:rFonts w:ascii="Times New Roman" w:cs="Times New Roman" w:eastAsia="Times New Roman" w:hAnsi="Times New Roman"/>
          <w:sz w:val="14"/>
          <w:szCs w:val="14"/>
          <w:b w:val="1"/>
          <w:bCs w:val="1"/>
          <w:i w:val="1"/>
          <w:iCs w:val="1"/>
          <w:color w:val="auto"/>
        </w:rPr>
        <w:t>Our lease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to</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own transactions are regulated by and subject to the requirements of federal and state laws and regulations that vary by jurisdiction, which require significant compliance costs and expose us to regulatory action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-177800</wp:posOffset>
            </wp:positionV>
            <wp:extent cx="55880"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-177800</wp:posOffset>
            </wp:positionV>
            <wp:extent cx="5588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Currently, 46 states, the District of Columbia and Puerto Rico have passed laws that regulate rental purchase transactions as separate and distinct from credit sales. One additional state has a retail installment sales statute that excludes leases, including lease-to-own transactions, from its coverage if the lease provides for more than a nominal purchase price at the end of the rental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4"/>
          <w:szCs w:val="14"/>
          <w:color w:val="auto"/>
        </w:rPr>
        <w:t>period. The specific rental purchase laws generally require certain contractual and advertising disclosures. They also provide varying levels of substantive consumer protection, such as requiring a grace period for late fees and contract reinstatement rights in the event the rental purchase agreement is terminated. The rental purchase laws of 11 states limit the total amount that may be charged over the life of a rental purchase agreement, and the laws of six states limit the cash prices for which we may offer merchandise. Furthermore, there is currently no comprehensive federal legislation regulating lease-to-own transactions. We have incurred and will continue to incur substantial costs to comply with federal and state laws and regulations, many of which are evolving, unclear and inconsistent across various jurisdictions as described above. In addition to compliance costs, we have in the past and may continue to incur substantial expenses to respond to federal and state government investigations and enforcement actions, proposed fines and penalties, criminal or civil sanctions, and private litigation, including those arising out of our or our franchisees’ alleged violations of existing laws and/or regulations.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Similar to other consumer transactions, our lease-to-own transactions are also governed by various federal and state consumer protection statutes, in addition to the lease-to-own purchase statutes under which we operate, that provide various consumer remedies, including monetary penalties, for violations. We have been and continue to be subject to disputes alleging that we have violated some of these statutory provisions, including matters initiated by regulatory authorities. See “</w:t>
      </w:r>
      <w:r>
        <w:rPr>
          <w:rFonts w:ascii="Times New Roman" w:cs="Times New Roman" w:eastAsia="Times New Roman" w:hAnsi="Times New Roman"/>
          <w:sz w:val="14"/>
          <w:szCs w:val="14"/>
          <w:i w:val="1"/>
          <w:iCs w:val="1"/>
          <w:color w:val="auto"/>
        </w:rPr>
        <w:t>The outcome of the previously disclosed investigations by the CFPB, multi-state attorneys' general group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the New York Attorney General into certain of Acima’s business practices is uncertain and may materially and adversely affect our business</w:t>
      </w:r>
      <w:r>
        <w:rPr>
          <w:rFonts w:ascii="Times New Roman" w:cs="Times New Roman" w:eastAsia="Times New Roman" w:hAnsi="Times New Roman"/>
          <w:sz w:val="14"/>
          <w:szCs w:val="14"/>
          <w:color w:val="auto"/>
        </w:rPr>
        <w:t>” above and Note M to our consolidated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statements included in this Annual Report on Form 10-K for additional information regarding certain legal and regulatory proceedings impacting our company.</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Laws and regulations regarding information security and data collection, use and privacy are increasingly rigorous and subject to change, which may cause us to incur significant compliance costs and subject us to adverse impacts in the event of actual or alleged compliance failures.</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regulatory environment related to information security and data collection, use and privacy is increasingly rigorous, with new and constantly-changing requirements applicable to certain aspects of our business, including our collection practices (as well as those of third parties), the manner in which we contact our customers, our decisioning process regarding whether to lease merchandise to customers or otherwise approve customers for our products or services, any payment information we may decide to furnish to consumer reporting agencies, our credit reporting practices, our ability to share customer information between our affiliated businesses and with third parties, and the manner in which we process and store certain customer, employee and other information. All states have adopted laws requiring the timely notification to individuals and, at times, regulators, the media or credit reporting agencies, if a company experiences the unauthorized access or acquisition of PII. Many states have enacted additional data privacy and security laws and regulations that govern the collection, use, disclosure, transfer, storage, disposal, and protection of PII and other information. For instance, the California Consumer Privacy Act of 2018 (the “CCPA”), which became effective on January 1, 2020, contains, among other things, new disclosure obligations for businesses that collect PII from California residents and affords those individuals numerous rights relating to their PII. The CCPA has changed the manner in which we collect, store and use consumer data and has resulted in increased regulatory oversight, litigation risks and costs of compliance. Furthermore, the California Privacy Rights Act (the “CPRA”) was passed in November 2020 and is intended to augment and expand the CCPA, and many of the CPRA's provisions became effective on January 1, 2023 (with respect to information collected from and after January 2022). The CPRA significantly modified the CCPA, including by expanding consumers' rights with respect to certain personal information and creating a new state agency that is vested with authority to implement and enforce the CCPA and the CPRA. Moreover, other states have adopted and may continue to adopt privacy-related laws whose restrictions and requirements differ from those of California, which could require us to design, implement and maintain different types of state-based, privacy-related compliance controls and programs simultaneously in multiple states, thereby further increasing the complexity and cost of compliance. These costs, including others relating to increased regulatory oversight and compliance, could materially and adversely affect our business. In addition, given that privacy and customer data protection laws may be interpreted and applied inconsistently and are in a state of flux that varies by jurisdiction, our data protection policies and practices may not be consistent with the most recent interpretations and applications of such laws at all times. Complying with these varying requirements could cause us to incur substantial costs or require us to change our business practices in a manner materially adverse to our business. Any failure, or perceived failure, by us to comply with our own privacy policies or with any legal or regulatory requirements or orders or other privacy or consumer protection related laws and regulations could result in proceedings or actions against us by governmental entities or others, subject us to significant penalties and negative publicity and materially and adversely affect our operating results.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Our reputation, ability to do business and operating results may be impaired by improper conduct by any of our employees, agents or business partners, including third-party retailers.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While our policies and compliance programs are intended to promote legal and ethical business practices, there is a risk that our employees, agents or business partners, including third-party retailers and franchisees, could engage in misconduct that materially and adversely affects our reputation, ability to do business or our operating results or financial condition. For instance, our operations in the U.S. and abroad are subject to certain laws generally prohibiting companies and their intermediaries from making improper payments to government officials for the purpose of obtaining or retaining business, such as the U.S. Foreign Corrupt Practices Act, and similar anti-bribery laws in other jurisdictions. Violations by our employees, contractors or agents of policies and procedures we have implemented to ensure compliance with these laws could subject us to civil or criminal investigations in the U.S. and in other jurisdictions, could lead to substantial civil and criminal, monetary and non-monetary penalties, and related stockholder lawsuits, could cause us to incur significant legal fees and could damage our reputation. Other misconduct, including discrimination or harassment in the workplace, illegal or suspicious activity and breaches in the protection of consumer information, could similarly subject us to regulatory sanctions and negatively impact our reputation, business, operating results or financial condition. In addition, misconduct by our employees or agents could prompt regulators to allege or to determine based upon such misconduct that we have not established adequate supervisory systems and procedures to inform employees of applicable rules or to detect violations of such rules. Furthermore, alleged or perceived misconduct by our employees, agents or business partners, including third-party retailers, even if not substantiated, may attract negative publicity that could damage our reputation and impair our ability to maintain and develop relationships with our vendors, customers and other third-parties with whom we do business and to attract and retain employees.</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third-party retailers, demand for our goods and the transactions we offer could decrease and our business could be materially and adversely affected.</w:t>
      </w:r>
    </w:p>
    <w:p>
      <w:pPr>
        <w:spacing w:after="0" w:line="51" w:lineRule="exact"/>
        <w:rPr>
          <w:sz w:val="20"/>
          <w:szCs w:val="20"/>
          <w:color w:val="auto"/>
        </w:rPr>
      </w:pPr>
    </w:p>
    <w:p>
      <w:pPr>
        <w:jc w:val="both"/>
        <w:spacing w:after="0" w:line="171" w:lineRule="exact"/>
        <w:rPr>
          <w:sz w:val="20"/>
          <w:szCs w:val="20"/>
          <w:color w:val="auto"/>
        </w:rPr>
      </w:pPr>
      <w:r>
        <w:rPr>
          <w:rFonts w:ascii="Times New Roman" w:cs="Times New Roman" w:eastAsia="Times New Roman" w:hAnsi="Times New Roman"/>
          <w:sz w:val="14"/>
          <w:szCs w:val="14"/>
          <w:color w:val="auto"/>
        </w:rPr>
        <w:t>Certain third parties, including consumer advocacy groups, media reports, and federal and state government officials have asserted that laws and regulations regarding lease-to-own transactions should be broader and more restrictive. The consumer advocacy groups and media reports generally focus on the total cost to a consumer to acquire an item, which is often alleged to be higher than the interest typically charged by banks or similar lending institutions to consumers with better credit histories seeking to borrow money to finance purchases. This “cost-of-rental” amount, which is generally defined as total lease fees paid in excess of the “retail” price of the goods, is from time to time characterized by consumer advocacy groups and media reports as predatory or abusive without discussing the fundamental difference between a credit transaction and a lease transaction, lease customers' early purchase options, the fact that consumers can return their leased merchandise at any time without penalty or further payment obligations or the numerous other benefits to consumers of lease-to-own programs compared to traditional financing, or the lack of viable alternatives available to many of these consumers to obtain critical household items. If the negative characterization of lease-to-own transactions becomes increasingly accepted by consumers or our third-party retailers and merchant partners, demand for our products and services could significantly decrease, which could have a material adverse effect on our business, results of operations and financial condition. Additionally, if the negative characterization of lease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 transactions is accepted by regulators and legislators, our business may become subject to more restrictive laws and regulations and more stringent enforcement of existing laws and regulations, any of which could have a material adverse effect on our business, results of operations and financial condition. The vast expansion and reach of technology, including social media platforms, has increased the risk that our reputation could be significantly impacted by these negative characterizations in a relatively short amount of time. If we are unable to quickly and effectively respond to such characterizations, we may experience declines in customer loyalty and traffic and our relationships with our third-party retailers may suffer, which could have a material adverse effect on our business, results of operations and financial condition. Additionally, any failure by our competitors, including smaller, regional competitors, to comply with the laws and regulations applicable to the traditional and/or virtual lease-to-own models, or any actions by our competitors that are challenged by consumers, advocacy groups, the media or governmental agencies or entities as being abusive or predatory, could result in Upbound Group, Inc. being perceived as engaging in similar unlawful or inappropriate activities or business practices, merely because we operate in the same general industries as such competitors. Such perception, whether or not accurate, could have a material adverse effect on our business, results of operations and financial condition. Brigit's EWA business and other offerings to underserved consumers face similar risks and negative characterizations from time to time by certain third parties, including consumer advocacy groups, media reports, and federal and state government officials.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0" w:name="page31"/>
    <w:bookmarkEnd w:id="30"/>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Disputes with or involving our franchisees may lead to litigation with our franchisees, which may materially and adversely affect our relationships with franchisees or our reputation, or cause us to incur significant expenses that materially and adversely affect our results of operations.</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franchisor, we are subject to regulation by various federal and state laws and regulations that govern the relationship between us and our franchisees and the offer and sale of franchises. If we fail to comply with these laws, we could be liable for damages to franchisees and fines or other penalties, as well as the loss of franchise fees and ongoing royalty revenues. Although we believe we generally enjoy a positive working relationship with our franchisees, the nature of the franchisor-franchisee relationship may give rise to litigation with our franchisees in the ordinary course of business for a variety of reasons, including disputes related to alleged breaches of contract or wrongful termination under the franchise arrangements. We may also have disputes with franchisees in connection with transactions whereby we have re-franchised previously company-owned locations and sold them to the franchisee, including disputes regarding our indemnification obligations pursuant to those transaction agreements. Further, we may engage in litigation with franchisees to enforce the terms of our franchise agreements and compliance with our brand standards as determined necessary to protect our brand, the consistency of our products and the customer experience, or to enforce any applicable contractual indemnification rights if we are brought into a matter involving a third party due to an alleged act or omission by the franchisee. In addition, we may be subject to claims by our franchisees relating to our franchise disclosure documents, including claims based on financial information contained in those documents. Engaging in such litigation may be costly, time-consuming and may distract management and materially and adversely affect our relationships with or ability to attract new franchisees. Any negative outcome of these or any other claims could materially and adversely affect our results of operations as well as our ability to expand our franchise system and may damage our reputation and brand. Moreover, federal and state laws that regulate substantive aspects of our relationships with franchisees may limit our ability to terminate our franchise arrangements or otherwise resolve conflicts with our franchisees or enforce contractual duties or rights we believe we have with respect to our franchisees, which could materially and adversely affect our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liability or reputational harm for the actions, omissions and liabilities of our franchisees, which could materially and adversely affect our results of operation.</w:t>
      </w:r>
    </w:p>
    <w:p>
      <w:pPr>
        <w:spacing w:after="0" w:line="96"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One of the legal foundations fundamental to the franchise business model has been that, absent special circumstances, a franchisor is generally not responsible for the acts, omissions or liabilities of its franchisees. However, under the franchise business model, we may face claims, liabilities and reputational harm based on vicarious liability, joint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employer liability, or other theories of liability. Expansion of these bases for liability not only could result in expensive litigation with our franchisees, third-parties or government agencies, but also could make it more difficult to appropriately support our franchisees while managing our risk of liability and reputational harm, all of which could impact our results of operations. For instance, on October 27, 2023, the National Labor Relations Board (“NLRB”) issued an amended rule for determining when two or more employers may be found to be a joint employer under the National Labor Relations Act. In March 2024, a federal court struck down the NLRB’s 2023 expanded rule, leaving the NLRB’s prior 2020 rule on joint employment in effect. The NLRB’s 2020 rule requires “substantial direct and immediate control” over one or more “essential terms or conditions of employment” in order to establish joint liability. There is a possibility of further changes in the law from the NLRB, as well as other agencies and state governments that may cause us or our franchisees to be liable or held responsible for unfair labor practices, violations of wage and hour laws, or other violations or require our franchises to conduct collective bargaining negotiations regarding employees of our franchisees. If this occurs, our operating expenses may increase as a result of required modifications to our business practices, increased litigation, governmental investigations or proceedings, administrative enforcement actions, fines and civil liability, which could materially and adversely affect our results of operations.</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protect our intellectual property, or may be alleged to have infringed upon the intellectual property rights of others, which could result in a loss of our competitive advantage, a diversion of resources and a material adverse effect on our business and results of operations.</w:t>
      </w:r>
    </w:p>
    <w:p>
      <w:pPr>
        <w:spacing w:after="0" w:line="37"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The success of our business depends in part on identification of the names “Upbound”, “Rent-A-Center”, “Acima” and “Brigit”, and the success of our lease-to-own, EWA decisioning and other models necessary to offer our products and services depend in large part on our proprietary decisioning algorithms, our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commerce platform and other proprietary technologies that we currently have or may develop in the future. To protect our intellectual property rights, we rely, or may from time to time rely, on a combination of trademark, trade dress, domain name, copyright, trade secret and patent laws, as well as confidentiality and license agreements with our employees, contractors and other third parties with whom we have relationships. However, our efforts to protect our intellectual property rights may not be sufficient or effective to prevent misappropriation or infringement of our intellectual property or proprietary information, which could result in a loss of our competitive advantage. In addition, any of our intellectual property rights may be challenged, which could result in their being narrowed in scope or declared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1" w:name="page32"/>
    <w:bookmarkEnd w:id="31"/>
    <w:p>
      <w:pPr>
        <w:jc w:val="both"/>
        <w:spacing w:after="0" w:line="287" w:lineRule="auto"/>
        <w:rPr>
          <w:sz w:val="20"/>
          <w:szCs w:val="20"/>
          <w:color w:val="auto"/>
        </w:rPr>
      </w:pPr>
      <w:r>
        <w:rPr>
          <w:rFonts w:ascii="Times New Roman" w:cs="Times New Roman" w:eastAsia="Times New Roman" w:hAnsi="Times New Roman"/>
          <w:sz w:val="14"/>
          <w:szCs w:val="14"/>
          <w:color w:val="auto"/>
        </w:rPr>
        <w:t>invalid or unenforceable. Any litigation or claims relating to our intellectual property and proprietary information brought by or against us, whether with or without merit, or whether successful or not, could result in substantial costs and diversion of our resources, which could have a material adverse effect on us.</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Moreover, competitors or other third parties may allege that we, or agents, consultants or other third parties retained or indemnified by us, have infringed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of money to defend the claim (even if we ultimately prevail). We may also be required to pay significant money damages. In the event of a settlement or adverse judgment, our results of operation may materially decline if we are prohibited from using the relevant systems, processes, technologies or other intellectual property, especially if we are forced to cease offering certain products or services, or are required to pay to the alleged owner of the relevant intellectual property licensing fees, royalties or technology development expenses.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Refer to Note M to our consolidated financial statements included in this Annual Report on Form 10-K for additional information regarding the </w:t>
      </w:r>
      <w:r>
        <w:rPr>
          <w:rFonts w:ascii="Times New Roman" w:cs="Times New Roman" w:eastAsia="Times New Roman" w:hAnsi="Times New Roman"/>
          <w:sz w:val="14"/>
          <w:szCs w:val="14"/>
          <w:i w:val="1"/>
          <w:iCs w:val="1"/>
          <w:color w:val="auto"/>
        </w:rPr>
        <w:t>FlexShopper</w:t>
      </w:r>
      <w:r>
        <w:rPr>
          <w:rFonts w:ascii="Times New Roman" w:cs="Times New Roman" w:eastAsia="Times New Roman" w:hAnsi="Times New Roman"/>
          <w:sz w:val="14"/>
          <w:szCs w:val="14"/>
          <w:color w:val="auto"/>
        </w:rPr>
        <w:t xml:space="preserve"> patent infringement litigation against our Acima business.</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taxes applicable to our operations can be difficult to determine and are subject to change, and our failure to correctly calculate and pay such taxes could result in substantial tax liabilities and a material adverse effect on our results of operations.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application of indirect taxes, such as sales tax, is a complex and evolving issue, particularly with respect to the lease-to-own industry generally and our virtual lease-to-own Acima and e-commerce businesses more specifically. Many of the fundamental statutes and regulations that impose these taxes were established before the growth of the lease-to-own industry and e-commerce and, therefore, in many cases it is not clear how existing statutes apply to our various business activities. Failure to comply with such statutes, or a successful assertion by applicable tax authorities requiring us to collect taxes in a location or for transactions where we presently do not, could result in substantial tax liabilities, including for past sales and leases, as well as penalties and interest. In addition, if the tax authorities in jurisdictions where we are already subject to sales tax or other indirect tax obligations were to successfully challenge our positions, our tax liability could increase substantially. For instance, following a United States Supreme Court decision in June 2018, states may require a remote seller with no physical presence in the state to collect and remit sales tax on goods and services provided to purchasers in the state. Our Acima segment may become subject to additional taxes if state or municipal legislatures adopt tax reform that subjects our lease-to-own transactions originated at the locations of Acima’s third-party retailers to taxation in that jurisdiction, despite Upbound Group, Inc. having no physical presence in that jurisdiction. As governments increasingly search for ways to increase revenues, states may adopt tax reform or take other legislative action designed to raise tax revenues, including by expanding the scope of transactions subject to taxation or by increasing applicable tax rates, or interpreting existing sales, income and other tax regulations in a manner adverse to our business. Such changes could subject our business to new or increased tax obligations, which could have a material adverse effect on our results of operations.</w:t>
      </w:r>
    </w:p>
    <w:p>
      <w:pPr>
        <w:spacing w:after="0" w:line="6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Brigit previously entered into a settlement with the FTC under which it continues to have ongoing compliance obligations, noncompliance with which could result in material regulatory enforcement.</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November 14, 2023, Brigit entered into a Stipulated Order for Permanent Injunction, Monetary Judgment, and Other Relief with the Federal Trade Commission (“FTC”) settling allegations that Brigit violated provisions of the Restore Online Shoppers’ Confidence Act ("ROSCA") and Section 5 of the FTC Act in conducting its subscription and Instant Cash lines of business. The settlement required payment of a monetary penalty of $18 million, as well as ongoing injunctive requirements related to disclosures and representations regarding Instant Cash advances, disclosures and authorizations regarding subscription plans, and subscription cancellation practices. The settlement also requires Brigit to comply with certain obligations regarding reporting settlement-relevant information to the FTC, recordkeeping, and responding to further requests from the FTC. Monetary elements of the settlement have been satisfied, but requirements to engage in FTC-facing compliance obligations continue for up to 15 years and injunctive relief related to ROSCA and FTC Act is permanent. While we believe Brigit is in material compliance with the terms of its FTC settlement, any actual noncompliance or noncompliance asserted by the FTC may result in further regulatory action and, ultimately, additional penalties, defense and compliance costs, or business restrictions.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Our Brigit business is subject to extensive regulation and oversight in a variety of areas under federal, state and local laws.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Brigit is subject to extensive regulation under United States federal and state laws and regulations governing the provision of consumer financial services such as EWA, credit builder and other products. Regulators have broad discretion with respect to the interpretation, implementation, and enforcement of these laws and regulations, including through enforcement actions that could subject Brigit to civil money penalties, consumer remediation, increased compliance costs, and limits or prohibitions on its ability to offer certain products or services or to engage in certain activities. Any failure or perceived failure to comply with any of these laws or regulations could subject Brigit to lawsuits or governmental actions and/or damage its reputation, which could materially and adversely affect Brigit’s business. Moreover, any competitors subject to different, or in some cases less restrictive, legislative or regulatory regimes may have or obtain a competitive advantage over Brigit.</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Brigit’s partnership with Coastal Community Bank is subject to the supervisory authority of the FDIC and the Washington State Department of Financial Institutions, which are the bank’s primary federal and state banking regulators, respectively; and Brigit is subject to supervision and regulation by certain state regulators as a result of licenses or similar approvals it holds. Authority and discretion of such additional regulators may also involve investigation and enforcement resulting in the potential for monetary penalties, consumer remediation, and injunctive relief.</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Brigit business was determined to be operating without having obtained necessary state or local licenses, registrations, or similar regulatory filings or approvals, it could adversely affect Brigit’s business, results of operations, financial condition, and future prospects.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states have adopted laws regulating and requiring licensing, registration, or similar regulatory filings or approvals by parties that engage in certain activities regarding consumer finance transactions. The scope of such requirements varies by jurisdiction and the application of some consumer financial licensing laws to Brigit’s products and activities is unclear but may include providing EWA, offering or facilitating the originating of loans, and servicing or collecting loans, among other regulated activities. In addition, these requirements may evolve over time, including, in particular, recent trends toward increased licensing requirements and regulation of: (i) as relevant to Brigit’s Instant Cash product, parties offering EWA products; and (ii) as relevant to Brigit’s Credit Builder product and any future loan-related product development, parties engaged in loan solicitation, loan or receivable acquisition, loan servicing and debt collection.</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Brigit has also received inquiries from certain state regulatory agencies regarding requirements to obtain licenses from or register with those states, and Brigit may receive additional such inquiries in the future.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Brigit were determined to be in violation of applicable licensing or similar requirements by a court or a state, federal, or local enforcement agency, Brigit could be subject to fines, damages, injunctive relief (including required modification or discontinuation of its business in certain areas), criminal penalties and other penalties or consequences, and Brigit’s ability to engage in its current products and services may be impaired, any of which could have a material adverse effect on Brigit’s business.</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Federal and state regulatory authorities are increasingly focused on the earned wage access industry, and any negative change in these laws or regulations or the passage of unfavorable new laws or regulations or the manner in which any of these are enforced or interpreted could expose Brigit to significant additional costs or compliance-related burdens and could require Brigit to alter its business practices in a manner that may be materially adverse to Brigit.</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Although there is currently no comprehensive federal legislation regulating EWA products, such as Brigit’s Instant Cash product, the CFPB has increasingly focused on the potential treatment of EWAs as loans or other extensions of credit for the purposes of applying certain federal consumer financial laws and regulations and the potential regulation of unfair, deceptive, or abusive practices with respect to EWA products. In particular, on July 18, 2024, the CFPB issued a proposed interpretive rule regarding “Consumer Credit Offered to Borrowers in Advance of Expected Receipt of Compensation for Work” that would, if finalized as proposed, treat certain EWAs as credit for purposes of the Federal Truth in Lending Act (“TILA”) and its implementing regulation, Regulation Z, and treat certain fees commonly charged in connection with EWAs, including fees for expedited delivery of advance disbursements and certain “tips,” as finance charges under TILA and Regulation Z. Such treatment would result in cost-of-credit disclosure requirements and limited practice requirements under TILA becoming applicable to covered EWA products. The CFPB’s interpretive rule has not been finalized, and whether it will be finalized materially as proposed remains uncertain under the new Presidential Administration. Nevertheless, increased regulatory focus on EWAs by the CFPB and other relevant federal regulators, may continue, and may be material to Brigit’s business.</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the state level, more than 20 states have addressed the coverage of EWAs by their loan-related regulatory regimes, implemented new EWA-specific regulatory requirements, or publicly considered one of these approaches (e.g., through the introduction of legislation that would, if enacted, specifically regulate EWAs as a product distinct from loans). Many of the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3" w:name="page34"/>
    <w:bookmarkEnd w:id="33"/>
    <w:p>
      <w:pPr>
        <w:jc w:val="both"/>
        <w:spacing w:after="0" w:line="257" w:lineRule="auto"/>
        <w:rPr>
          <w:sz w:val="20"/>
          <w:szCs w:val="20"/>
          <w:color w:val="auto"/>
        </w:rPr>
      </w:pPr>
      <w:r>
        <w:rPr>
          <w:rFonts w:ascii="Times New Roman" w:cs="Times New Roman" w:eastAsia="Times New Roman" w:hAnsi="Times New Roman"/>
          <w:sz w:val="14"/>
          <w:szCs w:val="14"/>
          <w:color w:val="auto"/>
        </w:rPr>
        <w:t>states that have taken EWA-related action have implemented requirements that EWA providers obtain licenses or registrations and/or comply with limited disclosure and practice requirements. For example, California recently finalized a new regulation under the California Consumer Finance Protection Law requiring EWA providers to register with the state, but not imposing rate or fee restrictions on EWA products at this time. Brigit has obtained incrementally more EWA-related licenses and been subject to increasing disclosure and practice requirements with respect to its Instant Cash product over time, and it expects to continue doing so into the near future. Some states, however, have adopted more restrictive approaches. In particular, in 2023, legislatures or consumer financial regulators in Connecticut and Maryland issued guidance and/or changes in law or regulation, indicating that EWA products, in certain cases, would be considered loans or otherwise regulated under loan regulatory regimes imposing licensing, rate and fee limitation, and origination and servicing practice limitations on providers of such EWAs. We note that Brigit currently: (i) does not offer its Instant Cash product to Connecticut residents; and (ii) has been subject to, and continues to engage with regulators with respect to, both an inquiry from the Maryland Office of Financial Regulation and a subpoena from the Maryland Attorney General related to the EWA industry. Resolution of existing matters, as well as any new licensing or practice requirements may involve penalties, compliance costs, or business restrictions that may be material to Brigit’s business.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Federal and state regulatory authorities are increasingly focused on consumer financial products offered through partnerships between banks and non-bank entities, and any negative change in these laws or regulations or the passage of unfavorable new laws or regulations or the manner in which any of these are enforced or interpreted could expose Brigit to significant additional costs or compliance-related burdens and could require Brigit to alter its business practices in a manner that may be materially adverse to Brigit.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Loan programs involving partnerships between banks and non-bank entities, like the relationship between Coastal Community Bank and Brigit with respect to the Credit Builder product, have been the subject of increased regulatory and private plaintiff focus over time. Federal banking regulators increasingly have scrutinized banks’ oversight and control over service providers, in some cases bringing enforcement actions against banks partnering with financial technology companies in manners inconsistent with appropriate compliance and risk controls that constrains such banks’ ability to offer or expand credit or payments products through partnerships. State legislatures and regulators increasingly have sought to regulate bank partnership structures through methods such as enforcement actions seeking to recharacterize non-banks as the “true lenders” in bank partnership relationships for licensing and regulatory purposes. anti-evasion provisions purporting to recharacterize non-banks as lenders or otherwise subject them to licensing or usury restrictions as though they were lenders, imposition of new or more expansively interpreted licensing requirements for activities engaged in by non-bank entities as service providers to banks (e.g., the marketing, arrangement, or brokering of loans, the acquisition of loans or interests therein, or the servicing or collection of loans), adoption of opt-outs from the federal regulatory regime (the Depository Institutions Deregulation and Monetary Control Act of 1980, or DIDMCA) permitting banks to rely on the interest-related provisions of the state in which they make a loan when lending elsewhere, and seeking to impose rate or fee limitations on non-banks after they have acquired loans or interests in loans from a bank partner (“Madden claims”). Private plaintiffs have also increasingly brought litigation grounded in licensing, “true lender,” and Madden claims over time. While we believe Brigit’s relationship with Costal Community Bank, and the products offered and activities conducted in connection with such relationship, comply with applicable law, regulatory or private plaintiff actions relating to bank partnerships, or the general evolution of regulatory requirements arising from bank partnerships, may result in penalties, compliance costs, required product or practice changes, or other business restrictions that may be material.</w:t>
      </w:r>
    </w:p>
    <w:p>
      <w:pPr>
        <w:spacing w:after="0" w:line="6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Due to Brigit’s bank partnership model, Brigit is and will continue to be subject to third-party risk management obligations, its business model may need to be substantially altered and Brigit may not be able to continue to operate its business as it is currently operated.</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Builder product made available through Brigit by Coastal Community Bank is subject to regulation and supervision by Coastal Community Bank’s regulators, including the FDIC and the Washington State Department of Financial Institutions, and Brigit, as a service provider to Coastal Community Bank, undertakes certain compliance obligations. If Brigit were to become directly subject to banking regulations or if the third-party risk management requirements applicable to Brigit were to change, Brigit’s business model may need to be substantially altered and Brigit may not be able to continue to operate its business as it is currently operated. Failure by Brigit, or Coastal Community Bank, to comply with applicable laws and regulations could have a material adverse effect on Brigit’s business, financial position and results of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Risks Relating to Our Indebtedness and Other Financial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significant indebtedness, and the level of our indebtedness could materially and adversely affect us.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our total indebtedness was approximately $1.3 billion. We also had undrawn commitments available for borrowings of an additional $428.3 million under the ABL Credit Facility (after giving effect to approximately $46.7 million of outstanding letters of credit).</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our indebtedness could further increase, and the related risks that we face could intensify. For example, we expect to continue to evaluate the possibility of acquiring additional businesses and making strategic investments, and we may elect to finance these endeavors by incurring additional indebtedness. For example, a portion of cash consideration paid in connection with the Brigit acquisition was financed by incurring additional indebtedness. Moreover, to respond to competitive challenges, we may be required to raise substantial additional capital to finance new product or service offerings. We may also require additional capital to fund purchases of merchandise during high volume periods.</w:t>
      </w:r>
    </w:p>
    <w:p>
      <w:pPr>
        <w:spacing w:after="0" w:line="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Our level of indebtedness, together with any additional indebtedness we may incur in the future, could materially and adversely affect us in a number of ways. For example, the anticipated level of indebtedness or any additional financing could:</w:t>
      </w:r>
    </w:p>
    <w:p>
      <w:pPr>
        <w:spacing w:after="0" w:line="1" w:lineRule="exact"/>
        <w:rPr>
          <w:sz w:val="20"/>
          <w:szCs w:val="20"/>
          <w:color w:val="auto"/>
        </w:rPr>
      </w:pP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 more difficult for us to pay or refinance our debts as they become due during adverse economic, financial market and industry conditions, resulting in possible defaults on such indebtedness;</w:t>
      </w: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use a larger portion of our cash flow for debt service, reducing funds available for other purposes;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our ability to take advantage of business opportunities, such as acquisition opportunities, and to react to changes in market or industry conditions;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adverse economic, industry or competitive developments, including interest rate fluctuations, and decrease our ability to respond to such changes as compared to our competitors with less leverage;</w:t>
      </w: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and adversely affect our ability to refinance our existing indebtedness or obtain additional financing in the future to fund working capital, capital expenditures and other general corporate purposes, particularly as substantially all of our assets are subject to liens securing certain of our existing indebtedness;</w:t>
      </w: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our profitability and/or cash flow or require us to dispose of significant assets in order to satisfy our debt service and other obligations if cash from operations or other sources is insufficient to satisfy such obligations;</w:t>
      </w: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compared to our competitors with proportionally less debt or comparable debt at more favorable interest rates which, as a result, may be better positioned to withstand economic downturns;</w:t>
      </w: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risk of a downgrade in the credit rating of us or any indebtedness of us or our subsidiaries which could increase the cost of further borrowings; and</w:t>
      </w:r>
    </w:p>
    <w:p>
      <w:pPr>
        <w:spacing w:after="0" w:line="51" w:lineRule="exact"/>
        <w:rPr>
          <w:rFonts w:ascii="Times New Roman" w:cs="Times New Roman" w:eastAsia="Times New Roman" w:hAnsi="Times New Roman"/>
          <w:sz w:val="14"/>
          <w:szCs w:val="14"/>
          <w:color w:val="auto"/>
        </w:rPr>
      </w:pPr>
    </w:p>
    <w:p>
      <w:pPr>
        <w:ind w:left="520" w:hanging="133"/>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financial resources available to continue paying dividends on our common stock or to repurchase our common stock, as determined in the discretion of our Board of Directors and subject to the restrictive covenants in our debt agreements and applicable law.</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the terms of the indenture that governs the Notes and the terms of the ABL Credit Facility and the Term Loan Facility contain restrictions on the incurrence of additional debt, including secured debt, these restrictions are subject to a number of important exceptions, and debt incurred in compliance with these restrictions could be substantial. If we incur significant additional debt, the related risks could intensify.</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amount of borrowings permitted under the ABL Credit Facility is limited to the value of certain of our assets, and Upbound Group, Inc. relies in part on available borrowings under the ABL Credit Facility for cash to operate its business, which subjects it to market and counterparty risk, some of which is beyond Upbound Group, Inc.’s control.</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to cash we generate from our business, our principal existing sources of cash are borrowings available under the ABL Credit Facility. Our borrowing capacity under the ABL Credit Facility varies according to our eligible lease contracts, eligible installment sales accounts and inventory, net of certain reserves. In the event of any material decrease in the amount or appraised value of these assets, our borrowing capacity would similarly decrease, which could materially and adversely affect our business and liquidity. The documentation governing the ABL Credit Facility contains customary affirmative and negative covenants, and certain restrictions on operations become applicable if our available credit falls below certain thresholds. These covenants could impose significant operating and financial limitations and restrictions on us, including restrictions on our ability to enter into particular transactions and to engage in other actions that we may believe are advisable or necessary for our business. Subject to certain exceptions, our obligations under the ABL Credit Facility are secured by liens on substantially all of our assets. In the event of a default that is not cured or waived within any applicable cure periods, the lenders’ commitment to extend further credit under the ABL Credit Facility could be terminated, our outstanding obligations could become immediately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5" w:name="page36"/>
    <w:bookmarkEnd w:id="35"/>
    <w:p>
      <w:pPr>
        <w:jc w:val="both"/>
        <w:spacing w:after="0" w:line="259" w:lineRule="auto"/>
        <w:rPr>
          <w:sz w:val="20"/>
          <w:szCs w:val="20"/>
          <w:color w:val="auto"/>
        </w:rPr>
      </w:pPr>
      <w:r>
        <w:rPr>
          <w:rFonts w:ascii="Times New Roman" w:cs="Times New Roman" w:eastAsia="Times New Roman" w:hAnsi="Times New Roman"/>
          <w:sz w:val="14"/>
          <w:szCs w:val="14"/>
          <w:color w:val="auto"/>
        </w:rPr>
        <w:t>due and payable, outstanding letters of credit may be required to be cash collateralized and remedies may be exercised against the collateral. Our access to such financing may be unavailable or reduced, or such financing may become significantly more expensive for any reason, including, but not limited to, adverse economic conditions. In addition, if certain of our lenders experience difficulties that render them unable to fund future draws on the facility, we may not be able to access all or a portion of these funds. If our access to borrowings under the ABL Credit Facility is unavailable or reduced, we may not have the necessary cash resources for our operations, and, if any event of default occurs, there is no assurance that we would have the cash resources available to repay such accelerated obligations, refinance such indebtedness on commercially reasonable terms, or at all, or cash collateralize our letters of credit, which would have a material adverse effect on our business, financial condition, results of operations and liquidity.</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service all of our indebtedness and may be forced to take other actions to satisfy our obligations under our indebtedness, which may not be successful. Our failure to meet our debt service obligations could have a material adverse effect on our business, financial condition and results of operations.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2024, the annual cash interest payments on our indebtedness are approximately $109 million, which could fluctuate depending on changes in interest rates. We depend on cash on hand and cash flows from operations to make scheduled debt payments. We expect to be able to meet the estimated cash interest payments on our indebtedness through our cash flows from operations. However, our ability to generate sufficient cash flow from operations and to utilize other methods to make scheduled payments will depend on a range of economic, competitive and business factors, many of which are outside of our control, and there can be no assurance that these sources will be adequate. If we are unable to service our indebtedness and fund our operations, we will be forced to adopt an alternative strategy that may include:</w:t>
      </w:r>
    </w:p>
    <w:p>
      <w:pPr>
        <w:spacing w:after="0" w:line="16" w:lineRule="exact"/>
        <w:rPr>
          <w:sz w:val="20"/>
          <w:szCs w:val="20"/>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or delaying capital expenditures;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growth;</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additional capital;</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assets;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or eliminating the dividend on our common stock; 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or refinancing our indebtedness.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Even if we adopt an alternative strategy, the strategy may not be successful and we may be unable to service our indebtedness and fund our operations, which could have a material adverse effect on our business, financial condition or results of operations. In addition, the ABL Credit Facility and the Term Loan Facility are secured by liens on substantially all of our and our restricted subsidiaries’ assets, and any successor credit facilities are likely to be secured on a similar basis. As such, our ability to refinance our indebtedness or seek additional financing, or our restricted subsidiaries’ ability to make cash available to us, by dividend, debt repayment or otherwise, to enable us to repay the amounts due under our indebtedness, could be impaired as a result of such security interests and the agreements governing such security interests.</w:t>
      </w:r>
    </w:p>
    <w:p>
      <w:pPr>
        <w:spacing w:after="0" w:line="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inability to generate sufficient cash flows to satisfy our debt obligations, or to refinance our indebtedness on commercially reasonable terms or at all, would materially and adversely affect our financial position and results of operations. In addition, if we cannot make scheduled payments on our debt, we will be in default and lenders under the ABL Credit Facility could terminate their commitments to loan money, holders of the Notes and lenders under the ABL Credit Facility and the Term Loan Facility could declare all outstanding principal and interest to be due and payable, and lenders under the ABL Credit Facility and the Term Loan Facility could foreclose against the assets securing such indebtedness and Upbound Group, Inc. could be forced into bankruptcy or liquidation.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Restrictive covenants in certain of the agreements and instruments governing our indebtedness may materially and adversely affect our financial and operational flexibility.</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terms of our indebtedness include restrictive covenants that impose significant operating and financial restrictions on us and may limit our ability to engage in acts that may be in our long-term best interest, including restrictions on our ability to, among other things, (i) create liens; (ii) transfer or sell assets; (iii) incur indebtedness or issue certain preferred stock; (iv) pay dividends, redeem stock or make other distributions; (v) make other restricted payments or investments; (vi) create restrictions on payment of dividends or other amounts by us to our restricted subsidiaries; (vii) merge or consolidate with other entities; (viii) engage in certain transactions with affiliates; and (ix) designate our subsidiaries as unrestricted subsidiaries. In addition, our ability to access the full amount available under the ABL Credit Facility is subject to compliance with a financial maintenance covenant requiring that we maintain at least a specified fixed charge coverage ratio (as such ratio is defined in the ABL Credit Facility). Our failure to comply with any of these covenants could result in reduced borrowing capacity and/or an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6" w:name="page37"/>
    <w:bookmarkEnd w:id="36"/>
    <w:p>
      <w:pPr>
        <w:jc w:val="both"/>
        <w:spacing w:after="0" w:line="287" w:lineRule="auto"/>
        <w:rPr>
          <w:sz w:val="20"/>
          <w:szCs w:val="20"/>
          <w:color w:val="auto"/>
        </w:rPr>
      </w:pPr>
      <w:r>
        <w:rPr>
          <w:rFonts w:ascii="Times New Roman" w:cs="Times New Roman" w:eastAsia="Times New Roman" w:hAnsi="Times New Roman"/>
          <w:sz w:val="14"/>
          <w:szCs w:val="14"/>
          <w:color w:val="auto"/>
        </w:rPr>
        <w:t>event of default that, if not cured or waived, could result in the acceleration of certain of our debt, which could have a material adverse effect on our business, financial condition and results of operations.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ability to comply with these covenants may be affected by events beyond our control, and any material deviations from our forecasts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breach of any of the covenants or restrictions could result in an event of default. Such a default, if not cured or waived, could allow our debt holders to accelerate the related debt, as well as any other debt to which a cross-acceleration or cross-default provision applies, or to declare all borrowings outstanding thereunder to be due and payable. In the event our debt is accelerated, our assets may not be sufficient to repay such debt in full.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variable rate indebtedness subjects us to interest rate risk, which could cause our debt service obligations to increase significantly.</w:t>
      </w:r>
    </w:p>
    <w:p>
      <w:pPr>
        <w:spacing w:after="0" w:line="96"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A portion of our indebtedness bears interest at variable rates that are linked to changing market interest rates. As a result, an increase in market interest rates will increase our interest expense and our debt service obligations on the variable rate indebtedness, and our net income and cash flows, including cash available for servicing our indebtedness, will correspondingly decrease. As of December 31, 2024, approximately $877 million of our indebtedness was variable rate indebtedness, and, assuming all loans were fully drawn, each quarter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point (0.25%) change in interest rates would result in an additional $2.2 million annualized pretax charge or credit to our Consolidated Statements of Operations. As of the date of this Annual Report on Form 10-K, we have not entered into any interest rate swap agreements.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interest rate risk.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change in control could accelerate our obligation to pay our outstanding indebtedness, and we may not have sufficient liquid assets at that time to repay these amounts.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agreements governing our ABL Credit Facility and our Term Loan Facility, an event of default will result if a third party becomes the beneficial owner of 40% or more of our voting stock, in which case our obligations under such facilities may become immediately due and payable. In addition, under the indenture governing the Notes, we are obligated to offer to purchase the Notes at a purchase price equal to 101% of the principal amount of the Notes, plus accrued and unpaid interest to the date of the purchase, upon the occurrence of certain changes in control, including, subject to certain exceptions, the consummation of any transaction that results in any person becoming the beneficial owner of at least 50% of our voting stock or a sale of substantially all of our assets. Upbound Group, Inc. may enter into additional financing arrangements in the future that require the repayment of outstanding amounts in similar circumstances. If a specified change in control occurs and the lenders or debt holders under our debt instruments accelerate our obligations, we may not have sufficient liquid assets to repay amounts outstanding under such agreements or be able to arrange for additional financing to fund such obligations, which could result in an event of default under the relevant instrument and could cause any other debt that we may have at that time to become automatically due, further exacerbating the adverse impacts on our financial condition.</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organizational documents and our current or future debt instruments contain or may contain provisions that may prevent or deter another group from paying a premium over the market price to Upbound Group, Inc.’s stockholders to acquire its stock.</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Upbound Group, Inc.’s organizational documents contain provisions that authorize its Board of Directors to issue blank check preferred stock and establish advance notice requirements on its stockholders for director nominations and actions to be taken at meetings of the stockholders. In addition, as a Delaware corporation, Upbound Group, Inc. is subject to Section 203 of the Delaware General Corporation Law, which prohibits persons that acquire, or are affiliated with any person that acquires, more than 15% of our outstanding common stock from engaging in any business combination with Upbound Group, Inc. for a three-year period following the date of such acquisition, subject to limited exceptions. Furthermore, the terms of our indebtedness include various change in control provisions which, in the event of a change in control, would cause a default under such indebtedness. These provisions and arrangements could delay, deter or prevent a merger, consolidation, tender offer or other business combination or change in control involving us, whether favored or opposed by our management or our stockholders. For instance, the consummation of any such transaction in certain circumstances may require the redemption or repurchase of the Notes, and there can be no assurance that we or the potential acquirer will have sufficient financial resources to effect such a redemption or repurchase.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If our goodwill or other intangible assets become impaired, we may be required to record a significant charge to earnings.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assess our goodwill and intangible assets for impairment annually or when events or changes in circumstances indicate the carrying value may not be recoverable. We test goodwill for impairment at the reporting unit level. If goodwill or intangible assets are deemed to be impaired, an impairment loss equal to the amount by which the carrying amount exceeds the fair value of the assets would be recognized. We would be required to record a charge in our financial statements during the period in which any impairment of our goodwill or intangible assets is determined, which may be significant and would negatively affect our results of operations reported under U.S. GAAP.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Structure or an Investment in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holding company and are dependent on the operations and funds of our subsidiaries.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 holding company, with no revenue generating operations and no assets other than our ownership interests in our direct and indirect subsidiaries. Accordingly, we are dependent on the cash flow generated by our direct and indirect operating subsidiaries and must rely on dividends or other intercompany transfers from our operating subsidiaries to generate the funds necessary to meet our obligations, including the obligations under the ABL Credit Facility, Term Loan Facility and the Notes. The ability of our subsidiaries to pay dividends or make other payments to us is subject to applicable state laws. Should one or more of our subsidiaries be unable to pay dividends or make distributions, our ability to meet our ongoing obligations could be materially and adversely affected. If we are unable to satisfy the financial and other covenants in our debt agreements, our lenders could elect to terminate the agreements and require us to repay the outstanding borrowings, or we could face other substantial costs.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is volatile, and you may not be able to recover your investment if our stock price declines.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price of our common stock has been volatile and can be expected to be significantly affected by factors such as:</w:t>
      </w:r>
    </w:p>
    <w:p>
      <w:pPr>
        <w:spacing w:after="0" w:line="51" w:lineRule="exact"/>
        <w:rPr>
          <w:sz w:val="20"/>
          <w:szCs w:val="20"/>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perceived ability to meet market expectations with respect to the growth and profitability of each of our operating segments;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variations in our results of operations, which may be impacted by, among other things, changes in same store sales, invoice volume or when and how many locations we acquire, franchise, open, sell or close;</w:t>
      </w: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variations in our competitors’ results of operations;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earnings estimates or buy/sell recommendations by financial analysts;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our actual financial performance compares to the financial performance guidance we provide;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or federal legislative or regulatory proposals, initiatives, actions or changes that are, or are perceived to be, adverse to our business;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price performance of comparable companies;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unpredictability of global and regional economic and political conditions;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conditions in the consumer financial service industry, the domestic or global economy or the domestic or global credit or capital markets;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commentary regarding us and corresponding short-selling market behavior;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in our relationships with our customers, third-party retailers or vendors;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7"/>
        </w:numPr>
        <w:rPr>
          <w:rFonts w:ascii="Arial" w:cs="Arial" w:eastAsia="Arial" w:hAnsi="Arial"/>
          <w:sz w:val="14"/>
          <w:szCs w:val="14"/>
          <w:i w:val="1"/>
          <w:iCs w:val="1"/>
          <w:color w:val="auto"/>
        </w:rPr>
      </w:pPr>
      <w:r>
        <w:rPr>
          <w:rFonts w:ascii="Times New Roman" w:cs="Times New Roman" w:eastAsia="Times New Roman" w:hAnsi="Times New Roman"/>
          <w:sz w:val="14"/>
          <w:szCs w:val="14"/>
          <w:color w:val="auto"/>
        </w:rPr>
        <w:t>legal proceedings brought against us or our officers and directors, including the matters described in Note M to our consolidated financial statements included in this Annual Report on Form 10-K;</w:t>
      </w: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senior management team;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of the other risk factors discussed or incorporated by reference herein.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the stock market as a whole historically has experienced price and volume fluctuations that have affected the market price of many specialty retailers in ways that may have been unrelated to such companies’ operating performance.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as to the dividends that we may pay on our common stock or as to future stock repurchases.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Holders of our common stock are only entitled to receive such dividends as our Board of Directors may declare in its discretion out of funds legally available for such payments. Although we have paid quarterly cash dividends on our common stock since 2019, we are not required to declare or pay any dividends and there may be circumstances under which we may be unable to declare and pay dividends or repurchase our shares under applicable Delaware law or due to the impact of restrictive covenants in our debt agreements. In addition, we may elect to eliminate or reduce our common stock dividend or not to implement additional stock repurchases in the future for any reason. Any elimination of or reduction in the amount of our common stock</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dividend or the failure to implement future stock repurchases could materially and adversely affect the market price of our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lowering or withdrawal of the ratings assigned to Upbound Group, Inc.’s debt by rating agencies may increase our future borrowing costs and reduce our access to capital.</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indebtedness currently has a non-investment grade rating, and any rating assigned to our debt could be lowered or withdrawn entirely by a rating agency if, in that rating agency’s judgment, future circumstances relating to the basis of the rating, such as adverse changes, so warrant. Credit ratings are not recommendations to purchase, hold or sell any securities of our company. Additionally, credit ratings may not reflect the potential effect of risks relating to any securities of our company. Any downgrade by either S&amp;P or Moody’s may result in higher borrowing costs. Any future lowering of our ratings likely would make it more difficult or more expensive for us to obtain additional debt financing.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Acquisition of Brigit</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realize the anticipated benefits of the Brigit acquisition, including synergies, and expect to incur substantial expenses related to the acquisition, which could have a material adverse effect on our business, financial condition and results of operations.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expect to realize potential revenue and, to a lesser extent, cost synergies as a result of the Brigit acquisition. In addition to the purchase price we paid in connection with the acquisition, we also expect to incur certain costs to achieve these synergies. In addition, while we believe these synergies are achievable, our ability to achieve such estimated synergies and the timing of achieving any such synergies is subject to various assumptions by our management, which may or may not be realized, as well as the incurrence of other costs in our operations that offset all or a portion of such synergies. As a consequence, we may not be able to realize all of these synergies within the timeframe expected or at all. In addition, we may incur additional and/or unexpected costs in order to realize these synergies. Failure to achieve the expected synergies could significantly reduce the expected benefits associated with the acquisition and materially and adversely affect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retain key personnel hired as a result of the Brigit acquisition.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success of the Brigit acquisition will depend in part on our ability to retain the talent and dedication of key employees of Brigit. It is possible that these employees may decide not to remain with Brigit after the acquisition. If our Brigit business is unable to retain key employees, including management, who are critical to the successful integration and future operations of the Brigit business, Brigit could face disruptions in its operations, loss of existing customers, loss of key information, expertise or know-how and unanticipated additional recruitment costs. In addition if key employees terminate their employment, Brigit’s business activities may be adversely affected, and Brigit’s management’s attention may be diverted to hiring suitable replacements, all of which may cause Brigit’s business to suffer. Brigit also may not be able to locate or retain suitable replacements for any key employees who leave Brigit.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 xml:space="preserve">Item 1B. </w:t>
      </w:r>
      <w:r>
        <w:rPr>
          <w:rFonts w:ascii="Times New Roman" w:cs="Times New Roman" w:eastAsia="Times New Roman" w:hAnsi="Times New Roman"/>
          <w:sz w:val="14"/>
          <w:szCs w:val="14"/>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1C. </w:t>
      </w:r>
      <w:r>
        <w:rPr>
          <w:rFonts w:ascii="Times New Roman" w:cs="Times New Roman" w:eastAsia="Times New Roman" w:hAnsi="Times New Roman"/>
          <w:sz w:val="14"/>
          <w:szCs w:val="14"/>
          <w:b w:val="1"/>
          <w:bCs w:val="1"/>
          <w:i w:val="1"/>
          <w:iCs w:val="1"/>
          <w:color w:val="auto"/>
        </w:rPr>
        <w:t>Cybersecurity.</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rely heavily on information systems to meet the operational and financial needs of our business. Therefore, we seek to continuously improve our approach to cybersecurity with the goal of ensuring the confidentiality, integrity and availability of our information resources and to reduce the risk of information loss by accidental or intentional modification, disclosure or destruction. We believe we devote appropriate resources to cybersecurity and risk management processes to adapt to the changing cybersecurity landscape and respond to emerging threats in a timely and effective manner.</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Cybersecurity and Privacy team, which maintains our cybersecurity function, reports to our Chief Technology and Digital Officer, who reports directly to our Chief Executive Officer. The Cybersecurity and Privacy team is led by our Chief Information Security Officer (“CISO”), who is responsible for developing and implementing our cybersecurity program and reporting on cybersecurity matters. The CISO and Chief Technology and Digital Officer report to the Cybersecurity, Technology and Innovation Committee (the “Committee”) at least three times per year. Our CISO has been a cybersecurity leader for 20 years, maintains appropriate security certifications, and has extensive experience in building and maintaining cybersecurity risk and compliance programs. The cybersecurity team includes members who also have various levels of cybersecurity experience and maintain relevant cybersecurity certifications. The CISO implements and oversees processes for the regular monitoring of our information systems. This includes the deployment of advanced security controls and technologies and ongoing scanning and testing of Company information systems by internal teams as well as third-party organizations to identify potential vulnerabilities. To maintain knowledge of the latest developments in cybersecurity, evolving threat landscape, and cyber defense techniques, our CISO regularly attends cybersecurity related conferences and events hosted by cybersecurity experts, subscribes to cybersecurity threat intelligence communications and newsletters, and meets with cybersecurity vendors.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strategically integrated cybersecurity risk management into our broader risk management framework to promote a company-wide culture of cybersecurity risk management. We regularly assess the cybersecurity landscape to holistically evaluate the threat of cybersecurity risks and seek to mitigate such risks through a layered cybersecurity strategy based on identification, protection, detection and recovery. Our Enterprise Cybersecurity Policy includes guidance related to encryption standards, antivirus protection, remote access, multi-factor authentication, confidential information and the use of the internet, social media, email and wireless devices. This policy is reviewed for updates annually and approved by appropriate members of management. All coworkers are required to acknowledge review of the policy and complete cybersecurity and privacy awareness training annually. We also provide coworkers with additional cybersecurity training through online offerings, company broadcasts and security awareness events.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assessing our own cybersecurity preparedness, we also consider and evaluate cybersecurity risks associated with the use of third-party service providers. The cybersecurity program is being enhanced to ensure that critical vendors and other third-parties are risk assessed prior to being given access to the Company’s information assets and networks. Additionally, processes are currently in place to review existing third-party access to systems that have a material impact on the financial statements of the Company.</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Committee was formed in December 2024 and is responsible for cybersecurity, technology and innovation oversight previously performed by the Audit and Risk Committee. It is a committee of the Company’s Board of Directors that actively participates in discussions with management regarding cybersecurity risks and receives periodic reports regarding the Company’s cybersecurity program, which includes discussion of management’s actions to identify and detect threats, remedy audit findings, and review enhancements to the Company’s defenses and management’s progress on implementing its cybersecurity strategy. In addition, the Committee reviews key cybersecurity risks at least three times per year to help ensure such risks are incorporated into the Company’s Enterprise Risk Management framework. The Committee also meets at least three times per year in executive session with the Company's Chief Information Security Officer. To assist with their oversight of the Company's cybersecurity programs and mitigation efforts as they relate to the broader cybersecurity landscape, our Committee will attend cybersecurity awareness training or other educational events presented by third-party cybersecurity experts.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event of a cybersecurity incident, we have developed and implemented a communication and disclosure framework, which includes processes for escalating communication of the event to members of our internal disclosure committee for assessment of materiality and disclosure, executive management team members, internal and external legal counsel, internal and external audit teams, and other internal stakeholders. Significant cybersecurity events and strategic risk management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40" w:name="page41"/>
    <w:bookmarkEnd w:id="40"/>
    <w:p>
      <w:pPr>
        <w:jc w:val="both"/>
        <w:spacing w:after="0" w:line="280" w:lineRule="auto"/>
        <w:rPr>
          <w:sz w:val="20"/>
          <w:szCs w:val="20"/>
          <w:color w:val="auto"/>
        </w:rPr>
      </w:pPr>
      <w:r>
        <w:rPr>
          <w:rFonts w:ascii="Times New Roman" w:cs="Times New Roman" w:eastAsia="Times New Roman" w:hAnsi="Times New Roman"/>
          <w:sz w:val="14"/>
          <w:szCs w:val="14"/>
          <w:color w:val="auto"/>
        </w:rPr>
        <w:t>decisions would be directed to the Committee for additional comprehensive oversight of the Company’s response measures and public disclosure of the event as appropriate. While we have experienced cybersecurity incidents in the past, none have materially affected or are reasonably likely to materially affect us, including our business strategy, results of operations or financial condition.</w:t>
      </w: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Despite our cybersecurity governance program, we cannot assure you that we will be able to effectively prevent, detect or respond to all cybersecurity incidents, which may have a material adverse impact on our reputation and our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Properties.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lease space for all of our Rent-A-Center and Mexico stores under operating leases expiring at various times through 2034.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 Store sizes average approximately 4,800 square feet. Approximately 75% of each store’s space is generally used for showroom space and 25% for offices and storage space. Our Acima kiosks occupy space without charge in the retailer's location with no lease commitment.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suitable store space generally is available for lease and we would be able to relocate any of our stores or support facilities without significant difficulty should we be unable to renew a particular lease. We also expect additional space is readily available at competitive rates to open new stores or support facilities, as necessary.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Legal Proceedings.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along with our subsidiaries, are party to various legal proceedings and governmental inquiries and investigations given the nature of our business. We regularly monitor developments related to these matters,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 matters described herein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We cannot predict the ultimate resolution of our pending legal proceedings and governmental inquiries and investigations or other similar matters that may arise in the future given the nature of our business and the inherent uncertainty associated with legal proceedings and governmental inquiries and investigations. Please see Note M to our consolidated financial statements and “</w:t>
      </w:r>
      <w:r>
        <w:rPr>
          <w:rFonts w:ascii="Times New Roman" w:cs="Times New Roman" w:eastAsia="Times New Roman" w:hAnsi="Times New Roman"/>
          <w:sz w:val="14"/>
          <w:szCs w:val="14"/>
          <w:i w:val="1"/>
          <w:iCs w:val="1"/>
          <w:color w:val="auto"/>
        </w:rPr>
        <w:t>Risks Relating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to Legal and Compliance Matters” </w:t>
      </w:r>
      <w:r>
        <w:rPr>
          <w:rFonts w:ascii="Times New Roman" w:cs="Times New Roman" w:eastAsia="Times New Roman" w:hAnsi="Times New Roman"/>
          <w:sz w:val="14"/>
          <w:szCs w:val="14"/>
          <w:color w:val="auto"/>
        </w:rPr>
        <w:t>contained in Item 1A of this Annual Report on Form 10-K for additional discussion of certain of our legal proceedings and governmental inquiries.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1" w:name="page42"/>
    <w:bookmarkEnd w:id="41"/>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under the symbol “UPBD.”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February 18, 2025, there were approximately 58 record holders of our common stock. This figure does not represent the actual number of beneficial owners of common stock because shares are frequently held in “street name” by securities dealers and others for the benefit of individual owners who may vote the shares.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Future decisions to pay cash dividends on our common stock continue to be at the discretion of our Board of Directors and will depend on a number of factors, including future earnings, capital requirements, contractual restrictions, financial condition, future prospects and any other factors our Board of Directors may deem relevant. Cash dividend payments are subject to certain restrictions in our debt agreements. Please see Note K to the consolidated financial statements included in this Annual Report on Form 10-K for further discussion of such restrictions.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Repurchases of Equity Securities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2021, our Board of Directors authorized a stock repurchase program for up to $500.0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year ended December 31, 2024. During 2023, we repurchased 1,706,277 shares of our common stock for an aggregate purchase price of approximately $50.0 million. As of December 31, 2024, under the December 2021 Program, approximately $235.0 million remains available for repurchases.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chart represents a comparison of the five year total return of our common stock to the NASDAQ Composite Index and the S&amp;P 1500 Specialty Retail Index. We selected the S&amp;P 1500 Specialty Retail Index for comparison because we use this published industry index as the comparator group to measure our relative total shareholder return for purposes of determining vesting of performance stock units granted under our long-term incentive compensation program. The graph assumes $100 was invested on December 31, 2019, and dividends, if any, were reinvested for all 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4460240" cy="2324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6024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 xml:space="preserve">Item 7. </w:t>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Objective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report financial operating performance under four operating segments, including our Acima segment, which includes our virtual and staffed business models; our Rent-A-Center segment, which represents our company-owned stores and e-commerce platform through rentacenter.com; and our Mexico and Franchising segments.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discussion focuses on recent developments expected to have current and future impacts on the results of our business, trends and uncertainties within our industry and business model that may impact our financial results, our recent results of operations, and discussion of our liquidity and capital resources. You should read the following discussion in conjunction with the consolidated financial statements and notes thereto included elsewhere in this Annual Report on Form 10-K.</w:t>
      </w:r>
    </w:p>
    <w:p>
      <w:pPr>
        <w:spacing w:after="0" w:line="51" w:lineRule="exact"/>
        <w:rPr>
          <w:sz w:val="20"/>
          <w:szCs w:val="20"/>
          <w:color w:val="auto"/>
        </w:rPr>
      </w:pPr>
    </w:p>
    <w:p>
      <w:pPr>
        <w:jc w:val="both"/>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similar historical operating and financial data and discussion of our year ended December 31, 2023 results compared to our year ended December 31, 2022 results, refer to Part II. Item 7. “Management’s Discussion and Analysis of Financial Condition and Results of Operations” of our Annual Report on </w:t>
      </w:r>
      <w:hyperlink r:id="rId58">
        <w:r>
          <w:rPr>
            <w:rFonts w:ascii="Times New Roman" w:cs="Times New Roman" w:eastAsia="Times New Roman" w:hAnsi="Times New Roman"/>
            <w:sz w:val="14"/>
            <w:szCs w:val="14"/>
            <w:u w:val="single" w:color="auto"/>
            <w:color w:val="0000FF"/>
          </w:rPr>
          <w:t>Form 10-K</w:t>
        </w:r>
      </w:hyperlink>
      <w:r>
        <w:rPr>
          <w:rFonts w:ascii="Times New Roman" w:cs="Times New Roman" w:eastAsia="Times New Roman" w:hAnsi="Times New Roman"/>
          <w:sz w:val="14"/>
          <w:szCs w:val="14"/>
          <w:color w:val="auto"/>
        </w:rPr>
        <w:t>, for the year ended December 31, 2023, incorporated herein by reference, which was filed with the SEC on February 27,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Brigit Acquisition. </w:t>
      </w:r>
      <w:r>
        <w:rPr>
          <w:rFonts w:ascii="Times New Roman" w:cs="Times New Roman" w:eastAsia="Times New Roman" w:hAnsi="Times New Roman"/>
          <w:sz w:val="14"/>
          <w:szCs w:val="14"/>
          <w:color w:val="auto"/>
        </w:rPr>
        <w:t>On January 31, 2025, we completed the acquisition of Brigit for total consideration of up to $460 million, consisting of approximately $278.7 million in cash consideration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2.7 million shares of Upbound Group, Inc. common stock at closing, $75 million in deferred consideration, payable in multiple installments, and an earnout of up to $60 million based on the achievement of certain financial performance metrics for the Brigit business in 2026. Brigit is a holistic financial health technology company that has helped millions of Americans budget better, access their earned wages before their regularly scheduled payday, build their credit through savings, protect themselves from identity theft, and find ways to earn and save money. Its mission is to help everyday Americans build a better financial future.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Management Changes.</w:t>
      </w:r>
    </w:p>
    <w:p>
      <w:pPr>
        <w:spacing w:after="0" w:line="25" w:lineRule="exact"/>
        <w:rPr>
          <w:sz w:val="20"/>
          <w:szCs w:val="20"/>
          <w:color w:val="auto"/>
        </w:rPr>
      </w:pPr>
    </w:p>
    <w:p>
      <w:pPr>
        <w:ind w:left="52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20, 2025, we announced that Mitchell E. Fadel will retire from his position as Chief Executive Officer and as a member of the Board of Directors, effective June 1, 2025. Fahmi Karam will succeed Mr. Fadel as Chief Executive Officer and a member of the Board of Directors at that time. Mr. Karam has served as Chief Financial Officer since October 2022.</w:t>
      </w:r>
    </w:p>
    <w:p>
      <w:pPr>
        <w:ind w:left="520" w:hanging="260"/>
        <w:spacing w:after="0" w:line="26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18, 2025, Sudeep Gautam, former Executive Vice President – Chief Technology and Digital Officer, departed the Company. We are currently searching for a successor to this position.</w:t>
      </w:r>
    </w:p>
    <w:p>
      <w:pPr>
        <w:spacing w:after="0" w:line="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Dividend</w:t>
      </w:r>
      <w:r>
        <w:rPr>
          <w:rFonts w:ascii="Times New Roman" w:cs="Times New Roman" w:eastAsia="Times New Roman" w:hAnsi="Times New Roman"/>
          <w:sz w:val="14"/>
          <w:szCs w:val="14"/>
          <w:color w:val="auto"/>
        </w:rPr>
        <w:t>. On December 4, 2024, we announced that our board of directors approved a quarterly cash dividend of $0.39 per share for the first quarter of 2025. The dividend was paid on January 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to our common stockholders of record as of the close of business on December 18, 2024.</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and Operational Trends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Macroeconomic Conditions. </w:t>
      </w:r>
      <w:r>
        <w:rPr>
          <w:rFonts w:ascii="Times New Roman" w:cs="Times New Roman" w:eastAsia="Times New Roman" w:hAnsi="Times New Roman"/>
          <w:sz w:val="14"/>
          <w:szCs w:val="14"/>
          <w:color w:val="auto"/>
        </w:rPr>
        <w:t>In recent years, we have experienced significant change in business and operational trends driven by macroeconomic conditions, which have directly impacted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and global supply chain disruptions resulting in reduced product availability and rising product costs.</w:t>
      </w:r>
    </w:p>
    <w:p>
      <w:pPr>
        <w:spacing w:after="0" w:line="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the lease-to-own industry has historically remained a resilient business model throughout various economic cycles, the full extent to which our risk management strategy and these macroeconomic trends (including consumer spending and payment behavior) may impact our business in future periods is uncertain. The continuation of volatile macroeconomic trends may have a material adverse impact on our financial statements, including our results of operations, operating cash flows, liquidity and capital resources.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“Risk Factors” in Part I, Item 1A in this Annual Report on Form 10-K, for additional discussion of impacts to our business and additional risks associated with macroeconomic conditions.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Rent-A-Center e-commerce revenue. </w:t>
      </w:r>
      <w:r>
        <w:rPr>
          <w:rFonts w:ascii="Times New Roman" w:cs="Times New Roman" w:eastAsia="Times New Roman" w:hAnsi="Times New Roman"/>
          <w:sz w:val="14"/>
          <w:szCs w:val="14"/>
          <w:color w:val="auto"/>
        </w:rPr>
        <w:t>In recent years, e-commerce revenues increased as a percentage of total rentals and fees revenue in our Rent-A-Center segment. For the years ended December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31, 2024 and 2023, e-commerce revenues represented approximately 26% of total lease-to-own revenues.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focuses on our results of operations and our liquidity and capital resources. You should read this discussion in conjunction with the consolidated financial statements and notes thereto for the year ended December 31, 2024 included in Part II, Item 8 of this Annual Report on Form 10-K.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Metrics</w:t>
      </w:r>
    </w:p>
    <w:p>
      <w:pPr>
        <w:spacing w:after="0" w:line="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Gross Merchandise Volume (“GMV”): </w:t>
      </w:r>
      <w:r>
        <w:rPr>
          <w:rFonts w:ascii="Times New Roman" w:cs="Times New Roman" w:eastAsia="Times New Roman" w:hAnsi="Times New Roman"/>
          <w:sz w:val="14"/>
          <w:szCs w:val="14"/>
          <w:color w:val="auto"/>
        </w:rPr>
        <w:t>The Company defines Gross Merchandise Volume as the retail value in U.S. dollars of merchandise acquired by the Acima segment that is leased to customers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a transaction that occurs within a defined period, net of estimated cancellations as of the measurement date.</w:t>
      </w:r>
    </w:p>
    <w:p>
      <w:pPr>
        <w:spacing w:after="0" w:line="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Lease Portfolio Value: </w:t>
      </w:r>
      <w:r>
        <w:rPr>
          <w:rFonts w:ascii="Times New Roman" w:cs="Times New Roman" w:eastAsia="Times New Roman" w:hAnsi="Times New Roman"/>
          <w:sz w:val="14"/>
          <w:szCs w:val="14"/>
          <w:color w:val="auto"/>
        </w:rPr>
        <w:t>Represents the aggregate dollar value of the expected monthly rental income associated with current active lease agreements from our Rent-A-Center lease-to-own stores and e-commerce platform at the end of any given period.</w:t>
      </w:r>
    </w:p>
    <w:p>
      <w:pPr>
        <w:spacing w:after="0" w:line="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Same Store Lease Portfolio Value</w:t>
      </w:r>
      <w:r>
        <w:rPr>
          <w:rFonts w:ascii="Times New Roman" w:cs="Times New Roman" w:eastAsia="Times New Roman" w:hAnsi="Times New Roman"/>
          <w:sz w:val="14"/>
          <w:szCs w:val="14"/>
          <w:color w:val="auto"/>
        </w:rPr>
        <w:t>: Represents the aggregate dollar value of the expected monthly rental income associated with current active lease agreements from our Rent-A-Center lease-to-own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spacing w:after="0" w:line="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Same Store Sales: </w:t>
      </w:r>
      <w:r>
        <w:rPr>
          <w:rFonts w:ascii="Times New Roman" w:cs="Times New Roman" w:eastAsia="Times New Roman" w:hAnsi="Times New Roman"/>
          <w:sz w:val="14"/>
          <w:szCs w:val="14"/>
          <w:color w:val="auto"/>
        </w:rPr>
        <w:t>Same store sales generally represents revenue earned in Rent-A-Center stores that were operated by us for 13 months or more and are reported on a constant currency basis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Lease Charge-Offs (“LCOs”) (previously referred to as “skip/stolen losses”): </w:t>
      </w:r>
      <w:r>
        <w:rPr>
          <w:rFonts w:ascii="Times New Roman" w:cs="Times New Roman" w:eastAsia="Times New Roman" w:hAnsi="Times New Roman"/>
          <w:sz w:val="14"/>
          <w:szCs w:val="14"/>
          <w:color w:val="auto"/>
        </w:rPr>
        <w:t>Represents charge-offs of the net book value of unrecoverable on-rent merchandise with lease-to-own customers who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past due. This is typically expressed as a percentage of revenues for the applicable period. For the Rent-A-Center segment, LCOs exclude Get It Now and Home Choice locations.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briefly summarizes certain of our financial information for the year ended December 31, 2024 as compared to the year ended December 31, 2023.</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2024, consolidated revenues and gross profit increased by approximately $328.2 million and $58.1 million, respectively, primarily due to an increase in the Acima segment revenues described below. Operating profit increased by approximately $128.7 million, primarily due to decreases in other gains and charges of $112.3 million and operating labor expenses of $4.3 million in addition to the increase in gross profit noted above, partially offset by increases in non-labor operating expenses of $35.7 million and general and administrative expense of $10.8 million.</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Acima segment revenues increased approximately by $330.1 million for the year ended December 31, 2024, due to increases in rentals and fees revenues and merchandise sales of $244.9 million and $84.1 million, respectively, primarily resulting from an increase in GMV of 17.1%. Growth in GMV was primarily due to an increase in third-party retailer locations and productivity, which resulted in more leases per retailer, and expanded direct-to-consumer offerings. Operating profit increased approximately $20.1 million for the year ended December 31, 2024, primarily due to an increase in gross profit of $58.2 million and a decrease in other gains and charges of $11.6 million, partially offset by an increase in non-labor operating expenses of approximately $49.2 million. See “Segment Performance” below for further discussion of Acima segment operating results for the year ended December 31, 2024.</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Revenues in our Rent-A-Center segment decreased approximately $0.7 million for the year ended December 31, 2024, primarily due to decreases in merchandise sales and installment sales of $1.0 million and $2.7 million, partially offset by an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4" w:name="page45"/>
    <w:bookmarkEnd w:id="44"/>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increase in rentals and fees revenue of $3.1 million, resulting from an increase in same store sales of 1.5%. Operating profit increased approximately $6.9 million for the year ended December 31, 2024, primarily due to decreases in non-labor operating expenses and operating labor expenses of $13.4 million and $5.7 million, respectively partially offset by an increase in other gains and charges of $7.3 million and a decrease in gross profit of $5.2 million. See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Segment Performance</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xml:space="preserve"> below for further discussion of Rent-A-Center segment operating results for the year ended December 31, 2024.</w:t>
      </w:r>
    </w:p>
    <w:p>
      <w:pPr>
        <w:spacing w:after="0" w:line="2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Mexico segment revenues increased by 5.5% for the year ended December 31, 2024, contributing to an increase in gross profit of 6.7%, or $3.6 million. See “Segment Performance” below for further discussion of Mexico segment operating results for the year ended December 31, 2024.</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Revenues for the Franchising segment decreased $5.4 million for the year ended December 31, 2024, primarily due to a decrease in merchandise sales of $6.9 million. See “Segment Performance” below for further discussion of Franchising segment operating results for the year ended December 31, 2024.</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flow from operations was $104.7 million for the year ended December 31, 2024 As of December 31, 2024, we held $60.9 million of cash and cash equivalents and had outstanding indebtedness of $1.3 billion.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reference for the discussion that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1"/>
                <w:szCs w:val="11"/>
                <w:b w:val="1"/>
                <w:bCs w:val="1"/>
                <w:color w:val="auto"/>
              </w:rPr>
              <w:t>2024-2023 Change</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Rentals and fees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3,513,658</w:t>
            </w:r>
          </w:p>
        </w:tc>
        <w:tc>
          <w:tcPr>
            <w:tcW w:w="10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3,261,678</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251,980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Merchandise sales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624,735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541,766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82,969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15.3 %</w:t>
            </w:r>
          </w:p>
        </w:tc>
        <w:tc>
          <w:tcPr>
            <w:tcW w:w="0" w:type="dxa"/>
            <w:vAlign w:val="bottom"/>
          </w:tcPr>
          <w:p>
            <w:pPr>
              <w:spacing w:after="0"/>
              <w:rPr>
                <w:sz w:val="1"/>
                <w:szCs w:val="1"/>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Installment sales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60,884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Franchise Merchandise sales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88,125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95,054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Royalty income and fees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24,416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8,424</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43.5 %</w:t>
            </w:r>
          </w:p>
        </w:tc>
        <w:tc>
          <w:tcPr>
            <w:tcW w:w="0" w:type="dxa"/>
            <w:vAlign w:val="bottom"/>
          </w:tcPr>
          <w:p>
            <w:pPr>
              <w:spacing w:after="0"/>
              <w:rPr>
                <w:sz w:val="1"/>
                <w:szCs w:val="1"/>
                <w:color w:val="auto"/>
              </w:rPr>
            </w:pPr>
          </w:p>
        </w:tc>
      </w:tr>
      <w:tr>
        <w:trPr>
          <w:trHeight w:val="158"/>
        </w:trPr>
        <w:tc>
          <w:tcPr>
            <w:tcW w:w="51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3,992,413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328,151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rentals and fees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1,355,539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1,199,161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156,378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merchandise sold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773,937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652,894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121,043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18.5 %</w:t>
            </w:r>
          </w:p>
        </w:tc>
        <w:tc>
          <w:tcPr>
            <w:tcW w:w="0" w:type="dxa"/>
            <w:vAlign w:val="bottom"/>
          </w:tcPr>
          <w:p>
            <w:pPr>
              <w:spacing w:after="0"/>
              <w:rPr>
                <w:sz w:val="1"/>
                <w:szCs w:val="1"/>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installment sales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Franchise cost of merchandise sold</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88,214</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95,103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Total cost of revenues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2,240,213</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1,970,155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270,058</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0" w:type="dxa"/>
            <w:vAlign w:val="bottom"/>
          </w:tcPr>
          <w:p>
            <w:pPr>
              <w:spacing w:after="0"/>
              <w:rPr>
                <w:sz w:val="1"/>
                <w:szCs w:val="1"/>
                <w:color w:val="auto"/>
              </w:rPr>
            </w:pPr>
          </w:p>
        </w:tc>
      </w:tr>
      <w:tr>
        <w:trPr>
          <w:trHeight w:val="163"/>
        </w:trPr>
        <w:tc>
          <w:tcPr>
            <w:tcW w:w="5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Gross profit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2,080,351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2,022,258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58,093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labor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609,169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613,538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Non-labor operating expenses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811,635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775,919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35,716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212,450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201,706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50,886</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gains and charges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104,580</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216,909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1,788,720</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1,859,393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(70,673)</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3"/>
        </w:trPr>
        <w:tc>
          <w:tcPr>
            <w:tcW w:w="5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Operating profit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291,631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162,865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128,766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79.1 %</w:t>
            </w: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refinancing charges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net</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107,486</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109,998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8"/>
        </w:trPr>
        <w:tc>
          <w:tcPr>
            <w:tcW w:w="51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177,541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124,674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235.8 %</w:t>
            </w:r>
          </w:p>
        </w:tc>
        <w:tc>
          <w:tcPr>
            <w:tcW w:w="0" w:type="dxa"/>
            <w:vAlign w:val="bottom"/>
          </w:tcPr>
          <w:p>
            <w:pPr>
              <w:spacing w:after="0"/>
              <w:rPr>
                <w:sz w:val="1"/>
                <w:szCs w:val="1"/>
                <w:color w:val="auto"/>
              </w:rPr>
            </w:pPr>
          </w:p>
        </w:tc>
      </w:tr>
      <w:tr>
        <w:trPr>
          <w:trHeight w:val="17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54,063</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58,046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63"/>
        </w:trPr>
        <w:tc>
          <w:tcPr>
            <w:tcW w:w="51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earnings (loss)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128,657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nm - percent change is not meaningful for comparison</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2024 and 2023</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Total revenue increased by $328.2 million, or 8.2%, to $4,320.6 million for the year ended December 31, 2024, from $3,992.4 million for 2023. The increase was primarily due to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of approximately $330.1 million in the Acima segment, as discussed further in the section “Segment Performance” below.</w:t>
      </w:r>
    </w:p>
    <w:p>
      <w:pPr>
        <w:spacing w:after="0" w:line="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Cost of Rentals and Fees. </w:t>
      </w:r>
      <w:r>
        <w:rPr>
          <w:rFonts w:ascii="Times New Roman" w:cs="Times New Roman" w:eastAsia="Times New Roman" w:hAnsi="Times New Roman"/>
          <w:sz w:val="14"/>
          <w:szCs w:val="14"/>
          <w:color w:val="auto"/>
        </w:rPr>
        <w:t>Cost of rentals and fees consists primarily of depreciation of rental merchandise. Cost of rentals and fees for the year ended December 31, 2024 increased by $156.3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13.0%, to $1,355.5 million, as compared to $1,199.2 million in 2023. This increase in cost of rentals and fees was primarily attributable to an increase of $156.7 million in the Acima segment, driven by an increase in rentals and fees revenue. Cost of rentals and fees expressed as a percentage of rentals and fees revenue increased to 38.6% for the year ended December 31, 2024 as compared to 36.8% in 2023.</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Cost of Merchandise Sold. </w:t>
      </w:r>
      <w:r>
        <w:rPr>
          <w:rFonts w:ascii="Times New Roman" w:cs="Times New Roman" w:eastAsia="Times New Roman" w:hAnsi="Times New Roman"/>
          <w:sz w:val="14"/>
          <w:szCs w:val="14"/>
          <w:color w:val="auto"/>
        </w:rPr>
        <w:t>Cost of merchandise sold represents the net book value of rental merchandise at time of sale. Cost of merchandise sold increased by $121.0 million, or 18.5%,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$773.9 million for the year ended December 31, 2024, from $652.9 million in 2023, primarily attributable to an increase of $115.3 million in the Acima segment, driven by an increase in merchandise sales. The gross margin percent of merchandise sales decreased to (23.9)% for the year ended December 31, 2024, from (20.5)% in 2023.</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increased by $58.1 million, or 2.9%, to $2,080.4 million for the year ended December 31, 2024, from $2,022.3 million in 2023, primarily due to an increase of $58.2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Acima segment, as discussed further in the section “Segment Performance” below. Gross profit as a percentage of total revenue decreased to 48.1% in 2024, as compared to 50.7% in 2023.</w:t>
      </w:r>
    </w:p>
    <w:p>
      <w:pPr>
        <w:spacing w:after="0" w:line="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Operating Labor. </w:t>
      </w:r>
      <w:r>
        <w:rPr>
          <w:rFonts w:ascii="Times New Roman" w:cs="Times New Roman" w:eastAsia="Times New Roman" w:hAnsi="Times New Roman"/>
          <w:sz w:val="14"/>
          <w:szCs w:val="14"/>
          <w:color w:val="auto"/>
        </w:rPr>
        <w:t>Operating labor includes all salaries and wages paid to store operational employees and district managers, together with payroll taxes and benefits. Operating labor decreased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$4.3 million, or 0.7%, to $609.2 million for the year ended December 31, 2024, as compared to $613.5 million in 2023, primarily attributable to a decrease of $5.7 million in the Rent-A-Center segment, partially offset by an increase of $1.2 million in the Mexico segment. Operating labor expressed as a percentage of total revenue excluding franchise merchandise sales and royalty income and fees was 14.5% for the year ended December 31, 2024, as compared to 15.8% in 2023.</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Non-Labor Operating Expenses. </w:t>
      </w:r>
      <w:r>
        <w:rPr>
          <w:rFonts w:ascii="Times New Roman" w:cs="Times New Roman" w:eastAsia="Times New Roman" w:hAnsi="Times New Roman"/>
          <w:sz w:val="14"/>
          <w:szCs w:val="14"/>
          <w:color w:val="auto"/>
        </w:rPr>
        <w:t>Non-labor operating expenses include LCOs, occupancy, delivery, advertising, selling, insurance, travel and other operating expenses. Non-labor operating expenses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by $35.7 million, or 4.6%, to $811.6 million for the year ended December 31, 2024, as compared to $775.9 million in 2023, due to an increase of $49.2 million in the Acima segment, primarily attributable to an increase of $35.8 million in LCOs and other merchandise losses. Non-labor operating expenses expressed as a percentage of total revenue excluding franchise merchandise sales and royalty income and fees were 19.3% for the year ended December 31, 2024, compared to 20.0% in 2023.</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Expenses. </w:t>
      </w:r>
      <w:r>
        <w:rPr>
          <w:rFonts w:ascii="Times New Roman" w:cs="Times New Roman" w:eastAsia="Times New Roman" w:hAnsi="Times New Roman"/>
          <w:sz w:val="14"/>
          <w:szCs w:val="14"/>
          <w:color w:val="auto"/>
        </w:rPr>
        <w:t>General and administrative expenses include all corporate overhead expenses related to our headquarters such as salaries, payroll taxes and benefits, stock-based compensation, occupancy, administrative and other expenses, as well as salaries and labor costs for our regional directors, divisional vice presidents and executive vice presidents. General and administrative expenses increased by $10.8 million, or 5.3%, to $212.5 million for the year ended December 31, 2024, as compared to $201.7 million in 2023, primarily due to higher compensation. General and administrative expenses expressed as a percentage of total revenue were 4.9% for the year ended December 31, 2024, compared to 5.1% in 2023.</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Other gains and charges. </w:t>
      </w:r>
      <w:r>
        <w:rPr>
          <w:rFonts w:ascii="Times New Roman" w:cs="Times New Roman" w:eastAsia="Times New Roman" w:hAnsi="Times New Roman"/>
          <w:sz w:val="14"/>
          <w:szCs w:val="14"/>
          <w:color w:val="auto"/>
        </w:rPr>
        <w:t>Other gains and charges decreased by $112.3 million to $104.6 million in 2024, as compared to $216.9 million in 2023. The decrease in other gains and charges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driven by a decrease of $132.6 million in stock compensation expense recognized for the year ended December 31, 2024, related to the restricted stock issued in connection with the Acima Holding acquisition. The decrease to other gains and charges was also due to a decrease of $11.6 million in amortization of acquired intangible assets and $3.1 million in interest income on tax refunds related to prior year returns received in 2023, partially offset by increases of $15.4 million in estimated legal accruals and legal expenses, $5.9 million in lease impairment charges and fixed asset disposal, $5.1 million in accelerated stock compensation expense related to our letter agreement with the Company’s Chief Executive Officer, $3.1 million in accelerated software depreciation, and $3.7 million in acquisition transaction costs. See Note N of our consolidated financial statements included in this Annual Report on Form 10-K for additional information regarding our other gains and charges.</w:t>
      </w:r>
    </w:p>
    <w:p>
      <w:pPr>
        <w:spacing w:after="0" w:line="2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Operating Profit. </w:t>
      </w:r>
      <w:r>
        <w:rPr>
          <w:rFonts w:ascii="Times New Roman" w:cs="Times New Roman" w:eastAsia="Times New Roman" w:hAnsi="Times New Roman"/>
          <w:sz w:val="14"/>
          <w:szCs w:val="14"/>
          <w:color w:val="auto"/>
        </w:rPr>
        <w:t>Operating profit increased $128.7 million, or 79.1%, to $291.6 million for the year ended December 31, 2024, as compared to $162.9 million in 2023, primarily due to an increase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gross profit and decreases in other gains and charges and labor operating expenses, partially offset by increases in non-labor operating and general and administrative expenses as described above. Operating profit expressed as a percentage of total revenue was 6.7% for the year ended December 31, 2024, compared to 4.1% in 2023.</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46" w:name="page47"/>
    <w:bookmarkEnd w:id="46"/>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Income tax expense decreased by $3.9 million to $54.1 million for the year ended December 31, 2024, as compared to $58.0 million in 2023. The effective tax rate of 30.5%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year ended December 31, 2024, compared to 109.8% in 2023, decreased primarily due to a lower tax impact of stock compensation expense related to stock consideration issued to the former owners of Acima Holdings in the form of restricted stock awards, compared to the prior year period. See Note J of our consolidated financial statements included in this Annual Report on Form 10-K for additional information regarding our effective tax 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2023 and 2022</w:t>
      </w:r>
    </w:p>
    <w:p>
      <w:pPr>
        <w:spacing w:after="0" w:line="96" w:lineRule="exact"/>
        <w:rPr>
          <w:sz w:val="20"/>
          <w:szCs w:val="20"/>
          <w:color w:val="auto"/>
        </w:rPr>
      </w:pPr>
    </w:p>
    <w:p>
      <w:pPr>
        <w:jc w:val="both"/>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similar operating and financial data and discussion of our year ended December 31, 2023 results compared to our year ended December 31, 2022 results, refer to Part II. Item 7. “Management’s Discussion and Analysis of Financial Condition and Results of Operations” of our Annual Report on </w:t>
      </w:r>
      <w:hyperlink r:id="rId58">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Acima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2024-2023 Change</w:t>
            </w:r>
          </w:p>
        </w:tc>
        <w:tc>
          <w:tcPr>
            <w:tcW w:w="960" w:type="dxa"/>
            <w:vAlign w:val="bottom"/>
            <w:tcBorders>
              <w:bottom w:val="single" w:sz="8" w:color="auto"/>
            </w:tcBorders>
          </w:tcPr>
          <w:p>
            <w:pPr>
              <w:spacing w:after="0"/>
              <w:rPr>
                <w:sz w:val="13"/>
                <w:szCs w:val="13"/>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2,261,446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1,931,325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330,121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17.1 %</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702,620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644,447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58,173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profit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255,549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235,480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merchandise volume</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1,851,616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1,581,259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270,357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17.1 %</w:t>
            </w:r>
          </w:p>
        </w:tc>
      </w:tr>
    </w:tbl>
    <w:p>
      <w:pPr>
        <w:spacing w:after="0" w:line="1" w:lineRule="exact"/>
        <w:rPr>
          <w:sz w:val="20"/>
          <w:szCs w:val="20"/>
          <w:color w:val="auto"/>
        </w:rPr>
      </w:pPr>
    </w:p>
    <w:p>
      <w:pPr>
        <w:ind w:left="100" w:hanging="95"/>
        <w:spacing w:after="0"/>
        <w:tabs>
          <w:tab w:leader="none" w:pos="10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See </w:t>
      </w:r>
      <w:r>
        <w:rPr>
          <w:rFonts w:ascii="Times New Roman" w:cs="Times New Roman" w:eastAsia="Times New Roman" w:hAnsi="Times New Roman"/>
          <w:sz w:val="9"/>
          <w:szCs w:val="9"/>
          <w:i w:val="1"/>
          <w:iCs w:val="1"/>
          <w:color w:val="auto"/>
        </w:rPr>
        <w:t>Key Metrics</w:t>
      </w:r>
      <w:r>
        <w:rPr>
          <w:rFonts w:ascii="Times New Roman" w:cs="Times New Roman" w:eastAsia="Times New Roman" w:hAnsi="Times New Roman"/>
          <w:sz w:val="9"/>
          <w:szCs w:val="9"/>
          <w:color w:val="auto"/>
        </w:rPr>
        <w:t xml:space="preserve"> described above for additional information</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The increase in revenues for the year ended December 31, 2024 compared to 2023 was primarily due to increases in rentals and fees revenue and merchandise sales revenue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$244.9 million and $84.1 million, respectively, primarily resulting from higher GMV. Growth in GMV was primarily due to an increase in third-party retailer locations and productivity, which resulted in more leases per retailer, in addition to expanded direct-to-consumer offerings.</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increased for the year ended December 31, 2024 compared to 2023, driven primarily by the increase in revenues described above. Gross profit as a percentage of segment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revenues decreased to 31.1% for the year ended December 31, 2024, compared to 33.4% in 2023, primarily due to an increase in merchandise sales as a percent of total revenue, and the conversion of Acceptance Now locations to the Acima platform.</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Operating Profit</w:t>
      </w:r>
      <w:r>
        <w:rPr>
          <w:rFonts w:ascii="Times New Roman" w:cs="Times New Roman" w:eastAsia="Times New Roman" w:hAnsi="Times New Roman"/>
          <w:sz w:val="14"/>
          <w:szCs w:val="14"/>
          <w:color w:val="auto"/>
        </w:rPr>
        <w:t>. Operating profit as a percentage of segment revenues decreased to 11.3% for the year ended December 31, 2024, compared to 12.2% in 2023. The decrease in operating profit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margin was primarily due to increases in non-labor operating expense of approximately $49.2 million for the year ended December 31, 2024 compared to 2023 and decreases in gross profit margin described above. The increase in non-labor operating expense is primarily attributable to an increase of $35.8 million in LCOs and other merchandise losses for the year ended December 31, 2024 compared to 2023. Merchandise losses in our Acima locations due to LCOs, expressed as a percentage of revenues, were approximately 9.4% in 2024, compared to 9.3% in 2023. Merchandise losses in our Acima locations due to other merchandise losses, expressed as a percentage of revenues, were 0.2% in 2024, compared to 0.1% in 2023. Other merchandise losses include unrepairable and missing merchandise and loss/damage waiver claims.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Rent-A-Center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2024-2023 Change</w:t>
            </w:r>
          </w:p>
        </w:tc>
        <w:tc>
          <w:tcPr>
            <w:tcW w:w="960" w:type="dxa"/>
            <w:vAlign w:val="bottom"/>
            <w:tcBorders>
              <w:bottom w:val="single" w:sz="8" w:color="auto"/>
            </w:tcBorders>
          </w:tcPr>
          <w:p>
            <w:pPr>
              <w:spacing w:after="0"/>
              <w:rPr>
                <w:sz w:val="13"/>
                <w:szCs w:val="13"/>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1,863,425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1,864,123</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1,292,546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1,297,705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profit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280,423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273,518</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6,905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170"/>
        </w:trPr>
        <w:tc>
          <w:tcPr>
            <w:tcW w:w="51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Lease portfolio value</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136,751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144,960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0"/>
        </w:trPr>
        <w:tc>
          <w:tcPr>
            <w:tcW w:w="51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Same store lease portfolio value</w:t>
            </w:r>
            <w:r>
              <w:rPr>
                <w:rFonts w:ascii="Times New Roman" w:cs="Times New Roman" w:eastAsia="Times New Roman" w:hAnsi="Times New Roman"/>
                <w:sz w:val="16"/>
                <w:szCs w:val="16"/>
                <w:color w:val="auto"/>
                <w:vertAlign w:val="superscript"/>
              </w:rPr>
              <w:t>(1)</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123,364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125,905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0"/>
        </w:trPr>
        <w:tc>
          <w:tcPr>
            <w:tcW w:w="51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Change in same store sales</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7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Stores in same store sales calculation</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1,578</w:t>
            </w:r>
          </w:p>
        </w:tc>
      </w:tr>
    </w:tbl>
    <w:p>
      <w:pPr>
        <w:spacing w:after="0" w:line="51" w:lineRule="exact"/>
        <w:rPr>
          <w:sz w:val="20"/>
          <w:szCs w:val="20"/>
          <w:color w:val="auto"/>
        </w:rPr>
      </w:pPr>
    </w:p>
    <w:p>
      <w:pPr>
        <w:ind w:left="100" w:hanging="95"/>
        <w:spacing w:after="0"/>
        <w:tabs>
          <w:tab w:leader="none" w:pos="10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See </w:t>
      </w:r>
      <w:r>
        <w:rPr>
          <w:rFonts w:ascii="Times New Roman" w:cs="Times New Roman" w:eastAsia="Times New Roman" w:hAnsi="Times New Roman"/>
          <w:sz w:val="9"/>
          <w:szCs w:val="9"/>
          <w:i w:val="1"/>
          <w:iCs w:val="1"/>
          <w:color w:val="auto"/>
        </w:rPr>
        <w:t>Key Metrics</w:t>
      </w:r>
      <w:r>
        <w:rPr>
          <w:rFonts w:ascii="Times New Roman" w:cs="Times New Roman" w:eastAsia="Times New Roman" w:hAnsi="Times New Roman"/>
          <w:sz w:val="9"/>
          <w:szCs w:val="9"/>
          <w:color w:val="auto"/>
        </w:rPr>
        <w:t xml:space="preserve"> described above for additional information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7" w:name="page48"/>
    <w:bookmarkEnd w:id="47"/>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The decrease in revenue for the year ended December 31, 2024 was primarily due to decreases in merchandise sales and installment sales of $1.0 million and $2.7 million,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partially offset by an increase in rentals and fees revenues of $3.1 million, primarily attributable to a smaller portfolio, as a result of the sale of 55 stores to a Rent-A-Center franchisee and store consolidated. For the years ended December 31, 2024 and 2023, e-commerce revenues represented approximately 26% of total Rent-A-Center segment lease-to-own revenues.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decreased in 2024, driven primarily by the decrease in revenues described above. Gross profit as a percentage of segment revenues decreased to 69.4% in 2024 from 69.6%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2023, primarily due to mix-shift changes between lease merchandise product categories.</w:t>
      </w:r>
    </w:p>
    <w:p>
      <w:pPr>
        <w:spacing w:after="0" w:line="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Operating Profit. </w:t>
      </w:r>
      <w:r>
        <w:rPr>
          <w:rFonts w:ascii="Times New Roman" w:cs="Times New Roman" w:eastAsia="Times New Roman" w:hAnsi="Times New Roman"/>
          <w:sz w:val="14"/>
          <w:szCs w:val="14"/>
          <w:color w:val="auto"/>
        </w:rPr>
        <w:t>Operating profit as a percentage of segment revenues was 15.0% for 2024 compared to 14.7% for 2023. The increase in operating profit margin for the year ended December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was primarily due to a decrease in non-labor operating expenses of $13.4 million, which includes the net gain on refranchise sale of approximately $3.1 million, and decrease in operating labor expenses of approximately $5.7 million, partially offset by increase in other gains and charges of $7.3 million. Merchandise losses in our Rent-A-Center lease-to-own stores due to LCOs, expressed as a percentage of Rent-A-Center lease-to-own revenues, were approximately 4.7% for the year ended December 31, 2024, compared to 4.5% in 2023. Merchandise losses in our Rent-A-Center lease-to-own stores due to other merchandise losses, expressed as a percentage of Rent-A-Center lease-to-own revenues, were approximately 1.3% for the year ended December 31, 2024, compared to 1.4% in 2023. Other merchandise losses include unrepairable and missing merchandise and loss/damage waiver claims.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Mexico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2024-2023 Change</w:t>
            </w:r>
          </w:p>
        </w:tc>
        <w:tc>
          <w:tcPr>
            <w:tcW w:w="960" w:type="dxa"/>
            <w:vAlign w:val="bottom"/>
            <w:tcBorders>
              <w:bottom w:val="single" w:sz="8" w:color="auto"/>
            </w:tcBorders>
          </w:tcPr>
          <w:p>
            <w:pPr>
              <w:spacing w:after="0"/>
              <w:rPr>
                <w:sz w:val="13"/>
                <w:szCs w:val="13"/>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78,726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4,101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5.5 %</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56,432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3,563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6.7 %</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profit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70"/>
        </w:trPr>
        <w:tc>
          <w:tcPr>
            <w:tcW w:w="51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Change in same store sales</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r>
      <w:tr>
        <w:trPr>
          <w:trHeight w:val="17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Stores in same store sales calculation</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117</w:t>
            </w:r>
          </w:p>
        </w:tc>
      </w:tr>
    </w:tbl>
    <w:p>
      <w:pPr>
        <w:spacing w:after="0" w:line="51" w:lineRule="exact"/>
        <w:rPr>
          <w:sz w:val="20"/>
          <w:szCs w:val="20"/>
          <w:color w:val="auto"/>
        </w:rPr>
      </w:pPr>
    </w:p>
    <w:p>
      <w:pPr>
        <w:ind w:left="100" w:hanging="95"/>
        <w:spacing w:after="0"/>
        <w:tabs>
          <w:tab w:leader="none" w:pos="100"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See </w:t>
      </w:r>
      <w:r>
        <w:rPr>
          <w:rFonts w:ascii="Times New Roman" w:cs="Times New Roman" w:eastAsia="Times New Roman" w:hAnsi="Times New Roman"/>
          <w:sz w:val="9"/>
          <w:szCs w:val="9"/>
          <w:i w:val="1"/>
          <w:iCs w:val="1"/>
          <w:color w:val="auto"/>
        </w:rPr>
        <w:t>Key Metrics</w:t>
      </w:r>
      <w:r>
        <w:rPr>
          <w:rFonts w:ascii="Times New Roman" w:cs="Times New Roman" w:eastAsia="Times New Roman" w:hAnsi="Times New Roman"/>
          <w:sz w:val="9"/>
          <w:szCs w:val="9"/>
          <w:color w:val="auto"/>
        </w:rPr>
        <w:t xml:space="preserve"> described above for additional information</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Revenues for 2024 were negatively impacted by exchange rate fluctuations of approximately $2.2 million, as compared to 2023. On a constant currency basis, revenues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increased approximately $6.3 million, compared to 2023.</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for the year ended December 31, 2024 was negatively impacted by exchange rate fluctuations of approximately $1.6 million, as compared to 2023. On a constant currency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basis, gross profit for the year ended December 31, 2024 increased by approximately $5.2 million, compared to 2023. Gross profit as a percentage of segment revenues increased to 71.7% in 2024, compared to 70.8% in 2023.</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Operating Profit. </w:t>
      </w:r>
      <w:r>
        <w:rPr>
          <w:rFonts w:ascii="Times New Roman" w:cs="Times New Roman" w:eastAsia="Times New Roman" w:hAnsi="Times New Roman"/>
          <w:sz w:val="14"/>
          <w:szCs w:val="14"/>
          <w:color w:val="auto"/>
        </w:rPr>
        <w:t>Operating profit for the year ended December 31, 2024 was minimally impacted by exchange rate fluctuations, as compared to 2023. On a constant currency basis, the decrease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profit was less than $0.1 million for the year ended December 31, 2024, as compared to 2023. Operating profit as a percentage of segment revenues decreased to 6.1% in 2024, compared to 6.5% in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Franchising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2024-2023 Change</w:t>
            </w:r>
          </w:p>
        </w:tc>
        <w:tc>
          <w:tcPr>
            <w:tcW w:w="960" w:type="dxa"/>
            <w:vAlign w:val="bottom"/>
            <w:tcBorders>
              <w:bottom w:val="single" w:sz="8" w:color="auto"/>
            </w:tcBorders>
          </w:tcPr>
          <w:p>
            <w:pPr>
              <w:spacing w:after="0"/>
              <w:rPr>
                <w:sz w:val="13"/>
                <w:szCs w:val="13"/>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116,967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122,340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27,237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1,516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5.6 %</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profit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Revenues decreased for the year ended December 31, 2024, compared to 2023, primarily due to a decrease in merchandise purchases by franchisees of $6.9 million.</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as a percentage of segment revenues increased to 24.6% in 2024, compared to 22.3% in 2023, primarily due to the changes in the proportion of merchandise sales compared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royalty and fee revenue.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8" w:name="page49"/>
    <w:bookmarkEnd w:id="48"/>
    <w:p>
      <w:pPr>
        <w:ind w:right="540"/>
        <w:spacing w:after="0" w:line="411" w:lineRule="auto"/>
        <w:rPr>
          <w:sz w:val="20"/>
          <w:szCs w:val="20"/>
          <w:color w:val="auto"/>
        </w:rPr>
      </w:pPr>
      <w:r>
        <w:rPr>
          <w:rFonts w:ascii="Times New Roman" w:cs="Times New Roman" w:eastAsia="Times New Roman" w:hAnsi="Times New Roman"/>
          <w:sz w:val="14"/>
          <w:szCs w:val="14"/>
          <w:i w:val="1"/>
          <w:iCs w:val="1"/>
          <w:color w:val="auto"/>
        </w:rPr>
        <w:t xml:space="preserve">Operating Profit. </w:t>
      </w:r>
      <w:r>
        <w:rPr>
          <w:rFonts w:ascii="Times New Roman" w:cs="Times New Roman" w:eastAsia="Times New Roman" w:hAnsi="Times New Roman"/>
          <w:sz w:val="14"/>
          <w:szCs w:val="14"/>
          <w:color w:val="auto"/>
        </w:rPr>
        <w:t>Operating profit as a percentage of segment revenues increased to 14.3% in 2024, compared to 14.0% for 2023, primarily due to the change in gross profit described above.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Liquidity and Capital Resources</w:t>
      </w: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Overview. </w:t>
      </w:r>
      <w:r>
        <w:rPr>
          <w:rFonts w:ascii="Times New Roman" w:cs="Times New Roman" w:eastAsia="Times New Roman" w:hAnsi="Times New Roman"/>
          <w:sz w:val="14"/>
          <w:szCs w:val="14"/>
          <w:color w:val="auto"/>
        </w:rPr>
        <w:t>For the year ended December 31, 2024, we generated $104.7 million in operating cash flow and used cash in the amount of $323.8 million for debt repayments, $82.3 million for dividends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$56.3 million for capital expenditures, and had cash proceeds from indebtedness of $320.0 million and proceeds from sale of property assets of $18.7 million. We ended the year with $60.9 million of cash and cash equivalents and outstanding indebtedness of $1.3 billion. In connection with the Merger, we incurred additional indebtedness in January 2025, as discussed in the “Senior Debt” section below.</w:t>
      </w:r>
    </w:p>
    <w:p>
      <w:pPr>
        <w:spacing w:after="0" w:line="5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Analysis of Cash Flow. </w:t>
      </w:r>
      <w:r>
        <w:rPr>
          <w:rFonts w:ascii="Times New Roman" w:cs="Times New Roman" w:eastAsia="Times New Roman" w:hAnsi="Times New Roman"/>
          <w:sz w:val="14"/>
          <w:szCs w:val="14"/>
          <w:color w:val="auto"/>
        </w:rPr>
        <w:t>Cash provided by operating activities decreased by $95.6 million to $104.7 million in 2024 from $200.3 million in 2023, primarily due to an increase in our inventory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purchases driven by increased consumer demand.</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used in investing activities decreased to $41.5 million in 2024, compared to $51.0 million in 2023, primarily due to an increase in proceeds from the sale of property assets, partially offset by higher investment in store-related assets in our Rent-A-Center segment in 2024.</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used in financing activities decreased to $93.5 million in 2024, compared to $202.1 million in 2023, primarily due to an increase in borrowings under the ABL Credit Facility of $250.0 million and a decrease in share repurchases of $50.0 million, partially offset by an increase in debt repayments of $185.1 million.</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Liquidity Requirements</w:t>
      </w:r>
      <w:r>
        <w:rPr>
          <w:rFonts w:ascii="Times New Roman" w:cs="Times New Roman" w:eastAsia="Times New Roman" w:hAnsi="Times New Roman"/>
          <w:sz w:val="14"/>
          <w:szCs w:val="14"/>
          <w:color w:val="auto"/>
        </w:rPr>
        <w:t>. Our primary liquidity requirements are for rental merchandise purchases, which are impacted by consumer demand for our lease-to-own solutions. Other capital requirements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 expenditures for technology and property assets, and debt service. Our primary source of liquidity has been cash provided by operations.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generally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February 18, 2025, we had approximately $113.7 million in cash on hand. Please reference the </w:t>
      </w:r>
      <w:r>
        <w:rPr>
          <w:rFonts w:ascii="Times New Roman" w:cs="Times New Roman" w:eastAsia="Times New Roman" w:hAnsi="Times New Roman"/>
          <w:sz w:val="14"/>
          <w:szCs w:val="14"/>
          <w:i w:val="1"/>
          <w:iCs w:val="1"/>
          <w:color w:val="auto"/>
        </w:rPr>
        <w:t>Senior Debt</w:t>
      </w:r>
      <w:r>
        <w:rPr>
          <w:rFonts w:ascii="Times New Roman" w:cs="Times New Roman" w:eastAsia="Times New Roman" w:hAnsi="Times New Roman"/>
          <w:sz w:val="14"/>
          <w:szCs w:val="14"/>
          <w:color w:val="auto"/>
        </w:rPr>
        <w:t xml:space="preserve"> section below for additional discussion of our ABL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Merchandise Losses</w:t>
      </w:r>
      <w:r>
        <w:rPr>
          <w:rFonts w:ascii="Times New Roman" w:cs="Times New Roman" w:eastAsia="Times New Roman" w:hAnsi="Times New Roman"/>
          <w:sz w:val="14"/>
          <w:szCs w:val="14"/>
          <w:color w:val="auto"/>
        </w:rPr>
        <w:t>. Merchandise losses consist of the following: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r>
      <w:tr>
        <w:trPr>
          <w:trHeight w:val="15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charge-offs</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316,402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284,703</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336,475</w:t>
            </w:r>
          </w:p>
        </w:tc>
      </w:tr>
      <w:tr>
        <w:trPr>
          <w:trHeight w:val="170"/>
        </w:trPr>
        <w:tc>
          <w:tcPr>
            <w:tcW w:w="43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merchandise losses</w:t>
            </w:r>
            <w:r>
              <w:rPr>
                <w:rFonts w:ascii="Times New Roman" w:cs="Times New Roman" w:eastAsia="Times New Roman" w:hAnsi="Times New Roman"/>
                <w:sz w:val="16"/>
                <w:szCs w:val="16"/>
                <w:color w:val="auto"/>
                <w:vertAlign w:val="superscript"/>
              </w:rPr>
              <w:t>(1)</w:t>
            </w: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30,670</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29,112</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38,734</w:t>
            </w:r>
          </w:p>
        </w:tc>
      </w:tr>
      <w:tr>
        <w:trPr>
          <w:trHeight w:val="185"/>
        </w:trPr>
        <w:tc>
          <w:tcPr>
            <w:tcW w:w="4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merchandise losses</w:t>
            </w: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347,072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313,815</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375,209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80" w:hanging="111"/>
        <w:spacing w:after="0"/>
        <w:tabs>
          <w:tab w:leader="none" w:pos="180" w:val="left"/>
        </w:tabs>
        <w:numPr>
          <w:ilvl w:val="0"/>
          <w:numId w:val="22"/>
        </w:numPr>
        <w:rPr>
          <w:rFonts w:ascii="Arial" w:cs="Arial" w:eastAsia="Arial" w:hAnsi="Arial"/>
          <w:sz w:val="13"/>
          <w:szCs w:val="13"/>
          <w:color w:val="auto"/>
          <w:vertAlign w:val="superscript"/>
        </w:rPr>
      </w:pPr>
      <w:r>
        <w:rPr>
          <w:rFonts w:ascii="Times New Roman" w:cs="Times New Roman" w:eastAsia="Times New Roman" w:hAnsi="Times New Roman"/>
          <w:sz w:val="10"/>
          <w:szCs w:val="10"/>
          <w:color w:val="auto"/>
        </w:rPr>
        <w:t>Other merchandise losses include unrepairable and missing merchandise, and loss/damage waiver claims.</w:t>
      </w:r>
    </w:p>
    <w:p>
      <w:pPr>
        <w:spacing w:after="0" w:line="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Capital Expenditures</w:t>
      </w:r>
      <w:r>
        <w:rPr>
          <w:rFonts w:ascii="Times New Roman" w:cs="Times New Roman" w:eastAsia="Times New Roman" w:hAnsi="Times New Roman"/>
          <w:sz w:val="14"/>
          <w:szCs w:val="14"/>
          <w:color w:val="auto"/>
        </w:rPr>
        <w:t>. We make capital expenditures in order to maintain our existing operations, acquire new capital assets in new and acquired stores and invest in information technology. We spent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$56.3 million, $53.4 million and $61.4 million on capital expenditures in the years 2024, 2023 and 2022, respectively. The increase of $2.9 million for the year ended December 31, 2024 is primarily due to higher investment in store-related assets in our Rent-A-Center segment.</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Acquisitions and New Location Openings. </w:t>
      </w:r>
      <w:r>
        <w:rPr>
          <w:rFonts w:ascii="Times New Roman" w:cs="Times New Roman" w:eastAsia="Times New Roman" w:hAnsi="Times New Roman"/>
          <w:sz w:val="14"/>
          <w:szCs w:val="14"/>
          <w:color w:val="auto"/>
        </w:rPr>
        <w:t>During 2024, we acquired six lease-to-own store locations and customer accounts for an aggregate purchase price of approximately $1.5 million. Three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store locations were closed upon acquisition and consolidated into existing store operations in our Rent-A-Center segment and three remained open as part of our Rent-A-Center segment.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The tables below summarize the location activity for the years ended December 31, 2024, 2023 and 2022 for our Rent-A-Center, Mexico and Franchising operating segments.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20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Franchising</w:t>
            </w:r>
          </w:p>
        </w:tc>
        <w:tc>
          <w:tcPr>
            <w:tcW w:w="240" w:type="dxa"/>
            <w:vAlign w:val="bottom"/>
          </w:tcPr>
          <w:p>
            <w:pPr>
              <w:spacing w:after="0"/>
              <w:rPr>
                <w:sz w:val="13"/>
                <w:szCs w:val="13"/>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beginning of period</w:t>
            </w:r>
          </w:p>
        </w:tc>
        <w:tc>
          <w:tcPr>
            <w:tcW w:w="2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0" w:type="dxa"/>
            <w:vAlign w:val="bottom"/>
          </w:tcPr>
          <w:p>
            <w:pPr>
              <w:spacing w:after="0"/>
              <w:rPr>
                <w:sz w:val="1"/>
                <w:szCs w:val="1"/>
                <w:color w:val="auto"/>
              </w:rPr>
            </w:pP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New location openings</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Conversions</w:t>
            </w: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Closed locations</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Merged with existing locations</w:t>
            </w: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Sold or closed with no surviving location</w:t>
            </w: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8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end of period</w:t>
            </w: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Acquired locations closed and accounts merged with existing locations</w:t>
            </w: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Total approximate purchase price of acquired stores </w:t>
            </w:r>
            <w:r>
              <w:rPr>
                <w:rFonts w:ascii="Times New Roman" w:cs="Times New Roman" w:eastAsia="Times New Roman" w:hAnsi="Times New Roman"/>
                <w:sz w:val="13"/>
                <w:szCs w:val="13"/>
                <w:i w:val="1"/>
                <w:iCs w:val="1"/>
                <w:color w:val="auto"/>
              </w:rPr>
              <w:t>(in thousands)</w:t>
            </w:r>
          </w:p>
        </w:tc>
        <w:tc>
          <w:tcPr>
            <w:tcW w:w="2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4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20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Franchising</w:t>
            </w:r>
          </w:p>
        </w:tc>
        <w:tc>
          <w:tcPr>
            <w:tcW w:w="240" w:type="dxa"/>
            <w:vAlign w:val="bottom"/>
          </w:tcPr>
          <w:p>
            <w:pPr>
              <w:spacing w:after="0"/>
              <w:rPr>
                <w:sz w:val="13"/>
                <w:szCs w:val="13"/>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beginning of period</w:t>
            </w:r>
          </w:p>
        </w:tc>
        <w:tc>
          <w:tcPr>
            <w:tcW w:w="2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0" w:type="dxa"/>
            <w:vAlign w:val="bottom"/>
          </w:tcPr>
          <w:p>
            <w:pPr>
              <w:spacing w:after="0"/>
              <w:rPr>
                <w:sz w:val="1"/>
                <w:szCs w:val="1"/>
                <w:color w:val="auto"/>
              </w:rPr>
            </w:pP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New location openings</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Conversions</w:t>
            </w: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Closed locations</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Merged with existing locations</w:t>
            </w: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4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Sold or closed with no surviving location</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end of period</w:t>
            </w:r>
          </w:p>
        </w:tc>
        <w:tc>
          <w:tcPr>
            <w:tcW w:w="22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Acquired locations closed and accounts merged with existing locations</w:t>
            </w: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600" w:type="dxa"/>
            <w:vAlign w:val="bottom"/>
            <w:tcBorders>
              <w:top w:val="single" w:sz="8" w:color="CCEEFF"/>
            </w:tcBorders>
            <w:vMerge w:val="continue"/>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Total approximate purchase price of acquired store </w:t>
            </w:r>
            <w:r>
              <w:rPr>
                <w:rFonts w:ascii="Times New Roman" w:cs="Times New Roman" w:eastAsia="Times New Roman" w:hAnsi="Times New Roman"/>
                <w:sz w:val="13"/>
                <w:szCs w:val="13"/>
                <w:i w:val="1"/>
                <w:iCs w:val="1"/>
                <w:color w:val="auto"/>
              </w:rPr>
              <w:t>(in thousands)</w:t>
            </w:r>
          </w:p>
        </w:tc>
        <w:tc>
          <w:tcPr>
            <w:tcW w:w="2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4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20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Franchising</w:t>
            </w:r>
          </w:p>
        </w:tc>
        <w:tc>
          <w:tcPr>
            <w:tcW w:w="240" w:type="dxa"/>
            <w:vAlign w:val="bottom"/>
          </w:tcPr>
          <w:p>
            <w:pPr>
              <w:spacing w:after="0"/>
              <w:rPr>
                <w:sz w:val="13"/>
                <w:szCs w:val="13"/>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beginning of period</w:t>
            </w:r>
          </w:p>
        </w:tc>
        <w:tc>
          <w:tcPr>
            <w:tcW w:w="2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w:t>
            </w:r>
          </w:p>
        </w:tc>
        <w:tc>
          <w:tcPr>
            <w:tcW w:w="0" w:type="dxa"/>
            <w:vAlign w:val="bottom"/>
          </w:tcPr>
          <w:p>
            <w:pPr>
              <w:spacing w:after="0"/>
              <w:rPr>
                <w:sz w:val="1"/>
                <w:szCs w:val="1"/>
                <w:color w:val="auto"/>
              </w:rPr>
            </w:pP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New location openings</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Conversions</w:t>
            </w: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Closed locations</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Merged with existing locations</w:t>
            </w: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4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Sold or closed with no surviving location</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end of period</w:t>
            </w:r>
          </w:p>
        </w:tc>
        <w:tc>
          <w:tcPr>
            <w:tcW w:w="22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Acquired locations closed and accounts merged with existing locations</w:t>
            </w: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600" w:type="dxa"/>
            <w:vAlign w:val="bottom"/>
            <w:tcBorders>
              <w:top w:val="single" w:sz="8" w:color="CCEEFF"/>
            </w:tcBorders>
            <w:vMerge w:val="continue"/>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Total approximate purchase price of acquired stores </w:t>
            </w:r>
            <w:r>
              <w:rPr>
                <w:rFonts w:ascii="Times New Roman" w:cs="Times New Roman" w:eastAsia="Times New Roman" w:hAnsi="Times New Roman"/>
                <w:sz w:val="13"/>
                <w:szCs w:val="13"/>
                <w:i w:val="1"/>
                <w:iCs w:val="1"/>
                <w:color w:val="auto"/>
              </w:rPr>
              <w:t>(in thousands)</w:t>
            </w:r>
          </w:p>
        </w:tc>
        <w:tc>
          <w:tcPr>
            <w:tcW w:w="2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0" w:type="dxa"/>
            <w:vAlign w:val="bottom"/>
          </w:tcPr>
          <w:p>
            <w:pPr>
              <w:spacing w:after="0"/>
              <w:rPr>
                <w:sz w:val="1"/>
                <w:szCs w:val="1"/>
                <w:color w:val="auto"/>
              </w:rPr>
            </w:pPr>
          </w:p>
        </w:tc>
      </w:tr>
      <w:tr>
        <w:trPr>
          <w:trHeight w:val="774"/>
        </w:trPr>
        <w:tc>
          <w:tcPr>
            <w:tcW w:w="4600" w:type="dxa"/>
            <w:vAlign w:val="bottom"/>
          </w:tcPr>
          <w:p>
            <w:pPr>
              <w:spacing w:after="0"/>
              <w:rPr>
                <w:sz w:val="24"/>
                <w:szCs w:val="24"/>
                <w:color w:val="auto"/>
              </w:rPr>
            </w:pPr>
          </w:p>
        </w:tc>
        <w:tc>
          <w:tcPr>
            <w:tcW w:w="2240" w:type="dxa"/>
            <w:vAlign w:val="bottom"/>
          </w:tcPr>
          <w:p>
            <w:pPr>
              <w:jc w:val="right"/>
              <w:ind w:right="1055"/>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Senior Debt. </w:t>
      </w:r>
      <w:r>
        <w:rPr>
          <w:rFonts w:ascii="Times New Roman" w:cs="Times New Roman" w:eastAsia="Times New Roman" w:hAnsi="Times New Roman"/>
          <w:sz w:val="14"/>
          <w:szCs w:val="14"/>
          <w:color w:val="auto"/>
        </w:rPr>
        <w:t>On February 17, 2021, we entered into a credit agreement with JPMorgan Chase Bank, N.A., as administrative agent, and lenders party thereto, that provides for a five-year asset-based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revolving credit facility with commitments of $550 million and a letter of credit sublimit of $150 million, which commitments may be increased, at our option and under certain conditions, by up to an additional $125 million in the aggregate (as amended on June 7, 2024,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February 18, 2025, was 6.41%.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June 7, 2029, at which time all amounts borrowed must be repaid.</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February 17, 2021, we also entered into a term loan credit agreement with JPMorgan Chase Bank, N.A., as administrative agent, and lenders party thereto, that provides for a seven-year $875 million senior secured term loan facility (as amended on May 28, 2024,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February 18, 2025, was 7.04%.</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Borrowings under the Term Loan Facility amortize in equal quarterly installments in an amount equal to 1.00%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31, 2025, we used $323 million of our available commitments under our ABL Credit Facility to finance the Brigit acquisition. At February 18, 2025, we had outstanding borrowings of $802.3 million under the Term Loan Facility and available commitments of $94.5 million under our ABL Credit Facility, net of letters of credit.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K of our consolidated financial statements included in this Annual Report on Form 10-K for additional information regarding our senior debt.</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Senior Notes</w:t>
      </w:r>
      <w:r>
        <w:rPr>
          <w:rFonts w:ascii="Times New Roman" w:cs="Times New Roman" w:eastAsia="Times New Roman" w:hAnsi="Times New Roman"/>
          <w:sz w:val="14"/>
          <w:szCs w:val="14"/>
          <w:color w:val="auto"/>
        </w:rPr>
        <w:t>. On February 17, 2021, we issued $450 million in senior unsecured notes due February 15, 2029, at par value, bearing interest at 6.375% (the “Notes”). Interest on the Notes is payable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L of our consolidated financial statements included in this Annual Report on Form 10-K for additional information regarding our senior notes.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1" w:name="page52"/>
    <w:bookmarkEnd w:id="51"/>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Operating Leases</w:t>
      </w:r>
      <w:r>
        <w:rPr>
          <w:rFonts w:ascii="Times New Roman" w:cs="Times New Roman" w:eastAsia="Times New Roman" w:hAnsi="Times New Roman"/>
          <w:sz w:val="14"/>
          <w:szCs w:val="14"/>
          <w:color w:val="auto"/>
        </w:rPr>
        <w:t>. We lease space for all of our Rent-A-Center and Mexico stores under operating leases expiring at various times through 2034. In addition we lease space for certain support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facilities under operating leases expiring at various times through 2032. Most of our store leases are five-year leases and contain renewal options for additional periods ranging from three to five years at rental rates adjusted according to agreed-upon formulas. As of December 31, 2024, our total remaining obligation for existing store lease contracts was approximately $317.1 million.</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As of December 31, 2024, our total remaining minimum obligation for existing Rent-A-Center vehicle lease contracts was approximately $5.4 million.</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lease vehicles for all of our Mexico stores which have terms expiring at various times through 2029 with rental rates adjusted periodically for inflation. As of December 31, 2024, our total remaining obligation for existing Mexico vehicle lease contracts was approximately $3.1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Reference Note G of our consolidated financial statements included in this Annual Report on Form 10-K for additional discussion of our store operating leases.</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Uncertain Tax Position. </w:t>
      </w:r>
      <w:r>
        <w:rPr>
          <w:rFonts w:ascii="Times New Roman" w:cs="Times New Roman" w:eastAsia="Times New Roman" w:hAnsi="Times New Roman"/>
          <w:sz w:val="14"/>
          <w:szCs w:val="14"/>
          <w:color w:val="auto"/>
        </w:rPr>
        <w:t>As of December 31, 2024, we have recorded $0.4 million in uncertain tax positions. Although these positions represent a potential future cash liability to us, the amounts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timing of such payments are uncertain.</w:t>
      </w:r>
    </w:p>
    <w:p>
      <w:pPr>
        <w:spacing w:after="0" w:line="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Seasonality. </w:t>
      </w:r>
      <w:r>
        <w:rPr>
          <w:rFonts w:ascii="Times New Roman" w:cs="Times New Roman" w:eastAsia="Times New Roman" w:hAnsi="Times New Roman"/>
          <w:sz w:val="14"/>
          <w:szCs w:val="14"/>
          <w:color w:val="auto"/>
        </w:rPr>
        <w:t>Our revenue mix is moderately seasonal, with the first quarter of each fiscal year generally providing higher sales than any other quarter during a fiscal year. Generally, our customers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 Uncertainties or Assessments in Our Financial Statements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accounting principles generally accepted in the United States of America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 We believe the following are areas where the degree of judgment and complexity in determining amounts recorded in our consolidated financial statements make the accounting policies critical.</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make changes to our reserves in accordance with the policies described below, our earnings would be impacted. Increases to our reserves would reduce earnings and, similarly, reductions to our reserves would increase our earnings. A pre-tax change of approximately $0.8 million in our estimates would result in a corresponding $0.01 change in our diluted earnings per common share as of December 31, 2024.</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Self-Insurance Liabilities. </w:t>
      </w:r>
      <w:r>
        <w:rPr>
          <w:rFonts w:ascii="Times New Roman" w:cs="Times New Roman" w:eastAsia="Times New Roman" w:hAnsi="Times New Roman"/>
          <w:sz w:val="14"/>
          <w:szCs w:val="14"/>
          <w:color w:val="auto"/>
        </w:rPr>
        <w:t>We have self-insured retentions with respect to losses under our workers' compensation, general liability, vehicle liability and health insurance programs. We establish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reserves for our liabilities associated with these losses by obtaining forecasts for the ultimate expected losses and estimating amounts needed to pay losses within our self-insured retentions.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continually institute procedures to manage our loss exposure and increases in health care costs associated with our insurance claims through our risk management function, including a transitional duty program for injured workers, ongoing safety and accident prevention training, and various other programs designed to minimize losses and improve our loss experience in our store locations.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2" w:name="page53"/>
    <w:bookmarkEnd w:id="52"/>
    <w:p>
      <w:pPr>
        <w:jc w:val="both"/>
        <w:spacing w:after="0" w:line="287" w:lineRule="auto"/>
        <w:rPr>
          <w:sz w:val="20"/>
          <w:szCs w:val="20"/>
          <w:color w:val="auto"/>
        </w:rPr>
      </w:pPr>
      <w:r>
        <w:rPr>
          <w:rFonts w:ascii="Times New Roman" w:cs="Times New Roman" w:eastAsia="Times New Roman" w:hAnsi="Times New Roman"/>
          <w:sz w:val="14"/>
          <w:szCs w:val="14"/>
          <w:color w:val="auto"/>
        </w:rPr>
        <w:t>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the amount reserved for losses within our self-insured retentions with respect to workers’ compensation, general liability and vehicle liability insurance was $61.1 million, as compared to $71.6 million at December 31, 2023. However, if any of the factors that contribute to the overall cost of insurance claims were to change, the actual amount incurred for our self-insurance liabilities could be more or less than the amounts currently reserved.</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Rental Merchandise. </w:t>
      </w:r>
      <w:r>
        <w:rPr>
          <w:rFonts w:ascii="Times New Roman" w:cs="Times New Roman" w:eastAsia="Times New Roman" w:hAnsi="Times New Roman"/>
          <w:sz w:val="14"/>
          <w:szCs w:val="14"/>
          <w:color w:val="auto"/>
        </w:rPr>
        <w:t>Rental merchandise is carried at cost, net of accumulated depreciation. Depreciation for merchandise in Rent-A-Center, certain Acima locations formerly operating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Acceptance Now brand, and Mexico stores is depreciated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lease contract, which is an activity-based method similar to the units of production method. Depreciation of merchandise for Acima Holdings is recognized using a straight-line method over the term of the lease contract. Depreciation under the straight-line method is recognized each period over the term of the lease-to-own contract irrespective of receipt of revenue payments from the customer. In addition, merchandise that is held for rent for at least 180 consecutive days is depreciated using the straight-line method over a period generally not to exceed 18 months, and smartphones are also depreciated on a straight-line basis over an 18-month period beginning with the earlier of on rent or 90 consecutive days held for rent.</w:t>
      </w:r>
    </w:p>
    <w:p>
      <w:pPr>
        <w:spacing w:after="0" w:line="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time the account became past due in the Rent-A-Center and Mexico segments, on or before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our Acima segment and during the month following the 150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certain Acima locations formerly operating under the Acceptance Now brand. Minor repairs made to rental merchandise are expensed at the time of the repair. In addition, we maintain a reserve for these expected losses, which estimates the merchandise losses expected but not yet incurred as of the end of the accounting period based on a combination of historical write-offs and expected future losses. As of December 31, 2024 and 2023, the reserve for merchandise losses was $83.6 million and $84.7 million, respectively.</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Receivables and Allowance for Doubtful Accounts. </w:t>
      </w:r>
      <w:r>
        <w:rPr>
          <w:rFonts w:ascii="Times New Roman" w:cs="Times New Roman" w:eastAsia="Times New Roman" w:hAnsi="Times New Roman"/>
          <w:sz w:val="14"/>
          <w:szCs w:val="14"/>
          <w:color w:val="auto"/>
        </w:rPr>
        <w:t>The installment sales receivable associated with the sale of merchandise at our Get It Now and Home Choice stores generally consists of the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Consolidated Statements of Operations.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corporate-related receivables. The majority of our Franchising trade and notes receivables relate to amounts due from franchisees for inventory purchases, earned royalties and other obligations. Credit is extended to franchisees based on an evaluation of each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recognized as contra-bad debt expense in our Consolidated Statements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Valuation of Goodwill. </w:t>
      </w:r>
      <w:r>
        <w:rPr>
          <w:rFonts w:ascii="Times New Roman" w:cs="Times New Roman" w:eastAsia="Times New Roman" w:hAnsi="Times New Roman"/>
          <w:sz w:val="14"/>
          <w:szCs w:val="14"/>
          <w:color w:val="auto"/>
        </w:rPr>
        <w:t>We perform an assessment of goodwill for impairment at the reporting unit level annually as of October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3" w:name="page54"/>
    <w:bookmarkEnd w:id="53"/>
    <w:p>
      <w:pPr>
        <w:jc w:val="both"/>
        <w:spacing w:after="0" w:line="287" w:lineRule="auto"/>
        <w:rPr>
          <w:sz w:val="20"/>
          <w:szCs w:val="20"/>
          <w:color w:val="auto"/>
        </w:rPr>
      </w:pPr>
      <w:r>
        <w:rPr>
          <w:rFonts w:ascii="Times New Roman" w:cs="Times New Roman" w:eastAsia="Times New Roman" w:hAnsi="Times New Roman"/>
          <w:sz w:val="14"/>
          <w:szCs w:val="14"/>
          <w:color w:val="auto"/>
        </w:rPr>
        <w:t>1 or when events or circumstances indicate that impairment may have occurred. Factors which could necessitate an interim impairment assessment include a sustained decline in our stock price, prolonged negative industry or economic trends and significant underperformance relative to historical or projected future operating results.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As an alternative to performing a quantitative assessment to measure the fair value of the relevant unit, we may perform a qualitative assessment for impairment if we believe it is not more likely than not that the carrying value of the net assets of the reporting unit exceeds its fair value.</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Our reporting units are our reportable operating segments identified in Note T to our consolidated financial statements included in this Annual Report on Form 10-K. Determining the fair value of a reporting unit is judgmental in nature and involves the use of significant estimates and assumptions that we believe are reasonable but inherently uncertain, and actual results may differ from those estimates. These estimates and assumptions include, but are not limited to, future cash flows based on revenue growth rates and operating margins, and future economic and market conditions approximated by a discount rate derived from our weighted average cost of capital. Factors that could affect our ability to achieve the expected growth rates or operating margins include, but are not limited to, the general strength of the economy and other economic conditions that affect consumer preferences and spending and factors that affect the disposable income of our current and potential customers and other factors discussed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contained in Item 1A of this Annual Report on Form 10-K. Factors that could affect our weighted average cost of capital include changes in interest rates and changes in our effective tax rate.</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period from our 2023 goodwill impairment assessment through the third quarter 2024, we periodically analyzed whether any indicators of impairment had occurred, including by comparing the estimated fair value of the Company, as determined based on our consolidated stock price, to its net book value. As the estimated fair value of the Company was higher than its net book value during each of these periods, no additional testing was deemed necessary.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completed a qualitative assessment for impairment of goodwill as of October 1, 2024, concluding it was not more likely than not that the carrying value of the net assets of our reporting units exceeded their respective fair values.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and 2023, the amount of goodwill allocated to the Rent-A-Center segment was $1.9 million and $1.5 million, respectively. At both December 31, 2024 and 2023, the amount of goodwill allocated to the Acima segment was $288.3 million.</w:t>
      </w:r>
    </w:p>
    <w:p>
      <w:pPr>
        <w:spacing w:after="0" w:line="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Contingencies. </w:t>
      </w:r>
      <w:r>
        <w:rPr>
          <w:rFonts w:ascii="Times New Roman" w:cs="Times New Roman" w:eastAsia="Times New Roman" w:hAnsi="Times New Roman"/>
          <w:sz w:val="14"/>
          <w:szCs w:val="14"/>
          <w:color w:val="auto"/>
        </w:rPr>
        <w:t>We, along with our subsidiaries, are party to various legal proceedings and governmental inquiries and investigations given the nature of our business. We regularly monitor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developments related to these matters to determine whether a potential loss is probable and can be reasonably estimated for purposes of recording a reserve in our financial statements. We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As of December 31, 2024 and 2023, we recorded legal reserves of approximately $20.7 million and $8.8 million, respectively. Legal reserves are recorded under Accrued Liabilities in our Consolidated Balance Sheet. Please reference Notes I, M and N in the Notes to our Consolidated Financial Statements for additional disclosure related to our outstanding legal matters and related legal reserves.</w:t>
      </w:r>
    </w:p>
    <w:p>
      <w:pPr>
        <w:spacing w:after="0" w:line="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an assessment of our accounting policies and the underlying judgments and uncertainties affecting the application of those policies, we believe our consolidated financial statements fairly present in all material respects the financial condition, results of operations and cash flows of our company as of, and for, the periods presented in this Annual Report on Form 10-K. However, we do not suggest that other general risk factors, such as those discussed elsewhere in this report as well as changes in our growth objectives or performance of new or acquired locations, could not adversely impact our consolidated financial position, results of operations and cash flows in future periods.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The adoption of ASU 2023-09 will be required for us for fiscal years beginning after December 15, 2024. We expect the adoption of this ASU to result in additional disaggregation in the income taxes footnote disclosures.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4" w:name="page55"/>
    <w:bookmarkEnd w:id="54"/>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 Expenses</w:t>
      </w:r>
      <w:r>
        <w:rPr>
          <w:rFonts w:ascii="Times New Roman" w:cs="Times New Roman" w:eastAsia="Times New Roman" w:hAnsi="Times New Roman"/>
          <w:sz w:val="14"/>
          <w:szCs w:val="14"/>
          <w:color w:val="auto"/>
        </w:rPr>
        <w:t>, which requires new tabular disclosures disaggregating prescribed expense categories within relevant income statement captions. In January 2025, the FASB issued ASU 2025-01,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clarifies the effective date for ASU No. 2024-03. The adoption of ASU 2024-03 will be required for us for annual reporting periods beginning after December 15, 2026 and interim reporting periods beginning after December 15, 2027. We are currently assessing the ASU and the impact it will have on our financial statements following adoption.</w:t>
      </w:r>
    </w:p>
    <w:p>
      <w:pPr>
        <w:spacing w:after="0" w:line="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 setting bodies that we adopt as of the specified effective date.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7A.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Sensitivity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had $450 million in Notes outstanding at a fixed interest rate of 6.375%. We also had $802.3 million outstanding under the Term Loan Facility and $75.0 million outstanding under our ABL Credit Facility, each at interest rates indexed to the Term SOFR rate or the prime rate. Carrying value approximates fair value for such indebtedness.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outstanding debt with variable interest rates indexed to prime rate or Term SOFR rate that exposes us to the risk of increased interest costs if interest rates rise. As of December 31, 2024, we have not entered into any interest rate swap agreements. Based on our overall interest rate exposure at December 31, 2024, a hypothetical 1.0% increase or decrease in market interest rates would have the effect of causing an additional $8.8 million additional annualized pre-tax charge or credit to our Consolidated Statements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 xml:space="preserve">Item 8. </w:t>
      </w:r>
      <w:r>
        <w:rPr>
          <w:rFonts w:ascii="Times New Roman" w:cs="Times New Roman" w:eastAsia="Times New Roman" w:hAnsi="Times New Roman"/>
          <w:sz w:val="14"/>
          <w:szCs w:val="14"/>
          <w:b w:val="1"/>
          <w:bCs w:val="1"/>
          <w:i w:val="1"/>
          <w:iCs w:val="1"/>
          <w:color w:val="auto"/>
        </w:rPr>
        <w:t>Financial Statements and Supplementary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6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r>
      <w:tr>
        <w:trPr>
          <w:trHeight w:val="171"/>
        </w:trPr>
        <w:tc>
          <w:tcPr>
            <w:tcW w:w="43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54"/>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tc>
        <w:tc>
          <w:tcPr>
            <w:tcW w:w="59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8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Reports of Independent Registered Public Accounting Firm</w:t>
            </w:r>
          </w:p>
        </w:tc>
        <w:tc>
          <w:tcPr>
            <w:tcW w:w="6960" w:type="dxa"/>
            <w:vAlign w:val="bottom"/>
            <w:gridSpan w:val="2"/>
            <w:shd w:val="clear" w:color="auto" w:fill="CCEEFF"/>
          </w:tcPr>
          <w:p>
            <w:pPr>
              <w:jc w:val="center"/>
              <w:ind w:left="5869"/>
              <w:spacing w:after="0"/>
              <w:rPr>
                <w:sz w:val="20"/>
                <w:szCs w:val="20"/>
                <w:color w:val="auto"/>
              </w:rPr>
            </w:pPr>
            <w:r>
              <w:rPr>
                <w:rFonts w:ascii="Times New Roman" w:cs="Times New Roman" w:eastAsia="Times New Roman" w:hAnsi="Times New Roman"/>
                <w:sz w:val="14"/>
                <w:szCs w:val="14"/>
                <w:color w:val="auto"/>
                <w:w w:val="99"/>
              </w:rPr>
              <w:t>55</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Management's Annual Report on Internal Control over Financial Reporting</w:t>
            </w:r>
          </w:p>
        </w:tc>
        <w:tc>
          <w:tcPr>
            <w:tcW w:w="6960" w:type="dxa"/>
            <w:vAlign w:val="bottom"/>
            <w:gridSpan w:val="2"/>
          </w:tcPr>
          <w:p>
            <w:pPr>
              <w:jc w:val="center"/>
              <w:ind w:left="5869"/>
              <w:spacing w:after="0"/>
              <w:rPr>
                <w:sz w:val="20"/>
                <w:szCs w:val="20"/>
                <w:color w:val="auto"/>
              </w:rPr>
            </w:pPr>
            <w:r>
              <w:rPr>
                <w:rFonts w:ascii="Times New Roman" w:cs="Times New Roman" w:eastAsia="Times New Roman" w:hAnsi="Times New Roman"/>
                <w:sz w:val="14"/>
                <w:szCs w:val="14"/>
                <w:color w:val="auto"/>
                <w:w w:val="99"/>
              </w:rPr>
              <w:t>59</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5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Statements of Operations</w:t>
            </w:r>
          </w:p>
        </w:tc>
        <w:tc>
          <w:tcPr>
            <w:tcW w:w="6960" w:type="dxa"/>
            <w:vAlign w:val="bottom"/>
            <w:gridSpan w:val="2"/>
          </w:tcPr>
          <w:p>
            <w:pPr>
              <w:jc w:val="center"/>
              <w:ind w:left="5869"/>
              <w:spacing w:after="0"/>
              <w:rPr>
                <w:sz w:val="20"/>
                <w:szCs w:val="20"/>
                <w:color w:val="auto"/>
              </w:rPr>
            </w:pPr>
            <w:r>
              <w:rPr>
                <w:rFonts w:ascii="Times New Roman" w:cs="Times New Roman" w:eastAsia="Times New Roman" w:hAnsi="Times New Roman"/>
                <w:sz w:val="14"/>
                <w:szCs w:val="14"/>
                <w:color w:val="auto"/>
                <w:w w:val="99"/>
              </w:rPr>
              <w:t>60</w:t>
            </w:r>
          </w:p>
        </w:tc>
      </w:tr>
      <w:tr>
        <w:trPr>
          <w:trHeight w:val="18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6960" w:type="dxa"/>
            <w:vAlign w:val="bottom"/>
            <w:gridSpan w:val="2"/>
            <w:shd w:val="clear" w:color="auto" w:fill="CCEEFF"/>
          </w:tcPr>
          <w:p>
            <w:pPr>
              <w:jc w:val="center"/>
              <w:ind w:left="5869"/>
              <w:spacing w:after="0"/>
              <w:rPr>
                <w:sz w:val="20"/>
                <w:szCs w:val="20"/>
                <w:color w:val="auto"/>
              </w:rPr>
            </w:pPr>
            <w:r>
              <w:rPr>
                <w:rFonts w:ascii="Times New Roman" w:cs="Times New Roman" w:eastAsia="Times New Roman" w:hAnsi="Times New Roman"/>
                <w:sz w:val="14"/>
                <w:szCs w:val="14"/>
                <w:color w:val="auto"/>
                <w:w w:val="99"/>
              </w:rPr>
              <w:t>61</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6960" w:type="dxa"/>
            <w:vAlign w:val="bottom"/>
            <w:gridSpan w:val="2"/>
          </w:tcPr>
          <w:p>
            <w:pPr>
              <w:jc w:val="center"/>
              <w:ind w:left="5869"/>
              <w:spacing w:after="0"/>
              <w:rPr>
                <w:sz w:val="20"/>
                <w:szCs w:val="20"/>
                <w:color w:val="auto"/>
              </w:rPr>
            </w:pPr>
            <w:r>
              <w:rPr>
                <w:rFonts w:ascii="Times New Roman" w:cs="Times New Roman" w:eastAsia="Times New Roman" w:hAnsi="Times New Roman"/>
                <w:sz w:val="14"/>
                <w:szCs w:val="14"/>
                <w:color w:val="auto"/>
                <w:w w:val="99"/>
              </w:rPr>
              <w:t>62</w:t>
            </w:r>
          </w:p>
        </w:tc>
      </w:tr>
      <w:tr>
        <w:trPr>
          <w:trHeight w:val="18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tc>
        <w:tc>
          <w:tcPr>
            <w:tcW w:w="6960" w:type="dxa"/>
            <w:vAlign w:val="bottom"/>
            <w:gridSpan w:val="2"/>
            <w:shd w:val="clear" w:color="auto" w:fill="CCEEFF"/>
          </w:tcPr>
          <w:p>
            <w:pPr>
              <w:jc w:val="center"/>
              <w:ind w:left="5869"/>
              <w:spacing w:after="0"/>
              <w:rPr>
                <w:sz w:val="20"/>
                <w:szCs w:val="20"/>
                <w:color w:val="auto"/>
              </w:rPr>
            </w:pPr>
            <w:r>
              <w:rPr>
                <w:rFonts w:ascii="Times New Roman" w:cs="Times New Roman" w:eastAsia="Times New Roman" w:hAnsi="Times New Roman"/>
                <w:sz w:val="14"/>
                <w:szCs w:val="14"/>
                <w:color w:val="auto"/>
                <w:w w:val="99"/>
              </w:rPr>
              <w:t>63</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6960" w:type="dxa"/>
            <w:vAlign w:val="bottom"/>
            <w:gridSpan w:val="2"/>
          </w:tcPr>
          <w:p>
            <w:pPr>
              <w:jc w:val="center"/>
              <w:ind w:left="5869"/>
              <w:spacing w:after="0"/>
              <w:rPr>
                <w:sz w:val="20"/>
                <w:szCs w:val="20"/>
                <w:color w:val="auto"/>
              </w:rPr>
            </w:pPr>
            <w:r>
              <w:rPr>
                <w:rFonts w:ascii="Times New Roman" w:cs="Times New Roman" w:eastAsia="Times New Roman" w:hAnsi="Times New Roman"/>
                <w:sz w:val="14"/>
                <w:szCs w:val="14"/>
                <w:color w:val="auto"/>
                <w:w w:val="99"/>
              </w:rPr>
              <w:t>64</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6960" w:type="dxa"/>
            <w:vAlign w:val="bottom"/>
            <w:gridSpan w:val="2"/>
            <w:shd w:val="clear" w:color="auto" w:fill="CCEEFF"/>
          </w:tcPr>
          <w:p>
            <w:pPr>
              <w:jc w:val="center"/>
              <w:ind w:left="5869"/>
              <w:spacing w:after="0"/>
              <w:rPr>
                <w:sz w:val="20"/>
                <w:szCs w:val="20"/>
                <w:color w:val="auto"/>
              </w:rPr>
            </w:pPr>
            <w:r>
              <w:rPr>
                <w:rFonts w:ascii="Times New Roman" w:cs="Times New Roman" w:eastAsia="Times New Roman" w:hAnsi="Times New Roman"/>
                <w:sz w:val="14"/>
                <w:szCs w:val="14"/>
                <w:color w:val="auto"/>
                <w:w w:val="99"/>
              </w:rPr>
              <w:t>65</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56" w:name="page57"/>
    <w:bookmarkEnd w:id="56"/>
    <w:p>
      <w:pPr>
        <w:ind w:right="3680" w:firstLine="3687"/>
        <w:spacing w:after="0" w:line="387"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To the Stockholders and the Board of Directors of Upbound Group,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audited the accompanying consolidated balance sheets of Upbound Group, Inc. and subsidiaries (the Company) as of December 31, 2024 and 2023, the related consolidated statements of operations,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color w:val="auto"/>
        </w:rPr>
        <w:t>Lease Charge-off Reserves</w:t>
      </w:r>
    </w:p>
    <w:p>
      <w:pPr>
        <w:spacing w:after="0" w:line="33" w:lineRule="exact"/>
        <w:rPr>
          <w:sz w:val="20"/>
          <w:szCs w:val="20"/>
          <w:color w:val="auto"/>
        </w:rPr>
      </w:pPr>
    </w:p>
    <w:p>
      <w:pPr>
        <w:ind w:left="20"/>
        <w:spacing w:after="0"/>
        <w:tabs>
          <w:tab w:leader="none" w:pos="256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Arial" w:cs="Arial" w:eastAsia="Arial" w:hAnsi="Arial"/>
          <w:sz w:val="14"/>
          <w:szCs w:val="14"/>
          <w:color w:val="auto"/>
        </w:rPr>
        <w:t>As described in Note A to the consolidated financial statements, the Company maintains an $83.6 million reserve for expected</w:t>
      </w:r>
    </w:p>
    <w:p>
      <w:pPr>
        <w:spacing w:after="0" w:line="9" w:lineRule="exact"/>
        <w:rPr>
          <w:sz w:val="20"/>
          <w:szCs w:val="20"/>
          <w:color w:val="auto"/>
        </w:rPr>
      </w:pPr>
    </w:p>
    <w:p>
      <w:pPr>
        <w:jc w:val="both"/>
        <w:ind w:left="2580"/>
        <w:spacing w:after="0" w:line="238" w:lineRule="auto"/>
        <w:rPr>
          <w:sz w:val="20"/>
          <w:szCs w:val="20"/>
          <w:color w:val="auto"/>
        </w:rPr>
      </w:pPr>
      <w:r>
        <w:rPr>
          <w:rFonts w:ascii="Arial" w:cs="Arial" w:eastAsia="Arial" w:hAnsi="Arial"/>
          <w:sz w:val="14"/>
          <w:szCs w:val="14"/>
          <w:color w:val="auto"/>
        </w:rPr>
        <w:t>merchandise losses from unreturned merchandise related to delinquent rental agreements. The Company estimates this reserve based on a combination of historical write-offs and expected future losses.</w:t>
      </w:r>
    </w:p>
    <w:p>
      <w:pPr>
        <w:spacing w:after="0" w:line="80" w:lineRule="exact"/>
        <w:rPr>
          <w:sz w:val="20"/>
          <w:szCs w:val="20"/>
          <w:color w:val="auto"/>
        </w:rPr>
      </w:pPr>
    </w:p>
    <w:p>
      <w:pPr>
        <w:jc w:val="both"/>
        <w:ind w:left="2580"/>
        <w:spacing w:after="0" w:line="233" w:lineRule="auto"/>
        <w:rPr>
          <w:sz w:val="20"/>
          <w:szCs w:val="20"/>
          <w:color w:val="auto"/>
        </w:rPr>
      </w:pPr>
      <w:r>
        <w:rPr>
          <w:rFonts w:ascii="Arial" w:cs="Arial" w:eastAsia="Arial" w:hAnsi="Arial"/>
          <w:sz w:val="14"/>
          <w:szCs w:val="14"/>
          <w:color w:val="auto"/>
        </w:rPr>
        <w:t>Auditing the Company’s lease charge-off reserves for certain segments was complex due to the level of uncertainty associated with management’s assumptions used to estimate the reserve. In particular, management was required to estimate the amount of merchandise not expected to be returned related to delinquent accounts. The Company estimates expected losses from delinquent accounts based on</w:t>
      </w:r>
    </w:p>
    <w:p>
      <w:pPr>
        <w:spacing w:after="0" w:line="1" w:lineRule="exact"/>
        <w:rPr>
          <w:sz w:val="20"/>
          <w:szCs w:val="20"/>
          <w:color w:val="auto"/>
        </w:rPr>
      </w:pPr>
    </w:p>
    <w:p>
      <w:pPr>
        <w:jc w:val="both"/>
        <w:ind w:left="2580"/>
        <w:spacing w:after="0" w:line="238" w:lineRule="auto"/>
        <w:rPr>
          <w:sz w:val="20"/>
          <w:szCs w:val="20"/>
          <w:color w:val="auto"/>
        </w:rPr>
      </w:pPr>
      <w:r>
        <w:rPr>
          <w:rFonts w:ascii="Arial" w:cs="Arial" w:eastAsia="Arial" w:hAnsi="Arial"/>
          <w:sz w:val="14"/>
          <w:szCs w:val="14"/>
          <w:color w:val="auto"/>
        </w:rPr>
        <w:t>historical write-off experience, including the number of days the account is past due and expectations about future losses from delinquent accounts at the end of the year.</w:t>
      </w:r>
    </w:p>
    <w:p>
      <w:pPr>
        <w:spacing w:after="0" w:line="291" w:lineRule="exact"/>
        <w:rPr>
          <w:sz w:val="20"/>
          <w:szCs w:val="20"/>
          <w:color w:val="auto"/>
        </w:rPr>
      </w:pPr>
    </w:p>
    <w:p>
      <w:pPr>
        <w:jc w:val="both"/>
        <w:ind w:left="2580" w:hanging="2556"/>
        <w:spacing w:after="0"/>
        <w:rPr>
          <w:sz w:val="20"/>
          <w:szCs w:val="20"/>
          <w:color w:val="auto"/>
        </w:rPr>
      </w:pPr>
      <w:r>
        <w:rPr>
          <w:rFonts w:ascii="Times New Roman" w:cs="Times New Roman" w:eastAsia="Times New Roman" w:hAnsi="Times New Roman"/>
          <w:sz w:val="14"/>
          <w:szCs w:val="14"/>
          <w:i w:val="1"/>
          <w:iCs w:val="1"/>
          <w:color w:val="auto"/>
        </w:rPr>
        <w:t xml:space="preserve">How We Addressed the Matter in Our Audit </w:t>
      </w:r>
      <w:r>
        <w:rPr>
          <w:rFonts w:ascii="Arial" w:cs="Arial" w:eastAsia="Arial" w:hAnsi="Arial"/>
          <w:sz w:val="14"/>
          <w:szCs w:val="14"/>
          <w:color w:val="auto"/>
        </w:rPr>
        <w:t>We obtained an understanding, evaluated the design, and tested the operating effectiveness of controls over the Company’s process to</w:t>
      </w:r>
      <w:r>
        <w:rPr>
          <w:rFonts w:ascii="Times New Roman" w:cs="Times New Roman" w:eastAsia="Times New Roman" w:hAnsi="Times New Roman"/>
          <w:sz w:val="14"/>
          <w:szCs w:val="14"/>
          <w:i w:val="1"/>
          <w:iCs w:val="1"/>
          <w:color w:val="auto"/>
        </w:rPr>
        <w:t xml:space="preserve"> </w:t>
      </w:r>
      <w:r>
        <w:rPr>
          <w:rFonts w:ascii="Arial" w:cs="Arial" w:eastAsia="Arial" w:hAnsi="Arial"/>
          <w:sz w:val="14"/>
          <w:szCs w:val="14"/>
          <w:color w:val="auto"/>
        </w:rPr>
        <w:t>determine the valuation of the lease charge-off reserve. This included testing controls over the Company’s review of the significant inputs underlying the reserve estimate, which include those mentioned above.</w:t>
      </w:r>
    </w:p>
    <w:p>
      <w:pPr>
        <w:spacing w:after="0" w:line="16" w:lineRule="exact"/>
        <w:rPr>
          <w:sz w:val="20"/>
          <w:szCs w:val="20"/>
          <w:color w:val="auto"/>
        </w:rPr>
      </w:pPr>
    </w:p>
    <w:p>
      <w:pPr>
        <w:jc w:val="both"/>
        <w:ind w:left="2580"/>
        <w:spacing w:after="0" w:line="233" w:lineRule="auto"/>
        <w:rPr>
          <w:sz w:val="20"/>
          <w:szCs w:val="20"/>
          <w:color w:val="auto"/>
        </w:rPr>
      </w:pPr>
      <w:r>
        <w:rPr>
          <w:rFonts w:ascii="Arial" w:cs="Arial" w:eastAsia="Arial" w:hAnsi="Arial"/>
          <w:sz w:val="14"/>
          <w:szCs w:val="14"/>
          <w:color w:val="auto"/>
        </w:rPr>
        <w:t>To test the adequacy of the Company’s lease charge-off reserve, we performed substantive audit procedures that included, among others, testing the accuracy and completeness of the underlying data used in the reserve calculations and evaluating the Company’s methodology for estimating future losses. We evaluated significant assumptions, including those mentioned above, that were used in management’s</w:t>
      </w:r>
    </w:p>
    <w:p>
      <w:pPr>
        <w:spacing w:after="0" w:line="1" w:lineRule="exact"/>
        <w:rPr>
          <w:sz w:val="20"/>
          <w:szCs w:val="20"/>
          <w:color w:val="auto"/>
        </w:rPr>
      </w:pPr>
    </w:p>
    <w:p>
      <w:pPr>
        <w:jc w:val="both"/>
        <w:ind w:left="2580"/>
        <w:spacing w:after="0" w:line="226" w:lineRule="auto"/>
        <w:rPr>
          <w:sz w:val="20"/>
          <w:szCs w:val="20"/>
          <w:color w:val="auto"/>
        </w:rPr>
      </w:pPr>
      <w:r>
        <w:rPr>
          <w:rFonts w:ascii="Arial" w:cs="Arial" w:eastAsia="Arial" w:hAnsi="Arial"/>
          <w:sz w:val="14"/>
          <w:szCs w:val="14"/>
          <w:color w:val="auto"/>
        </w:rPr>
        <w:t>calculation of the lease charge-off reserve. We also tested a sample of actual charge-offs to supporting documents to validate the number of days an account is delinquent before a write-off occurs for merchandise on rent. Among our other procedures, we performed sensitivity analyses over significant assumptions to evaluate the changes in the estimated lease charge-off reserve resulting from changes in the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Company's significant assumptions.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Accrual for trade receivables</w:t>
      </w:r>
    </w:p>
    <w:p>
      <w:pPr>
        <w:sectPr>
          <w:pgSz w:w="11900" w:h="16838" w:orient="portrait"/>
          <w:cols w:equalWidth="0" w:num="1">
            <w:col w:w="11260"/>
          </w:cols>
          <w:pgMar w:left="300" w:top="1133"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At December 31, 2024, the Company’s accrual for Acima trade receivables was $46.6 million, representing renewal and uncollected rental payments, adjusted for the probability of collection. As discussed in Note A to the consolidated financial statements, the Company estimates the probability of collection for renewal and uncollected rental payments based on an assessment that uses historical collection</w:t>
      </w:r>
    </w:p>
    <w:p>
      <w:pPr>
        <w:spacing w:after="0" w:line="1" w:lineRule="exact"/>
        <w:rPr>
          <w:sz w:val="20"/>
          <w:szCs w:val="20"/>
          <w:color w:val="auto"/>
        </w:rPr>
      </w:pPr>
    </w:p>
    <w:p>
      <w:pPr>
        <w:sectPr>
          <w:pgSz w:w="11900" w:h="16838" w:orient="portrait"/>
          <w:cols w:equalWidth="0" w:num="2">
            <w:col w:w="1880" w:space="720"/>
            <w:col w:w="8660"/>
          </w:cols>
          <w:pgMar w:left="300" w:top="1133" w:right="339" w:bottom="1440" w:gutter="0" w:footer="0" w:header="0"/>
          <w:type w:val="continuous"/>
        </w:sectPr>
      </w:pPr>
    </w:p>
    <w:p>
      <w:pPr>
        <w:ind w:left="2600"/>
        <w:spacing w:after="0"/>
        <w:rPr>
          <w:sz w:val="20"/>
          <w:szCs w:val="20"/>
          <w:color w:val="auto"/>
        </w:rPr>
      </w:pPr>
      <w:r>
        <w:rPr>
          <w:rFonts w:ascii="Arial" w:cs="Arial" w:eastAsia="Arial" w:hAnsi="Arial"/>
          <w:sz w:val="14"/>
          <w:szCs w:val="14"/>
          <w:color w:val="auto"/>
        </w:rPr>
        <w:t>rates.</w:t>
      </w:r>
    </w:p>
    <w:p>
      <w:pPr>
        <w:spacing w:after="0" w:line="79" w:lineRule="exact"/>
        <w:rPr>
          <w:sz w:val="20"/>
          <w:szCs w:val="20"/>
          <w:color w:val="auto"/>
        </w:rPr>
      </w:pPr>
    </w:p>
    <w:p>
      <w:pPr>
        <w:jc w:val="both"/>
        <w:ind w:left="2600"/>
        <w:spacing w:after="0" w:line="230" w:lineRule="auto"/>
        <w:rPr>
          <w:sz w:val="20"/>
          <w:szCs w:val="20"/>
          <w:color w:val="auto"/>
        </w:rPr>
      </w:pPr>
      <w:r>
        <w:rPr>
          <w:rFonts w:ascii="Arial" w:cs="Arial" w:eastAsia="Arial" w:hAnsi="Arial"/>
          <w:sz w:val="14"/>
          <w:szCs w:val="14"/>
          <w:color w:val="auto"/>
        </w:rPr>
        <w:t>Auditing the Company’s accrual for Acima trade receivables for certain segments was complex due to the level of uncertainty associated with management’s assumptions used to estimate the adjustment. In particular, management was required to estimate the probability of collecting renewal and uncollected rental payments from accounts that are past due. The Company estimates the probability of collection from past due accounts based on historical write-off experience, including the probability of write-off based on the number of days the</w:t>
      </w:r>
    </w:p>
    <w:p>
      <w:pPr>
        <w:spacing w:after="0" w:line="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account is past due and expectations about future collections from delinquent accounts at the end of the year.</w:t>
      </w:r>
    </w:p>
    <w:p>
      <w:pPr>
        <w:sectPr>
          <w:pgSz w:w="11900" w:h="16838" w:orient="portrait"/>
          <w:cols w:equalWidth="0" w:num="1">
            <w:col w:w="11260"/>
          </w:cols>
          <w:pgMar w:left="300" w:top="11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type w:val="continuous"/>
        </w:sectPr>
      </w:pPr>
    </w:p>
    <w:bookmarkStart w:id="58" w:name="page59"/>
    <w:bookmarkEnd w:id="58"/>
    <w:p>
      <w:pPr>
        <w:jc w:val="right"/>
        <w:ind w:left="20"/>
        <w:spacing w:after="0"/>
        <w:rPr>
          <w:sz w:val="20"/>
          <w:szCs w:val="20"/>
          <w:color w:val="auto"/>
        </w:rPr>
      </w:pPr>
      <w:r>
        <w:rPr>
          <w:rFonts w:ascii="Times New Roman" w:cs="Times New Roman" w:eastAsia="Times New Roman" w:hAnsi="Times New Roman"/>
          <w:sz w:val="14"/>
          <w:szCs w:val="14"/>
          <w:i w:val="1"/>
          <w:iCs w:val="1"/>
          <w:color w:val="auto"/>
        </w:rPr>
        <w:t xml:space="preserve">How We Addressed the Matter in Our Audit  </w:t>
      </w:r>
      <w:r>
        <w:rPr>
          <w:rFonts w:ascii="Arial" w:cs="Arial" w:eastAsia="Arial" w:hAnsi="Arial"/>
          <w:sz w:val="14"/>
          <w:szCs w:val="14"/>
          <w:color w:val="auto"/>
        </w:rPr>
        <w:t>We obtained an understanding, evaluated the design, and tested the operating effectiveness of controls over the Company’s accrual for</w:t>
      </w:r>
      <w:r>
        <w:rPr>
          <w:rFonts w:ascii="Times New Roman" w:cs="Times New Roman" w:eastAsia="Times New Roman" w:hAnsi="Times New Roman"/>
          <w:sz w:val="14"/>
          <w:szCs w:val="14"/>
          <w:i w:val="1"/>
          <w:iCs w:val="1"/>
          <w:color w:val="auto"/>
        </w:rPr>
        <w:t xml:space="preserve"> </w:t>
      </w:r>
      <w:r>
        <w:rPr>
          <w:rFonts w:ascii="Arial" w:cs="Arial" w:eastAsia="Arial" w:hAnsi="Arial"/>
          <w:sz w:val="14"/>
          <w:szCs w:val="14"/>
          <w:color w:val="auto"/>
        </w:rPr>
        <w:t>Acima trade receivables. This included testing controls over the Company’s review of the significant assumptions used in the accrued</w:t>
      </w:r>
    </w:p>
    <w:p>
      <w:pPr>
        <w:spacing w:after="0" w:line="1" w:lineRule="exact"/>
        <w:rPr>
          <w:sz w:val="20"/>
          <w:szCs w:val="20"/>
          <w:color w:val="auto"/>
        </w:rPr>
      </w:pPr>
    </w:p>
    <w:p>
      <w:pPr>
        <w:ind w:left="2600"/>
        <w:spacing w:after="0" w:line="238" w:lineRule="auto"/>
        <w:rPr>
          <w:sz w:val="20"/>
          <w:szCs w:val="20"/>
          <w:color w:val="auto"/>
        </w:rPr>
      </w:pPr>
      <w:r>
        <w:rPr>
          <w:rFonts w:ascii="Arial" w:cs="Arial" w:eastAsia="Arial" w:hAnsi="Arial"/>
          <w:sz w:val="14"/>
          <w:szCs w:val="14"/>
          <w:color w:val="auto"/>
        </w:rPr>
        <w:t>receivable calculation, including the probability that a delinquent account will be collected based on historical write-off experience, the likelihood of collection based on the number of days the receivable is past due and expectations about future collections.</w:t>
      </w:r>
    </w:p>
    <w:p>
      <w:pPr>
        <w:spacing w:after="0" w:line="80" w:lineRule="exact"/>
        <w:rPr>
          <w:sz w:val="20"/>
          <w:szCs w:val="20"/>
          <w:color w:val="auto"/>
        </w:rPr>
      </w:pPr>
    </w:p>
    <w:p>
      <w:pPr>
        <w:jc w:val="both"/>
        <w:ind w:left="2600"/>
        <w:spacing w:after="0" w:line="233" w:lineRule="auto"/>
        <w:rPr>
          <w:sz w:val="20"/>
          <w:szCs w:val="20"/>
          <w:color w:val="auto"/>
        </w:rPr>
      </w:pPr>
      <w:r>
        <w:rPr>
          <w:rFonts w:ascii="Arial" w:cs="Arial" w:eastAsia="Arial" w:hAnsi="Arial"/>
          <w:sz w:val="14"/>
          <w:szCs w:val="14"/>
          <w:color w:val="auto"/>
        </w:rPr>
        <w:t>To test the Company’s accrual for Acima trade receivables, we performed substantive audit procedures that included, among others, testing the accuracy and completeness of the underlying data used in the calculations and evaluating the Company’s methodology for estimating the probability of collection. We evaluated significant assumptions, including those mentioned above, that were used in</w:t>
      </w:r>
    </w:p>
    <w:p>
      <w:pPr>
        <w:spacing w:after="0" w:line="1" w:lineRule="exact"/>
        <w:rPr>
          <w:sz w:val="20"/>
          <w:szCs w:val="20"/>
          <w:color w:val="auto"/>
        </w:rPr>
      </w:pPr>
    </w:p>
    <w:p>
      <w:pPr>
        <w:jc w:val="both"/>
        <w:ind w:left="2600"/>
        <w:spacing w:after="0" w:line="233" w:lineRule="auto"/>
        <w:rPr>
          <w:sz w:val="20"/>
          <w:szCs w:val="20"/>
          <w:color w:val="auto"/>
        </w:rPr>
      </w:pPr>
      <w:r>
        <w:rPr>
          <w:rFonts w:ascii="Arial" w:cs="Arial" w:eastAsia="Arial" w:hAnsi="Arial"/>
          <w:sz w:val="14"/>
          <w:szCs w:val="14"/>
          <w:color w:val="auto"/>
        </w:rPr>
        <w:t>management’s calculation of the accrual for trade receivables. Among our other procedures, we performed sensitivity analyses over historical collections to evaluate the impact such changes could have on the accrual for trade receivables that would result from changes in the assumptions.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Contingencies</w:t>
      </w:r>
    </w:p>
    <w:p>
      <w:pPr>
        <w:sectPr>
          <w:pgSz w:w="11900" w:h="16838" w:orient="portrait"/>
          <w:cols w:equalWidth="0" w:num="1">
            <w:col w:w="11260"/>
          </w:cols>
          <w:pgMar w:left="300" w:top="1173"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At December 31, 2024, the Company’s liabilities for legal settlements totaled $21 million. As described in Note M to the consolidated financial statements, the Company is subject to legal or regulatory proceedings and government inquiries as part of its regular business activities, which may lead to damages, penalties, significant financial obligations, or substantial restrictions on its operations.</w:t>
      </w:r>
    </w:p>
    <w:p>
      <w:pPr>
        <w:spacing w:after="0" w:line="80" w:lineRule="exact"/>
        <w:rPr>
          <w:sz w:val="20"/>
          <w:szCs w:val="20"/>
          <w:color w:val="auto"/>
        </w:rPr>
      </w:pPr>
    </w:p>
    <w:p>
      <w:pPr>
        <w:sectPr>
          <w:pgSz w:w="11900" w:h="16838" w:orient="portrait"/>
          <w:cols w:equalWidth="0" w:num="2">
            <w:col w:w="1880" w:space="720"/>
            <w:col w:w="8660"/>
          </w:cols>
          <w:pgMar w:left="300" w:top="1173" w:right="339" w:bottom="1440" w:gutter="0" w:footer="0" w:header="0"/>
          <w:type w:val="continuous"/>
        </w:sectPr>
      </w:pPr>
    </w:p>
    <w:p>
      <w:pPr>
        <w:ind w:left="2600"/>
        <w:spacing w:after="0" w:line="274" w:lineRule="auto"/>
        <w:rPr>
          <w:sz w:val="20"/>
          <w:szCs w:val="20"/>
          <w:color w:val="auto"/>
        </w:rPr>
      </w:pPr>
      <w:r>
        <w:rPr>
          <w:rFonts w:ascii="Arial" w:cs="Arial" w:eastAsia="Arial" w:hAnsi="Arial"/>
          <w:sz w:val="14"/>
          <w:szCs w:val="14"/>
          <w:color w:val="auto"/>
        </w:rPr>
        <w:t>Auditing management’s accounting for and disclosure of loss contingencies for certain matters involved challenging and subjective auditor judgment in assessing the Company’s evaluation of the probability of a loss, and the estimated amount or range of loss.</w:t>
      </w:r>
    </w:p>
    <w:p>
      <w:pPr>
        <w:sectPr>
          <w:pgSz w:w="11900" w:h="16838" w:orient="portrait"/>
          <w:cols w:equalWidth="0" w:num="1">
            <w:col w:w="11260"/>
          </w:cols>
          <w:pgMar w:left="300" w:top="1173" w:right="339" w:bottom="1440" w:gutter="0" w:footer="0" w:header="0"/>
          <w:type w:val="continuous"/>
        </w:sectPr>
      </w:pPr>
    </w:p>
    <w:p>
      <w:pPr>
        <w:spacing w:after="0" w:line="267" w:lineRule="exact"/>
        <w:rPr>
          <w:sz w:val="20"/>
          <w:szCs w:val="20"/>
          <w:color w:val="auto"/>
        </w:rPr>
      </w:pPr>
    </w:p>
    <w:p>
      <w:pPr>
        <w:jc w:val="both"/>
        <w:ind w:left="2600" w:hanging="2577"/>
        <w:spacing w:after="0"/>
        <w:tabs>
          <w:tab w:leader="none" w:pos="2580" w:val="left"/>
        </w:tabs>
        <w:rPr>
          <w:sz w:val="20"/>
          <w:szCs w:val="20"/>
          <w:color w:val="auto"/>
        </w:rPr>
      </w:pPr>
      <w:r>
        <w:rPr>
          <w:rFonts w:ascii="Times New Roman" w:cs="Times New Roman" w:eastAsia="Times New Roman" w:hAnsi="Times New Roman"/>
          <w:sz w:val="14"/>
          <w:szCs w:val="14"/>
          <w:i w:val="1"/>
          <w:iCs w:val="1"/>
          <w:color w:val="auto"/>
        </w:rPr>
        <w:t>How We Addressed the Matter in Our Audit</w:t>
      </w:r>
      <w:r>
        <w:rPr>
          <w:sz w:val="20"/>
          <w:szCs w:val="20"/>
          <w:color w:val="auto"/>
        </w:rPr>
        <w:tab/>
      </w:r>
      <w:r>
        <w:rPr>
          <w:rFonts w:ascii="Arial" w:cs="Arial" w:eastAsia="Arial" w:hAnsi="Arial"/>
          <w:sz w:val="14"/>
          <w:szCs w:val="14"/>
          <w:color w:val="auto"/>
        </w:rPr>
        <w:t>We obtained an understanding, evaluated the design and tested the operating effectiveness of relevant controls over management’s assessment of the probability of incurrence of a loss and whether the loss or range of loss was reasonably estimable and the development of related disclosures.</w:t>
      </w:r>
    </w:p>
    <w:p>
      <w:pPr>
        <w:spacing w:after="0" w:line="272" w:lineRule="exact"/>
        <w:rPr>
          <w:sz w:val="20"/>
          <w:szCs w:val="20"/>
          <w:color w:val="auto"/>
        </w:rPr>
      </w:pPr>
    </w:p>
    <w:p>
      <w:pPr>
        <w:ind w:left="2600"/>
        <w:spacing w:after="0" w:line="239" w:lineRule="auto"/>
        <w:rPr>
          <w:sz w:val="20"/>
          <w:szCs w:val="20"/>
          <w:color w:val="auto"/>
        </w:rPr>
      </w:pPr>
      <w:r>
        <w:rPr>
          <w:rFonts w:ascii="Arial" w:cs="Arial" w:eastAsia="Arial" w:hAnsi="Arial"/>
          <w:sz w:val="14"/>
          <w:szCs w:val="14"/>
          <w:color w:val="auto"/>
        </w:rPr>
        <w:t>We evaluated the legal letters obtained from internal and external legal counsel addressing the legal matters in question, held meetings with the legal counsel discussing the allegations and ongoing status, and performed a search for new or contrary evidence including</w:t>
      </w:r>
    </w:p>
    <w:p>
      <w:pPr>
        <w:spacing w:after="0" w:line="1" w:lineRule="exact"/>
        <w:rPr>
          <w:sz w:val="20"/>
          <w:szCs w:val="20"/>
          <w:color w:val="auto"/>
        </w:rPr>
      </w:pPr>
    </w:p>
    <w:p>
      <w:pPr>
        <w:ind w:left="2600"/>
        <w:spacing w:after="0" w:line="238" w:lineRule="auto"/>
        <w:rPr>
          <w:sz w:val="20"/>
          <w:szCs w:val="20"/>
          <w:color w:val="auto"/>
        </w:rPr>
      </w:pPr>
      <w:r>
        <w:rPr>
          <w:rFonts w:ascii="Arial" w:cs="Arial" w:eastAsia="Arial" w:hAnsi="Arial"/>
          <w:sz w:val="14"/>
          <w:szCs w:val="14"/>
          <w:color w:val="auto"/>
        </w:rPr>
        <w:t>understanding previous rulings, as part of our audit procedures. Further, we obtained a representation letter from management on these matters.</w:t>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Ernst &amp; Young LLP</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 have served as the Company's auditor since 2019.</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Dallas, Texas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73" w:right="339" w:bottom="1440" w:gutter="0" w:footer="0" w:header="0"/>
          <w:type w:val="continuous"/>
        </w:sectPr>
      </w:pPr>
    </w:p>
    <w:bookmarkStart w:id="59" w:name="page60"/>
    <w:bookmarkEnd w:id="59"/>
    <w:p>
      <w:pPr>
        <w:ind w:right="3680" w:firstLine="3687"/>
        <w:spacing w:after="0" w:line="395"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Stockholders and the Board of Directors of Upbound Group, Inc. </w:t>
      </w:r>
      <w:r>
        <w:rPr>
          <w:rFonts w:ascii="Arial" w:cs="Arial" w:eastAsia="Arial" w:hAnsi="Arial"/>
          <w:sz w:val="14"/>
          <w:szCs w:val="14"/>
          <w:b w:val="1"/>
          <w:bCs w:val="1"/>
          <w:color w:val="auto"/>
        </w:rPr>
        <w:t>Opinion on Internal Control Over Financial Reporting</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audited Upbound Group, Inc. and subsidiaries’ internal control over financial reporting as of December 31, 2024, based on criteria established in Internal Control— Integrated Framework issued by the Committee of Sponsoring Organizations of the Treadway Commission (2013 framework) (the COSO criteria). In our opinion, Upbound Group, Inc. and subsidiaries (the Company) maintained, in all material respects, effective internal control over financial reporting as of December 31, 2024, based on the COSO criteria.</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stockholders’ equity and cash flows for each of the three years in the period ended December 31, 2024 and the related notes and our report dated February 25, 2025 expressed an unqualified opinion thereon.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firstLine="5"/>
        <w:spacing w:after="0" w:line="258" w:lineRule="auto"/>
        <w:tabs>
          <w:tab w:leader="none" w:pos="2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OVER FINANCIAL REPORTING</w:t>
      </w:r>
    </w:p>
    <w:p>
      <w:pPr>
        <w:spacing w:after="0" w:line="3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Management assessed the effectiveness of the Company’s internal control over financial reporting as of December 31, 2024, using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 - Integrated Framework (2013).</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Based on this assessment, management has concluded that, as of December 31, 2024,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Ernst &amp; Young LLP, the Company’s independent registered public accounting firm, has issued an audit report on the effectiveness of the Company’s internal control over financial reporting, which is included elsewhere in this Annual Report on Form 10-K.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8"/>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Rentals and fees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3,513,658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3,261,678</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3,375,453</w:t>
            </w:r>
          </w:p>
        </w:tc>
      </w:tr>
      <w:tr>
        <w:trPr>
          <w:trHeight w:val="172"/>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Merchandise sales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624,735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541,766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675,288</w:t>
            </w:r>
          </w:p>
        </w:tc>
      </w:tr>
      <w:tr>
        <w:trPr>
          <w:trHeight w:val="168"/>
        </w:trPr>
        <w:tc>
          <w:tcPr>
            <w:tcW w:w="6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Installment sales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72,328</w:t>
            </w:r>
          </w:p>
        </w:tc>
      </w:tr>
      <w:tr>
        <w:trPr>
          <w:trHeight w:val="172"/>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Franchise merchandise sales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91,350</w:t>
            </w:r>
          </w:p>
        </w:tc>
      </w:tr>
      <w:tr>
        <w:trPr>
          <w:trHeight w:val="168"/>
        </w:trPr>
        <w:tc>
          <w:tcPr>
            <w:tcW w:w="6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Royalty income and fees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25,998</w:t>
            </w:r>
          </w:p>
        </w:tc>
      </w:tr>
      <w:tr>
        <w:trPr>
          <w:trHeight w:val="172"/>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4,975</w:t>
            </w:r>
          </w:p>
        </w:tc>
      </w:tr>
      <w:tr>
        <w:trPr>
          <w:trHeight w:val="158"/>
        </w:trPr>
        <w:tc>
          <w:tcPr>
            <w:tcW w:w="6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3,992,413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4,245,392</w:t>
            </w: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6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of rentals and fees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1,355,539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1,199,161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1,268,809</w:t>
            </w:r>
          </w:p>
        </w:tc>
      </w:tr>
      <w:tr>
        <w:trPr>
          <w:trHeight w:val="172"/>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Cost of merchandise sold</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773,937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652,894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779,789</w:t>
            </w:r>
          </w:p>
        </w:tc>
      </w:tr>
      <w:tr>
        <w:trPr>
          <w:trHeight w:val="168"/>
        </w:trPr>
        <w:tc>
          <w:tcPr>
            <w:tcW w:w="6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of installment sales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25,547</w:t>
            </w:r>
          </w:p>
        </w:tc>
      </w:tr>
      <w:tr>
        <w:trPr>
          <w:trHeight w:val="172"/>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Franchise cost of merchandise sold</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88,214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95,103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91,715</w:t>
            </w:r>
          </w:p>
        </w:tc>
      </w:tr>
      <w:tr>
        <w:trPr>
          <w:trHeight w:val="158"/>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cost of revenues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2,240,213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1,970,155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2,165,860</w:t>
            </w:r>
          </w:p>
        </w:tc>
      </w:tr>
      <w:tr>
        <w:trPr>
          <w:trHeight w:val="163"/>
        </w:trPr>
        <w:tc>
          <w:tcPr>
            <w:tcW w:w="6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Gross profit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2,080,351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2,022,258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2,079,532</w:t>
            </w:r>
          </w:p>
        </w:tc>
      </w:tr>
      <w:tr>
        <w:trPr>
          <w:trHeight w:val="168"/>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labor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609,169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634,341</w:t>
            </w: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Non-labor operating expenses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811,635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775,919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821,821</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201,706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186,470</w:t>
            </w: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53,079</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gains and charges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104,580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216,909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235,283</w:t>
            </w:r>
          </w:p>
        </w:tc>
      </w:tr>
      <w:tr>
        <w:trPr>
          <w:trHeight w:val="158"/>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1,788,720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1,859,393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1,930,994</w:t>
            </w:r>
          </w:p>
        </w:tc>
      </w:tr>
      <w:tr>
        <w:trPr>
          <w:trHeight w:val="163"/>
        </w:trPr>
        <w:tc>
          <w:tcPr>
            <w:tcW w:w="6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Operating profit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291,631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162,865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148,538</w:t>
            </w: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refinancing charges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87,708</w:t>
            </w:r>
          </w:p>
        </w:tc>
      </w:tr>
      <w:tr>
        <w:trPr>
          <w:trHeight w:val="168"/>
        </w:trPr>
        <w:tc>
          <w:tcPr>
            <w:tcW w:w="6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w:t>
            </w:r>
          </w:p>
        </w:tc>
      </w:tr>
      <w:tr>
        <w:trPr>
          <w:trHeight w:val="163"/>
        </w:trPr>
        <w:tc>
          <w:tcPr>
            <w:tcW w:w="6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52,867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61,471</w:t>
            </w:r>
          </w:p>
        </w:tc>
      </w:tr>
      <w:tr>
        <w:trPr>
          <w:trHeight w:val="168"/>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54,063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58,046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49,114</w:t>
            </w:r>
          </w:p>
        </w:tc>
      </w:tr>
      <w:tr>
        <w:trPr>
          <w:trHeight w:val="188"/>
        </w:trPr>
        <w:tc>
          <w:tcPr>
            <w:tcW w:w="6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Net earnings (loss)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67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Basic earnings (loss) per common share</w:t>
            </w:r>
          </w:p>
        </w:tc>
        <w:tc>
          <w:tcPr>
            <w:tcW w:w="340" w:type="dxa"/>
            <w:vAlign w:val="bottom"/>
            <w:tcBorders>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(0.09)</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0.23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7"/>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(loss) per common share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67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Cash dividends declared per common share</w:t>
            </w:r>
          </w:p>
        </w:tc>
        <w:tc>
          <w:tcPr>
            <w:tcW w:w="340" w:type="dxa"/>
            <w:vAlign w:val="bottom"/>
            <w:tcBorders>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1.36</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200" w:lineRule="exact"/>
        <w:rPr>
          <w:sz w:val="20"/>
          <w:szCs w:val="20"/>
          <w:color w:val="auto"/>
        </w:rPr>
      </w:pPr>
    </w:p>
    <w:p>
      <w:pPr>
        <w:spacing w:after="0" w:line="2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(loss)</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center"/>
              <w:ind w:left="899"/>
              <w:spacing w:after="0"/>
              <w:rPr>
                <w:sz w:val="20"/>
                <w:szCs w:val="20"/>
                <w:color w:val="auto"/>
              </w:rPr>
            </w:pPr>
            <w:r>
              <w:rPr>
                <w:rFonts w:ascii="Times New Roman" w:cs="Times New Roman" w:eastAsia="Times New Roman" w:hAnsi="Times New Roman"/>
                <w:sz w:val="13"/>
                <w:szCs w:val="13"/>
                <w:color w:val="auto"/>
                <w:w w:val="94"/>
              </w:rPr>
              <w:t>(5,179)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12,357</w:t>
            </w:r>
          </w:p>
        </w:tc>
      </w:tr>
      <w:tr>
        <w:trPr>
          <w:trHeight w:val="168"/>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adjustments, net of tax of $(1,821), $1,665, and $464 for 2024, 2023, and 2022, respectively</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center"/>
              <w:ind w:left="919"/>
              <w:spacing w:after="0"/>
              <w:rPr>
                <w:sz w:val="20"/>
                <w:szCs w:val="20"/>
                <w:color w:val="auto"/>
              </w:rPr>
            </w:pPr>
            <w:r>
              <w:rPr>
                <w:rFonts w:ascii="Times New Roman" w:cs="Times New Roman" w:eastAsia="Times New Roman" w:hAnsi="Times New Roman"/>
                <w:sz w:val="13"/>
                <w:szCs w:val="13"/>
                <w:color w:val="auto"/>
              </w:rPr>
              <w:t>6,263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r>
      <w:tr>
        <w:trPr>
          <w:trHeight w:val="158"/>
        </w:trPr>
        <w:tc>
          <w:tcPr>
            <w:tcW w:w="67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auto"/>
              </w:rPr>
              <w:t>Total other comprehensive (loss) income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3"/>
                <w:szCs w:val="13"/>
                <w:color w:val="auto"/>
              </w:rPr>
              <w:t>6,263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1,745</w:t>
            </w:r>
          </w:p>
        </w:tc>
      </w:tr>
      <w:tr>
        <w:trPr>
          <w:trHeight w:val="188"/>
        </w:trPr>
        <w:tc>
          <w:tcPr>
            <w:tcW w:w="67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Comprehensive income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116,629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center"/>
              <w:ind w:left="919"/>
              <w:spacing w:after="0"/>
              <w:rPr>
                <w:sz w:val="20"/>
                <w:szCs w:val="20"/>
                <w:color w:val="auto"/>
              </w:rPr>
            </w:pPr>
            <w:r>
              <w:rPr>
                <w:rFonts w:ascii="Times New Roman" w:cs="Times New Roman" w:eastAsia="Times New Roman" w:hAnsi="Times New Roman"/>
                <w:sz w:val="13"/>
                <w:szCs w:val="13"/>
                <w:color w:val="auto"/>
              </w:rPr>
              <w:t>1,084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6"/>
        </w:trPr>
        <w:tc>
          <w:tcPr>
            <w:tcW w:w="8240" w:type="dxa"/>
            <w:vAlign w:val="bottom"/>
          </w:tcPr>
          <w:p>
            <w:pPr>
              <w:ind w:left="414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82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24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 except share and par value data)</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7"/>
        </w:trPr>
        <w:tc>
          <w:tcPr>
            <w:tcW w:w="8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60,860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93,705</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Receivables, net of allowance for doubtful accounts of $13,290 and $14,254 in 2024 and 2023, respectively</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156,438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111,005</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54,205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50,259</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Rental merchandise, net</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 rent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1,134,860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1,109,896</w:t>
            </w:r>
          </w:p>
        </w:tc>
        <w:tc>
          <w:tcPr>
            <w:tcW w:w="0" w:type="dxa"/>
            <w:vAlign w:val="bottom"/>
          </w:tcPr>
          <w:p>
            <w:pPr>
              <w:spacing w:after="0"/>
              <w:rPr>
                <w:sz w:val="1"/>
                <w:szCs w:val="1"/>
                <w:color w:val="auto"/>
              </w:rPr>
            </w:pPr>
          </w:p>
        </w:tc>
      </w:tr>
      <w:tr>
        <w:trPr>
          <w:trHeight w:val="168"/>
        </w:trPr>
        <w:tc>
          <w:tcPr>
            <w:tcW w:w="8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Held for rent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124,167</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Merchandise held for installment sale</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6,398</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assets, net of accumulated depreciation of $548,708 and $611,120 in 2024 and 2023, respectively</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254,151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273,118</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265,537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289,702</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72,032</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290,189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289,750</w:t>
            </w:r>
          </w:p>
        </w:tc>
        <w:tc>
          <w:tcPr>
            <w:tcW w:w="0" w:type="dxa"/>
            <w:vAlign w:val="bottom"/>
          </w:tcPr>
          <w:p>
            <w:pPr>
              <w:spacing w:after="0"/>
              <w:rPr>
                <w:sz w:val="1"/>
                <w:szCs w:val="1"/>
                <w:color w:val="auto"/>
              </w:rPr>
            </w:pPr>
          </w:p>
        </w:tc>
      </w:tr>
      <w:tr>
        <w:trPr>
          <w:trHeight w:val="16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255,246</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301,398</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assets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2,649,662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2,721,430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2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 trade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115,479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177,249</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liabilities</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304,212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322,905</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272,983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293,435</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liability</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60,842</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debt, net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867,726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866,707</w:t>
            </w:r>
          </w:p>
        </w:tc>
        <w:tc>
          <w:tcPr>
            <w:tcW w:w="0" w:type="dxa"/>
            <w:vAlign w:val="bottom"/>
          </w:tcPr>
          <w:p>
            <w:pPr>
              <w:spacing w:after="0"/>
              <w:rPr>
                <w:sz w:val="1"/>
                <w:szCs w:val="1"/>
                <w:color w:val="auto"/>
              </w:rPr>
            </w:pPr>
          </w:p>
        </w:tc>
      </w:tr>
      <w:tr>
        <w:trPr>
          <w:trHeight w:val="16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Senior notes, net</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441,890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439,920</w:t>
            </w:r>
          </w:p>
        </w:tc>
        <w:tc>
          <w:tcPr>
            <w:tcW w:w="0" w:type="dxa"/>
            <w:vAlign w:val="bottom"/>
          </w:tcPr>
          <w:p>
            <w:pPr>
              <w:spacing w:after="0"/>
              <w:rPr>
                <w:sz w:val="1"/>
                <w:szCs w:val="1"/>
                <w:color w:val="auto"/>
              </w:rPr>
            </w:pPr>
          </w:p>
        </w:tc>
      </w:tr>
      <w:tr>
        <w:trPr>
          <w:trHeight w:val="163"/>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liabilities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2,020,678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2,161,058</w:t>
            </w:r>
          </w:p>
        </w:tc>
        <w:tc>
          <w:tcPr>
            <w:tcW w:w="0" w:type="dxa"/>
            <w:vAlign w:val="bottom"/>
          </w:tcPr>
          <w:p>
            <w:pPr>
              <w:spacing w:after="0"/>
              <w:rPr>
                <w:sz w:val="1"/>
                <w:szCs w:val="1"/>
                <w:color w:val="auto"/>
              </w:rPr>
            </w:pPr>
          </w:p>
        </w:tc>
      </w:tr>
      <w:tr>
        <w:trPr>
          <w:trHeight w:val="169"/>
        </w:trPr>
        <w:tc>
          <w:tcPr>
            <w:tcW w:w="8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$0.01 par value; 250,000,000 shares authorized; 125,796,878 and 125,415,059 shares issued in 2024 and 2023, respectively</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1,493,885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1,459,709</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1,036,169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994,892</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stock at cost, 71,060,928 shares in 2024 and 2023</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(11,212)</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(4,363)</w:t>
            </w:r>
          </w:p>
        </w:tc>
        <w:tc>
          <w:tcPr>
            <w:tcW w:w="0" w:type="dxa"/>
            <w:vAlign w:val="bottom"/>
          </w:tcPr>
          <w:p>
            <w:pPr>
              <w:spacing w:after="0"/>
              <w:rPr>
                <w:sz w:val="1"/>
                <w:szCs w:val="1"/>
                <w:color w:val="auto"/>
              </w:rPr>
            </w:pPr>
          </w:p>
        </w:tc>
      </w:tr>
      <w:tr>
        <w:trPr>
          <w:trHeight w:val="158"/>
        </w:trPr>
        <w:tc>
          <w:tcPr>
            <w:tcW w:w="8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628,984</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560,372</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2,649,662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2,721,430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1960" w:type="dxa"/>
            <w:vAlign w:val="bottom"/>
            <w:gridSpan w:val="4"/>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0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Paid-In</w:t>
            </w:r>
          </w:p>
        </w:tc>
        <w:tc>
          <w:tcPr>
            <w:tcW w:w="180" w:type="dxa"/>
            <w:vAlign w:val="bottom"/>
          </w:tcPr>
          <w:p>
            <w:pPr>
              <w:spacing w:after="0"/>
              <w:rPr>
                <w:sz w:val="4"/>
                <w:szCs w:val="4"/>
                <w:color w:val="auto"/>
              </w:rPr>
            </w:pPr>
          </w:p>
        </w:tc>
        <w:tc>
          <w:tcPr>
            <w:tcW w:w="960" w:type="dxa"/>
            <w:vAlign w:val="bottom"/>
            <w:gridSpan w:val="2"/>
            <w:vMerge w:val="restart"/>
          </w:tcPr>
          <w:p>
            <w:pPr>
              <w:ind w:left="120"/>
              <w:spacing w:after="0" w:line="106"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20" w:type="dxa"/>
            <w:vAlign w:val="bottom"/>
          </w:tcPr>
          <w:p>
            <w:pPr>
              <w:spacing w:after="0"/>
              <w:rPr>
                <w:sz w:val="4"/>
                <w:szCs w:val="4"/>
                <w:color w:val="auto"/>
              </w:rPr>
            </w:pPr>
          </w:p>
        </w:tc>
        <w:tc>
          <w:tcPr>
            <w:tcW w:w="1020" w:type="dxa"/>
            <w:vAlign w:val="bottom"/>
            <w:gridSpan w:val="2"/>
            <w:vMerge w:val="restart"/>
          </w:tcPr>
          <w:p>
            <w:pPr>
              <w:ind w:left="140"/>
              <w:spacing w:after="0" w:line="106"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4"/>
                <w:szCs w:val="4"/>
                <w:color w:val="auto"/>
              </w:rPr>
            </w:pPr>
          </w:p>
        </w:tc>
        <w:tc>
          <w:tcPr>
            <w:tcW w:w="1300" w:type="dxa"/>
            <w:vAlign w:val="bottom"/>
            <w:gridSpan w:val="2"/>
            <w:vMerge w:val="restart"/>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2"/>
                <w:szCs w:val="2"/>
                <w:color w:val="auto"/>
              </w:rPr>
            </w:pPr>
          </w:p>
        </w:tc>
        <w:tc>
          <w:tcPr>
            <w:tcW w:w="76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5"/>
        </w:trPr>
        <w:tc>
          <w:tcPr>
            <w:tcW w:w="308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3"/>
                <w:szCs w:val="13"/>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124,398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1,146,509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1,143,647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(1,765,574)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513,276</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earnings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12,357</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(75,052)</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Vesting of restricted share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effect of stock awards vested and options exercised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(9,509)</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159,358</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(78,815)</w:t>
            </w:r>
          </w:p>
        </w:tc>
        <w:tc>
          <w:tcPr>
            <w:tcW w:w="0" w:type="dxa"/>
            <w:vAlign w:val="bottom"/>
          </w:tcPr>
          <w:p>
            <w:pPr>
              <w:spacing w:after="0"/>
              <w:rPr>
                <w:sz w:val="1"/>
                <w:szCs w:val="1"/>
                <w:color w:val="auto"/>
              </w:rPr>
            </w:pPr>
          </w:p>
        </w:tc>
      </w:tr>
      <w:tr>
        <w:trPr>
          <w:trHeight w:val="158"/>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125,028</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260" w:type="dxa"/>
            <w:vAlign w:val="bottom"/>
            <w:tcBorders>
              <w:top w:val="single" w:sz="8" w:color="auto"/>
            </w:tcBorders>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1,298,094</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1,077,189</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(1,840,591)</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(10,626)</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525,146</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6,263</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Purchase of treasury stock, including excise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(50,392)</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 of restricted share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 effect of stock awards vested and options exercised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162,116</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(77,118)</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125,415</w:t>
            </w: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260" w:type="dxa"/>
            <w:vAlign w:val="bottom"/>
            <w:tcBorders>
              <w:top w:val="single" w:sz="8" w:color="auto"/>
            </w:tcBorders>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1,459,709</w:t>
            </w: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994,892</w:t>
            </w: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560,372</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earnings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 of restricted share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 effect of stock awards vested and options exercised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(82,201)</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125,797</w:t>
            </w: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260" w:type="dxa"/>
            <w:vAlign w:val="bottom"/>
            <w:tcBorders>
              <w:top w:val="single" w:sz="8" w:color="auto"/>
            </w:tcBorders>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1,493,885</w:t>
            </w: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1,036,169</w:t>
            </w: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628,984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314" w:right="359" w:bottom="1440" w:gutter="0" w:footer="0" w:header="0"/>
        </w:sectPr>
      </w:pPr>
    </w:p>
    <w:bookmarkStart w:id="65" w:name="page66"/>
    <w:bookmarkEnd w:id="65"/>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200" w:lineRule="exact"/>
        <w:rPr>
          <w:sz w:val="20"/>
          <w:szCs w:val="20"/>
          <w:color w:val="auto"/>
        </w:rPr>
      </w:pPr>
    </w:p>
    <w:p>
      <w:pPr>
        <w:spacing w:after="0" w:line="21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38" w:lineRule="exact"/>
        <w:rPr>
          <w:sz w:val="20"/>
          <w:szCs w:val="20"/>
          <w:color w:val="auto"/>
        </w:rPr>
      </w:pPr>
    </w:p>
    <w:tbl>
      <w:tblPr>
        <w:tblLayout w:type="fixed"/>
        <w:tblInd w:w="15"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8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7"/>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earnings (loss)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12,357</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Adjustments to reconcile net earnings (loss) to net cash provided by operating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Depreciation of rental merchandise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1,302,571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1,160,579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1,229,136</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Bad debt expense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24,658</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159,358</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Depreciation of property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71,995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67,981</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(Gain) loss on sale or disposal of property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6,080</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65,890</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Amortization of financing fees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6,409</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Write-off of debt financing fees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(41,209)</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operating assets and liabilities, net of effects of acquisitions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Rental merchandise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(1,328,899)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(1,272,043)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(1,047,687)</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Receivables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(62,283)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(10,145)</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17,398</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Operating lease right-of-use assets and lease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Accounts payable — trade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19,783</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Accrued liabilities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(22,778)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(39,597)</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104,721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200,290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468,460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 of property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(61,387)</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Promissory loan issuance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Acquisitions of businesses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(62,330)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Share repurchases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(75,052)</w:t>
            </w:r>
          </w:p>
        </w:tc>
        <w:tc>
          <w:tcPr>
            <w:tcW w:w="0" w:type="dxa"/>
            <w:vAlign w:val="bottom"/>
          </w:tcPr>
          <w:p>
            <w:pPr>
              <w:spacing w:after="0"/>
              <w:rPr>
                <w:sz w:val="1"/>
                <w:szCs w:val="1"/>
                <w:color w:val="auto"/>
              </w:rPr>
            </w:pPr>
          </w:p>
        </w:tc>
      </w:tr>
      <w:tr>
        <w:trPr>
          <w:trHeight w:val="170"/>
        </w:trPr>
        <w:tc>
          <w:tcPr>
            <w:tcW w:w="7480" w:type="dxa"/>
            <w:vAlign w:val="bottom"/>
          </w:tcPr>
          <w:p>
            <w:pPr>
              <w:ind w:left="280"/>
              <w:spacing w:after="0" w:line="170" w:lineRule="exact"/>
              <w:rPr>
                <w:sz w:val="20"/>
                <w:szCs w:val="20"/>
                <w:color w:val="auto"/>
              </w:rPr>
            </w:pPr>
            <w:r>
              <w:rPr>
                <w:rFonts w:ascii="Times New Roman" w:cs="Times New Roman" w:eastAsia="Times New Roman" w:hAnsi="Times New Roman"/>
                <w:sz w:val="13"/>
                <w:szCs w:val="13"/>
                <w:color w:val="auto"/>
              </w:rPr>
              <w:t>Excise tax related to share repurchases</w:t>
            </w:r>
            <w:r>
              <w:rPr>
                <w:rFonts w:ascii="Times New Roman" w:cs="Times New Roman" w:eastAsia="Times New Roman" w:hAnsi="Times New Roman"/>
                <w:sz w:val="16"/>
                <w:szCs w:val="16"/>
                <w:color w:val="auto"/>
                <w:vertAlign w:val="superscript"/>
              </w:rPr>
              <w:t>(1)</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Shares withheld for payment of employee tax withholdings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(9,509)</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Debt issuance costs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Repayments of debt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(298,750)</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Dividends paid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(82,299)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(83,056)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(79,188)</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(370,713)</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35,808</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93,705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144,141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108,333</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and cash equivalents at end of year</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60,860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93,705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144,141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during the year for:</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108,509</w:t>
            </w:r>
          </w:p>
        </w:tc>
        <w:tc>
          <w:tcPr>
            <w:tcW w:w="36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106,161</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71,195</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taxes (excludes $751, $20,714, and $725 of income taxes refunded in 2024, 2023, and 2022, respectively)</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103,110</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72,307</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95" w:hanging="95"/>
        <w:spacing w:after="0"/>
        <w:tabs>
          <w:tab w:leader="none" w:pos="95" w:val="left"/>
        </w:tabs>
        <w:numPr>
          <w:ilvl w:val="0"/>
          <w:numId w:val="2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Excise tax cash payment of </w:t>
      </w:r>
      <w:r>
        <w:rPr>
          <w:rFonts w:ascii="Times New Roman" w:cs="Times New Roman" w:eastAsia="Times New Roman" w:hAnsi="Times New Roman"/>
          <w:sz w:val="7"/>
          <w:szCs w:val="7"/>
          <w:color w:val="auto"/>
        </w:rPr>
        <w:t>$0.4 million</w:t>
      </w:r>
      <w:r>
        <w:rPr>
          <w:rFonts w:ascii="Times New Roman" w:cs="Times New Roman" w:eastAsia="Times New Roman" w:hAnsi="Times New Roman"/>
          <w:sz w:val="9"/>
          <w:szCs w:val="9"/>
          <w:color w:val="auto"/>
        </w:rPr>
        <w:t xml:space="preserve"> during the year ended </w:t>
      </w:r>
      <w:r>
        <w:rPr>
          <w:rFonts w:ascii="Times New Roman" w:cs="Times New Roman" w:eastAsia="Times New Roman" w:hAnsi="Times New Roman"/>
          <w:sz w:val="7"/>
          <w:szCs w:val="7"/>
          <w:color w:val="auto"/>
        </w:rPr>
        <w:t>December 31, 2024</w:t>
      </w:r>
      <w:r>
        <w:rPr>
          <w:rFonts w:ascii="Times New Roman" w:cs="Times New Roman" w:eastAsia="Times New Roman" w:hAnsi="Times New Roman"/>
          <w:sz w:val="9"/>
          <w:szCs w:val="9"/>
          <w:color w:val="auto"/>
        </w:rPr>
        <w:t xml:space="preserve"> is related to share repurchases of </w:t>
      </w:r>
      <w:r>
        <w:rPr>
          <w:rFonts w:ascii="Times New Roman" w:cs="Times New Roman" w:eastAsia="Times New Roman" w:hAnsi="Times New Roman"/>
          <w:sz w:val="7"/>
          <w:szCs w:val="7"/>
          <w:color w:val="auto"/>
        </w:rPr>
        <w:t>$50.0 million</w:t>
      </w:r>
      <w:r>
        <w:rPr>
          <w:rFonts w:ascii="Times New Roman" w:cs="Times New Roman" w:eastAsia="Times New Roman" w:hAnsi="Times New Roman"/>
          <w:sz w:val="9"/>
          <w:szCs w:val="9"/>
          <w:color w:val="auto"/>
        </w:rPr>
        <w:t xml:space="preserve"> during the year ended </w:t>
      </w:r>
      <w:r>
        <w:rPr>
          <w:rFonts w:ascii="Times New Roman" w:cs="Times New Roman" w:eastAsia="Times New Roman" w:hAnsi="Times New Roman"/>
          <w:sz w:val="7"/>
          <w:szCs w:val="7"/>
          <w:color w:val="auto"/>
        </w:rPr>
        <w:t>December 31, 2023</w:t>
      </w:r>
      <w:r>
        <w:rPr>
          <w:rFonts w:ascii="Times New Roman" w:cs="Times New Roman" w:eastAsia="Times New Roman" w:hAnsi="Times New Roman"/>
          <w:sz w:val="9"/>
          <w:szCs w:val="9"/>
          <w:color w:val="auto"/>
        </w:rPr>
        <w:t>.</w:t>
      </w:r>
    </w:p>
    <w:p>
      <w:pPr>
        <w:spacing w:after="0" w:line="18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55"/>
          </w:cols>
          <w:pgMar w:left="305" w:top="314"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A — Nature of Operations and Summary of Accounting Policies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significant accounting policies consistently applied in the preparation of the accompanying consolidated financial statements follows: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Nature of Operations</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Inc. and any or all of its direct and indirect subsidiaries. We report four operating segments: Acima, Rent-A-Center, Mexico and Franchising.</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Acima segment, which primarily operates in the United States and Puerto Rico, includes the operations of Acima Holdings and certain locations previously operating under our Acceptance Now brand, generally offers consumers who do not qualify for traditional financing the lease-to-own transaction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Rent-A-Center segment consists of company-owned lease-to-own stores in the United States and Puerto Rico that lease household durable goods to customers through lease purchase agreements. We also offer merchandise on an installment sales basis in certain of our stores under the names “Get It Now” and “Home Choice” in Minnesota and Wisconsin. Our Rent-A-Center segment operates through our company-owned stores and e-commerce platforms through rentacenter.com, getitnowstores.com and homechoicestores.com. At December 31, 2024, we operated 1,728 company-owned stores nationwide and in Puerto Rico, including 51 retail installment sales stores.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Mexico segment consists of our company-owned lease-to-own stores in Mexico that lease household durable goods to customers on a lease-to-own basis. At December 31, 2024, we operated 132 stores in Mexico.</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Rent-A-Center Franchising International, Inc., an indirect wholly-owned subsidiary of Upbound Group, Inc., is a franchisor of lease-to-own stores. At December 31, 2024, Franchising had 448 franchised stores operating in 29 states. Our Franchising segment’s primary source of revenue is the sale of rental merchandise to our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Rental Merchandise</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Rental merchandise is carried at cost, net of accumulated depreciation. Depreciation for merchandise in Rent-A-Center, certain Acima locations previously operating under our Acceptance Now brand, and Mexico stores is depreciated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lease contract, which is an activity-based method similar to the units of production method. Lease merchandise under Acima Holdings is depreciated over the lease term using a straight-line depreciation method. Depreciation under the straight-line method is recognized each period over the term of the lease-to-own contract irrespective of receipt of revenue payments from the customer. In addition, we depreciate merchandise that is held for rent for at least 180 consecutive days using the straight-line method over a period generally not to exceed 18 months. Smartphones are depreciated over an 18-month straight-line basis beginning with the earlier of on rent or 90 consecutive days held for rent.</w:t>
      </w:r>
    </w:p>
    <w:p>
      <w:pPr>
        <w:spacing w:after="0" w:line="6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time the account became past due in the Rent-A-Center and Mexico segments, on or before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our Acima segment and during the month following the 150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certain Acima locations formerly operating under the Acceptance Now brand. Minor repairs made to rental merchandise are expensed at the time of the repair. In addition, we maintain a reserve for these expected losses, which estimates the merchandise losses incurred but not yet identified by management as of the end of the accounting period based on a combination of historical write-offs and expected future losses. As of December 31, 2024 and 2023, the reserve for merchandise losses was $83.6 million and $84.7 million, respectively. Expenses related to merchandise losses, damaged merchandise, or merchandise repairs are recorded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non-labor operating expenses in our Consolidated Statements of Operations and were $347.1 million, $313.8 million, and $375.2 million for the years ended December 31, 2024, 2023, and 2022,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Equivalents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equivalents include all highly liquid investments with an original maturity of three months or less, in addition to in-transit customer payments.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Rental merchandise is leased to customers pursuant to lease-to-own agreements which provide for weekly, bi-weekly, semi-monthly or monthly terms with non-refundable lease payments. The customer has the right to acquire title of the merchandise either through an early purchase option or through payment of all required lease renewals. Rental revenue and fees are recognized over the lease term and merchandise sales revenue is recognized when the customer exercises the purchase option and pays the cash price due. Cash received prior to the period in which it should be recognized is deferred and recognized according to the lease term. Revenue is accrued for uncollected amounts due based on historical collection experience. However, the total potential amount of the lease-to-own agreement is not accrued because the customer can elect not to renew the lease-to-own agreement at any time and, in that case would not owe future lease payments.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Revenues from the sale of merchandise in our retail installment stores are recognized when the installment note is signed, the customer has taken possession of the merchandise and collectability is reasonably assured.</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Franchise revenues from the sale of rental merchandise are recognized upon shipment of the merchandise to the franchisee. Franchise royalty income and fee revenue is recognized upon completion of substantially all services and satisfaction of all material conditions required under the terms of the franchise agreement. Initial franchise fees charged to franchisees for new or converted franchise stores are recognized on a straight-line basis over the term of the franchise agreement.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Receivables and Allowance for Doubtful Accounts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installment sales receivable associated with the sale of merchandise at our Get It Now and Home Choice stores generally consists of the sales 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Consolidated Statements of Operations.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The majority of our Franchising trade and notes receivables relate to amounts due from franchisees for inventory purchases, earned royalties and other obligations. Credit is extended to franchisees based on an evaluation of each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are recognized as contra-bad debt expense in our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Assets and Related Depreciation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Furniture, equipment and vehicles are stated at cost less accumulated depreciation. Depreciation is provided over the estimated useful lives of the respective assets (generally 5 years) on the straight-line method. Leasehold improvements are amortized over the useful life of the asset or the initial term of the applicable leases on the straight-line method, whichever is shorter.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incurred costs to develop computer software for internal use. We capitalize the costs incurred during the application development stage, which includes designing the software configuration and interfaces, coding, installation, and testing. Costs incurred during the preliminary stages along with post-implementation stages of internally developed software are expensed as incurred. Internally developed software costs, once placed in service, are amortized over various periods up to 10 years.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incur repair and maintenance expenses on our vehicles and equipment. These amounts are recognized when incurred, unless such repairs significantly extend the life of the asset, in which case we amortize the cost of the repairs for the remaining useful life of the asset utilizing the straight-line method.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Other Intangible Assets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record goodwill when the consideration paid for an acquisition exceeds the fair value of the identifiable net tangible and identifiable intangible assets acquired. Goodwill is not subject to amortization but must be periodically evaluated for impairment for each reporting unit. Impairment occurs when the carrying value of goodwill is not recoverable from future cash flows. We perform an assessment of goodwill for impairment at the reporting unit level annually as of October 1 or when events or circumstances indicate that impairment may have occurred.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reporting units are our reportable operating segments. Factors which could necessitate an interim impairment assessment include a sustained decline in our stock price, prolonged negative industry or economic trends and significant underperformance relative to historical or projected future operating results.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We determine the fair value of each reporting unit using methodologies which include the present value of estimated future cash flows. The analysis is based upon available information regarding expected future cash flows and discount rates. Discount rates are generally based upon our weighted average cost of capital.</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an alternative to performing a quantitative assessment to measure the fair value of the reporting unit, the Company may perform a qualitative assessment for impairment if it believes it is not more likely than not that the carrying value of the net assets of the reporting unit exceeds its fair value.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the amount of goodwill attributable to the Rent-A-Center and Acima segments was approximately $1.9 million and $288.3 million, respectively. We currently do not have goodwill balances attributable to our Mexico or Franchising segments.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Acquired intangible assets are recorded at their estimated fair value as of the date of acquisition and generally include customer relationships, merchant relationships, non-compete agreements and trade names. Customer relationships are generally amortized over a 21-month period, excluding relationships with existing lessees acquired from Acima Holdings which were being amortized over 12 months. Non-compete agreements are amortized over the contractual life of the agreements, merchant relationships are amortized over a 7 to 15 year period, and trade names and other intangible assets are amortized over the estimated life of the asset. Intangible assets are amortized using methods that we believe reflect the pattern in which the economic benefits of the related asset are consumed unless such pattern cannot be reliably determined, in which case we amortize using a straight-line method.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Impairment of Long-Lived Assets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evaluate all long-lived assets, including intangible assets, excluding goodwill, for impairment whenever events or changes in circumstances indicate that the carrying amounts of the related assets may not be recoverable by the undiscounted net cash flows they will generate. Impairment is recognized when the carrying amounts of such assets exceed their fair value. We determine the fair value of our long-lived assets using methodologies which include the present value of estimated future cash flows of the asset, or related fair market values for similar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Self-Insurance Liabilities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self-insured retentions with respect to losses under our workers’ compensation, general liability, vehicle liability and health insurance programs. We establish reserves for our liabilities associated with these losses by obtaining forecasts for the ultimate expected losses and estimating amounts needed to pay losses within our self-insured retentions.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functional currency of our foreign operations is the applicable local currency. Assets and liabilities denominated in a foreign currency are translated into U.S. dollars at the current rate of exchange on the last day of the reporting period. Revenues and expenses are generally translated at an average rate of exchange during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Comprehensive Income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 (loss) is comprised exclusively of our foreign currency translation adjustment and the related tax impact of that adjustment.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record deferred taxes for temporary differences between the tax and financial reporting bases of assets and liabilities at the enacted tax rate expected to be in effect when those temporary differences are expected to be recovered or settled. Income tax accounting requires management to make estimates and apply judgments to events that will be recognized in one period under rules that apply to financial reporting in a different period in our tax returns. In particular, judgment is required when estimating the value of future tax deductions, tax credits and net operating loss carryforwards (NOLs), as represented by deferred tax assets.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When it is determined the recovery of all or a portion of a deferred tax asset is not likely, a valuation allowance is established. We include NOLs in the calculation of deferred tax assets. NOLs are utilized to the extent allowable due to the provisions of the Internal Revenue Code of 1986, as amended, and relevant state statutes.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recognize the financial statement benefit of a tax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 We classify accrued interest and penalties related to unrecognized tax benefits as interest expense and general &amp; administrative expense,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Taxes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 revenue net of related sales taxes imposed on our goods and services in our Consolidated Statements of Operations. We are required by the applicable governmental authorities to collect and remit sales taxes. Accordingly, such amounts are charged to the customer, collected and remitted directly to the appropriate jurisdictional entity.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(Loss) Per Common Share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Basic earnings (loss) per common share are based upon the weighted average number of common shares outstanding during each period presented. Diluted earnings (loss) per common share are based upon the weighted average number of common shares outstanding during the period, plus, if dilutive, the assumed exercise of stock options and vesting of stock awards at the beginning of the year, or for the period outstanding during the year for current year issuances.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incurred for producing and communicating advertising are expensed when incurred. Advertising expense was $65.0 million, $63.1 million, and $53.6 million, for the years ended December 31, 2024, 2023, and 2022, respectively. Advertising expense is net of vendor allowances of $23.2 million, $21.7 million, and $20.0 million for the years ended December 31, 2024, 2023, and 2022, respectively.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maintain long-term incentive plans for the benefit of certain employees and directors, which are described more fully in Note O. We recognize share-based payment awards to our employees and directors at the estimated fair value on the grant date. Determining the fair value of certain share-based awards requires information about several variables that include, but are not limited to, expected stock volatility over the term of the award, expected dividend yields, and the risk free interest rate. We base the expected term on historical exercise and post-vesting employment-termination experience, and expected volatility on historical realized volatility trends. In addition, all stock-based compensation expense is recorded net of an estimated forfeiture rate. The forfeiture rate is based upon historical activity and is analyzed at least annually as actual forfeitures occur. Compensation costs are recognized net of estimated forfeitures over the requisite service period on a straight-line basis. We issue new shares to settle stock awards. Stock options are valued using a Black-Scholes pricing model. Time-vesting restricted stock units are valued using the closing price on the Nasdaq Global Select Market on the day before the grant date. Performance-based restricted stock units will vest in accordance with a total shareholder return formula, and are valued by a third-party valuation firm using Monte Carlo simulations.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reclassifications may be made to the reported amounts for prior periods to conform to the current period presentation. These reclassifications have no impact on net earnings or earnings per share in any period. There were no reclassifications of reported amounts for prior periods included in the financial statements of our Annual Report on Form 10-K for the year ended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Newly Adopted Accounting Pronouncements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which requires enhanced disclosures of significant segment expenses on a quarterly and annual basis and is intended to improve the transparency of reportable segment disclosures. Adoption of ASU 2023-07 was required for us beginning January 1, 2024 for our Annual Report on Form 10-K for the year ended December 31, 2024 and interim periods beginning in 2025. We have include required disclosure updates in our Annual Report on Form 10-K for the year ended December 31, 2024, using a retrospective approach.</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B — Acquisitions and 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Brigit Acquisition</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December 12, 2024, we entered into an Agreement and Plan of Merger (the “Merger Agreement”) with Fortuna Merger Sub, Inc., a Delaware corporation and wholly owned subsidiary of the Company (“Merger Sub”), Brigit, and Shareholder Representative Services LLC, solely in its capacity as the representative, agent and attorney-in-fact of Brigit’s securityholders, pursuant to which Merger Sub merged with and into Brigit (the “Merger”), with Brigit surviving the Merger as a wholly owned subsidiary of the Company. The Merger with Brigit, a leading holistic financial health technology company, was completed on January 31, 2025 (the “Closing Date”). In accordance with the Merger Agreement, we issued to the security holders of Brigit (the “Brigit Securityholders”) an aggregate of approximately 2.7 million shares of our common stock, par value $0.01 per share (the “Closing Stock Consideration”), with a value of $29.34 per share based on the volume-weighted average price of our common stock over the ten consecutive trading days ending on (and including) the trading day immediately prior to the Closing Date, and paid to them aggregate closing cash consideration of $278.7 million (“Closing Cash Consideration”). The Closing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Consideration is subject to post-closing working capital adjustments. The Closing Cash Consideration for the acquisition was financed with a combination of cash on hand and borrowings under our ABL Credit Facility.</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terms of the Merger Agreement, we will also pay the Brigit Securityholders $75 million in deferred consideration, payable in multiple installments, $37.5 million of which will be payable 30 days following the first anniversary of the Closing Date and the remainder of which will be payable no later than 30 days following the second anniversary of the Closing Date. The payment of the deferred consideration is subject to acceleration if certain acceleration events specified in the Merger Agreement occur prior to the payment of the deferred consideration. The Brigit Securityholders may also receive up to $60 million in earnout payments based on achievement of certain financial performance metrics for the Brigit business in 2026. The earnout payments are subject to acceleration if certain acceleration events specified in the Merger Agreement occur prior to the final calculation and payout of the earnout payments.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portion of Closing Stock Consideration issued to Brigit’s co-founders and certain of their respective affiliates (collectively, the “Co-Founders”) is subject to vesting and other limitations set forth in a restricted stock agreement entered into with each such Co-Founder, with 10% of the Closing Stock Consideration issued to such Co-Founder vesting six months after the Closing Date, 55% of such Closing Stock Consideration vesting one year after the Closing Date and 100% of such Closing Stock Consideration vesting two years after the Closing Date.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the date of this Annual Report on Form 10-K, we are unable to disclose supplemental pro forma financial information, including combined revenues and earnings of the recently merged companies, for the year ended December 31, 2024, or the preliminary fair value of assets acquired and liabilities assumed in connection with the Merger, due to the unavailability of Brigit's financial statements as of December 31, 2024, and as of the date of the Merger. We intend to report the above information in our Quarterly Report on Form 10-Q for the period ended March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Acquisitions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concerning other store acquisitions completed during the years ended December 31, 2024, 2023 and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stores acquired remaining open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stores acquired that were merged with existing stores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transactions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purchase price</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allocated to:</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Customer relationships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65"/>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Rental merchandise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results of the acquired stores and accounts have been included in the financial statements since their date of acquisition.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Refranchise Sale</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9, 2024, we sold 55 Rent-A-Center stores in the states of New York and New Jersey to a franchisee. We received cash consideration of approximately $19.1 million, including approximately $0.6 million related to franchise fees. The sale included on rent and held for rent inventory of approximately $13.0 million, property assets of approximately $2.0 million, and prorated rent and other miscellaneous expenses of $0.4 million, resulting in a net gain on sale of approximately $3.1 million. The gain on sale was recorded to non-labor operating expenses in our Consolidated Statements of Operations.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C — Revenues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disaggregate our revenue: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Acima</w:t>
            </w:r>
          </w:p>
        </w:tc>
        <w:tc>
          <w:tcPr>
            <w:tcW w:w="20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Mexico</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Franchising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20" w:type="dxa"/>
            <w:vAlign w:val="bottom"/>
          </w:tcPr>
          <w:p>
            <w:pPr>
              <w:spacing w:after="0"/>
              <w:rPr>
                <w:sz w:val="13"/>
                <w:szCs w:val="13"/>
                <w:color w:val="auto"/>
              </w:rPr>
            </w:pP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40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Rentals and fees</w:t>
            </w:r>
          </w:p>
        </w:tc>
        <w:tc>
          <w:tcPr>
            <w:tcW w:w="300" w:type="dxa"/>
            <w:vAlign w:val="bottom"/>
            <w:tcBorders>
              <w:top w:val="single" w:sz="8" w:color="auto"/>
            </w:tcBorders>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1,760,086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1,679,385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74,187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3,513,658</w:t>
            </w: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Merchandise sales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499,407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121,899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624,735</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Installment sales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60,884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60,884</w:t>
            </w: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Franchise merchandise sales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88,125</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Royalty income and fees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24,738</w:t>
            </w:r>
          </w:p>
        </w:tc>
        <w:tc>
          <w:tcPr>
            <w:tcW w:w="20" w:type="dxa"/>
            <w:vAlign w:val="bottom"/>
          </w:tcPr>
          <w:p>
            <w:pPr>
              <w:spacing w:after="0"/>
              <w:rPr>
                <w:sz w:val="14"/>
                <w:szCs w:val="14"/>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4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8,424</w:t>
            </w:r>
          </w:p>
        </w:tc>
        <w:tc>
          <w:tcPr>
            <w:tcW w:w="20" w:type="dxa"/>
            <w:vAlign w:val="bottom"/>
          </w:tcPr>
          <w:p>
            <w:pPr>
              <w:spacing w:after="0"/>
              <w:rPr>
                <w:sz w:val="14"/>
                <w:szCs w:val="14"/>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Borders>
              <w:bottom w:val="single" w:sz="8" w:color="auto"/>
            </w:tcBorders>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2,261,446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1,863,425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78,726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116,967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20" w:type="dxa"/>
            <w:vAlign w:val="bottom"/>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4"/>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Acima</w:t>
            </w:r>
          </w:p>
        </w:tc>
        <w:tc>
          <w:tcPr>
            <w:tcW w:w="20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Franchising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40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Rentals and fees</w:t>
            </w: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1,515,189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1,676,238</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70,251</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3,261,678</w:t>
            </w:r>
          </w:p>
        </w:tc>
        <w:tc>
          <w:tcPr>
            <w:tcW w:w="20" w:type="dxa"/>
            <w:vAlign w:val="bottom"/>
            <w:tcBorders>
              <w:top w:val="single" w:sz="8" w:color="auto"/>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Merchandise sales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541,766</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Installment sales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63,630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63,630</w:t>
            </w:r>
          </w:p>
        </w:tc>
        <w:tc>
          <w:tcPr>
            <w:tcW w:w="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Franchise merchandise sales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95,054</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Royalty income and fees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24,416</w:t>
            </w:r>
          </w:p>
        </w:tc>
        <w:tc>
          <w:tcPr>
            <w:tcW w:w="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5,869</w:t>
            </w:r>
          </w:p>
        </w:tc>
        <w:tc>
          <w:tcPr>
            <w:tcW w:w="20" w:type="dxa"/>
            <w:vAlign w:val="bottom"/>
            <w:tcBorders>
              <w:bottom w:val="single" w:sz="8" w:color="auto"/>
            </w:tcBorders>
          </w:tcPr>
          <w:p>
            <w:pPr>
              <w:spacing w:after="0"/>
              <w:rPr>
                <w:sz w:val="14"/>
                <w:szCs w:val="14"/>
                <w:color w:val="auto"/>
              </w:rPr>
            </w:pPr>
          </w:p>
        </w:tc>
      </w:tr>
      <w:tr>
        <w:trPr>
          <w:trHeight w:val="188"/>
        </w:trPr>
        <w:tc>
          <w:tcPr>
            <w:tcW w:w="20" w:type="dxa"/>
            <w:vAlign w:val="bottom"/>
          </w:tcPr>
          <w:p>
            <w:pPr>
              <w:spacing w:after="0"/>
              <w:rPr>
                <w:sz w:val="15"/>
                <w:szCs w:val="15"/>
                <w:color w:val="auto"/>
              </w:rPr>
            </w:pPr>
          </w:p>
        </w:tc>
        <w:tc>
          <w:tcPr>
            <w:tcW w:w="4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Total revenues</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1,931,325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1,864,123</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74,625</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122,340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3,992,413</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54"/>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Acima</w:t>
            </w:r>
          </w:p>
        </w:tc>
        <w:tc>
          <w:tcPr>
            <w:tcW w:w="20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Franchising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40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Rentals and fees</w:t>
            </w: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1,589,708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1,724,541</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61,204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3,375,453</w:t>
            </w:r>
          </w:p>
        </w:tc>
        <w:tc>
          <w:tcPr>
            <w:tcW w:w="20" w:type="dxa"/>
            <w:vAlign w:val="bottom"/>
            <w:tcBorders>
              <w:top w:val="single" w:sz="8" w:color="auto"/>
            </w:tcBorders>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Merchandise sales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520,077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675,288</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Installment sales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72,328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72,328</w:t>
            </w:r>
          </w:p>
        </w:tc>
        <w:tc>
          <w:tcPr>
            <w:tcW w:w="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Franchise merchandise sales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91,350</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Royalty income and fees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25,998</w:t>
            </w:r>
          </w:p>
        </w:tc>
        <w:tc>
          <w:tcPr>
            <w:tcW w:w="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4,975</w:t>
            </w:r>
          </w:p>
        </w:tc>
        <w:tc>
          <w:tcPr>
            <w:tcW w:w="20" w:type="dxa"/>
            <w:vAlign w:val="bottom"/>
            <w:tcBorders>
              <w:bottom w:val="single" w:sz="8" w:color="auto"/>
            </w:tcBorders>
          </w:tcPr>
          <w:p>
            <w:pPr>
              <w:spacing w:after="0"/>
              <w:rPr>
                <w:sz w:val="14"/>
                <w:szCs w:val="14"/>
                <w:color w:val="auto"/>
              </w:rPr>
            </w:pPr>
          </w:p>
        </w:tc>
      </w:tr>
      <w:tr>
        <w:trPr>
          <w:trHeight w:val="188"/>
        </w:trPr>
        <w:tc>
          <w:tcPr>
            <w:tcW w:w="20" w:type="dxa"/>
            <w:vAlign w:val="bottom"/>
          </w:tcPr>
          <w:p>
            <w:pPr>
              <w:spacing w:after="0"/>
              <w:rPr>
                <w:sz w:val="15"/>
                <w:szCs w:val="15"/>
                <w:color w:val="auto"/>
              </w:rPr>
            </w:pPr>
          </w:p>
        </w:tc>
        <w:tc>
          <w:tcPr>
            <w:tcW w:w="4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Total revenues</w:t>
            </w: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2,110,320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1,949,864</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64,880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120,328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4,245,392</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Purchase Agreements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Rentals and Fees. </w:t>
      </w:r>
      <w:r>
        <w:rPr>
          <w:rFonts w:ascii="Times New Roman" w:cs="Times New Roman" w:eastAsia="Times New Roman" w:hAnsi="Times New Roman"/>
          <w:sz w:val="14"/>
          <w:szCs w:val="14"/>
          <w:color w:val="auto"/>
        </w:rPr>
        <w:t>Rental merchandise is leased to customers pursuant to lease-to-own agreements, which provide for weekly, bi-weekly, semi-monthly or monthly terms with non-refundable lease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 lease-to-own agreement and return the product at the end of any lease term without penalty. Therefore, lease-to-own agreements are accounted for as operating leases.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Lease payments received at our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D for additional information regarding accrued lease revenue.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received for rental payments, including fees, prior to the period in which it should be recognized, is deferred and recognized according to the lease term. At December 31, 2024 and 2023, we had $61.6 million and $68.6 million, respectively, in deferred revenue included in accrued liabilities related to our lease-to-own agreements. Revenues related to various payments, reinstatement or late fees are recognized when paid by the customer at the point service is provided. Rental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merchandise in our Rent-A-Center stores, certain Acima locations formerly operating under the Acceptance Now brand, and Mexico stores is depreciated using the income forecasting method and recognized in cost of rentals and fees in our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Revenue for product plans is recognized over the term of the plan. Costs incurred related to product plans are primarily recognized in cost of revenues.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contracts with customers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Merchandise Sales. </w:t>
      </w:r>
      <w:r>
        <w:rPr>
          <w:rFonts w:ascii="Times New Roman" w:cs="Times New Roman" w:eastAsia="Times New Roman" w:hAnsi="Times New Roman"/>
          <w:sz w:val="14"/>
          <w:szCs w:val="14"/>
          <w:color w:val="auto"/>
        </w:rPr>
        <w:t>Merchandise sales include payments received for the exercise of the early purchase options offered through our lease-to-own agreements or merchandise sold through point-of-sale transactions. Revenue for merchandise sales is recognized when payment is received and ownership of the merchandise passes to the customer. The remaining net value of merchandise sold is recorded to cost of merchandise sold at the time of the transaction.</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Installment Sales. </w:t>
      </w:r>
      <w:r>
        <w:rPr>
          <w:rFonts w:ascii="Times New Roman" w:cs="Times New Roman" w:eastAsia="Times New Roman" w:hAnsi="Times New Roman"/>
          <w:sz w:val="14"/>
          <w:szCs w:val="14"/>
          <w:color w:val="auto"/>
        </w:rPr>
        <w:t>Revenue from the sale of merchandise in our retail installment stores is recognized when the installment note is signed and control of the merchandise has passed to the customer.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cost of merchandise sold through installment agreements is recognized in cost of installment sales at the time of the transaction. We offer optional extended service plans with our installment agreements which are administered by third-parties and provide customers with product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December 31, 2024 and 2023, we had $0.6 million and $1.1 million, respectively, in deferred revenue included in accrued liabilities related to extended service plans.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Franchise Merchandise Sales. </w:t>
      </w:r>
      <w:r>
        <w:rPr>
          <w:rFonts w:ascii="Times New Roman" w:cs="Times New Roman" w:eastAsia="Times New Roman" w:hAnsi="Times New Roman"/>
          <w:sz w:val="14"/>
          <w:szCs w:val="14"/>
          <w:color w:val="auto"/>
        </w:rPr>
        <w:t>Revenue from the sale of rental merchandise is recognized upon shipment of the merchandise to the franchisee.</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Royalty Income and Fees. </w:t>
      </w:r>
      <w:r>
        <w:rPr>
          <w:rFonts w:ascii="Times New Roman" w:cs="Times New Roman" w:eastAsia="Times New Roman" w:hAnsi="Times New Roman"/>
          <w:sz w:val="14"/>
          <w:szCs w:val="14"/>
          <w:color w:val="auto"/>
        </w:rPr>
        <w:t>Franchise royalties, including franchisee contributions to corporate advertising funds, represent sales-based royalties calculated as a percentage of gross rental payments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December 31, 2024 and 2023, we had $2.7 million and $3.0 million, respectively, in deferred revenue included in accrued liabilities related to franchise fees.</w:t>
      </w:r>
    </w:p>
    <w:p>
      <w:pPr>
        <w:spacing w:after="0" w:line="5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Other revenue consists of revenue generated by other miscellaneous product plans offered to our rental and installment customers. Revenue for other product plans is recognized in accordance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terms of the applicable plan agreement.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D — Receivables and Allowance for Doubtful Accounts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the years ended December 31, 2024, 2023 and 2022 was $10.3 million, $11.4 million, and $12.1 million, respectively, included in our installment sales revenues in our Consolidated Statements of Operations.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obligations; and other corporate related receivables. Credit is extended to franchisees based on an evaluation of each franchisee’s financial condition and collateral is generally not required. Trade receivables are generally due within 30 days.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Installment sales receivable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62,901</w:t>
            </w:r>
          </w:p>
        </w:tc>
      </w:tr>
      <w:tr>
        <w:trPr>
          <w:trHeight w:val="170"/>
        </w:trPr>
        <w:tc>
          <w:tcPr>
            <w:tcW w:w="828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Trade and notes receivables</w:t>
            </w:r>
            <w:r>
              <w:rPr>
                <w:rFonts w:ascii="Times New Roman" w:cs="Times New Roman" w:eastAsia="Times New Roman" w:hAnsi="Times New Roman"/>
                <w:sz w:val="16"/>
                <w:szCs w:val="16"/>
                <w:color w:val="auto"/>
                <w:vertAlign w:val="superscript"/>
              </w:rPr>
              <w:t>(1)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109,486</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62,358</w:t>
            </w:r>
          </w:p>
        </w:tc>
      </w:tr>
      <w:tr>
        <w:trPr>
          <w:trHeight w:val="16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receivables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169,728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125,259</w:t>
            </w:r>
          </w:p>
        </w:tc>
      </w:tr>
      <w:tr>
        <w:trPr>
          <w:trHeight w:val="170"/>
        </w:trPr>
        <w:tc>
          <w:tcPr>
            <w:tcW w:w="828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Less allowance for doubtful accounts</w:t>
            </w:r>
            <w:r>
              <w:rPr>
                <w:rFonts w:ascii="Times New Roman" w:cs="Times New Roman" w:eastAsia="Times New Roman" w:hAnsi="Times New Roman"/>
                <w:sz w:val="16"/>
                <w:szCs w:val="16"/>
                <w:color w:val="auto"/>
                <w:vertAlign w:val="superscript"/>
              </w:rPr>
              <w:t>(2)</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(13,290)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(14,254)</w:t>
            </w:r>
          </w:p>
        </w:tc>
      </w:tr>
      <w:tr>
        <w:trPr>
          <w:trHeight w:val="185"/>
        </w:trPr>
        <w:tc>
          <w:tcPr>
            <w:tcW w:w="8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receivables, net of allowance for doubtful accounts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156,438</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40" w:hanging="135"/>
        <w:spacing w:after="0" w:line="220" w:lineRule="auto"/>
        <w:tabs>
          <w:tab w:leader="none" w:pos="116" w:val="left"/>
        </w:tabs>
        <w:numPr>
          <w:ilvl w:val="0"/>
          <w:numId w:val="2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Trade and notes receivables includes accrued revenue, adjusted for the probability of collection, related to our lease-to-own agreements of $51.1 million and $36.8 million at December 31, 2024 and 2023, respectively, including $46.6 million and $31.7 million related to lease-to-own agreements for Acima Holdings and $3.6 million and $3.3 million related to lease-to-own agreements for RAC at December 31, 2024 and 2023, respectively.</w:t>
      </w:r>
    </w:p>
    <w:p>
      <w:pPr>
        <w:ind w:left="100" w:hanging="95"/>
        <w:spacing w:after="0" w:line="205" w:lineRule="auto"/>
        <w:tabs>
          <w:tab w:leader="none" w:pos="100" w:val="left"/>
        </w:tabs>
        <w:numPr>
          <w:ilvl w:val="0"/>
          <w:numId w:val="2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Consolidated Statements of Operations.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Consolidated Statements of Operations.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allowance for doubtful accounts related to Franchising trade and notes receivables was $2.2 million and $1.2 million at December 31, 2024 and 2023, respectively, and the allowance for doubtful accounts related to installment sales receivables was $11.1 million and $13.0 million at December 31, 2024 and 2023,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our allowance for doubtful accounts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allowance for doubtful accounts</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3"/>
                <w:szCs w:val="13"/>
                <w:color w:val="auto"/>
              </w:rPr>
              <w:t>14,254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3"/>
                <w:szCs w:val="13"/>
                <w:color w:val="auto"/>
              </w:rPr>
              <w:t>13,214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8,479</w:t>
            </w:r>
          </w:p>
        </w:tc>
      </w:tr>
      <w:tr>
        <w:trPr>
          <w:trHeight w:val="170"/>
        </w:trPr>
        <w:tc>
          <w:tcPr>
            <w:tcW w:w="672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Estimated uncollectible payments and returns</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4"/>
                <w:szCs w:val="14"/>
                <w:color w:val="auto"/>
              </w:rPr>
            </w:pPr>
          </w:p>
        </w:tc>
        <w:tc>
          <w:tcPr>
            <w:tcW w:w="1100" w:type="dxa"/>
            <w:vAlign w:val="bottom"/>
          </w:tcPr>
          <w:p>
            <w:pPr>
              <w:jc w:val="center"/>
              <w:ind w:left="598"/>
              <w:spacing w:after="0"/>
              <w:rPr>
                <w:sz w:val="20"/>
                <w:szCs w:val="20"/>
                <w:color w:val="auto"/>
              </w:rPr>
            </w:pPr>
            <w:r>
              <w:rPr>
                <w:rFonts w:ascii="Times New Roman" w:cs="Times New Roman" w:eastAsia="Times New Roman" w:hAnsi="Times New Roman"/>
                <w:sz w:val="13"/>
                <w:szCs w:val="13"/>
                <w:color w:val="auto"/>
              </w:rPr>
              <w:t>19,350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ind w:left="839"/>
              <w:spacing w:after="0"/>
              <w:rPr>
                <w:sz w:val="20"/>
                <w:szCs w:val="20"/>
                <w:color w:val="auto"/>
              </w:rPr>
            </w:pPr>
            <w:r>
              <w:rPr>
                <w:rFonts w:ascii="Times New Roman" w:cs="Times New Roman" w:eastAsia="Times New Roman" w:hAnsi="Times New Roman"/>
                <w:sz w:val="13"/>
                <w:szCs w:val="13"/>
                <w:color w:val="auto"/>
              </w:rPr>
              <w:t>25,869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24,658</w:t>
            </w:r>
          </w:p>
        </w:tc>
      </w:tr>
      <w:tr>
        <w:trPr>
          <w:trHeight w:val="168"/>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written off, net of recoveries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558"/>
              <w:spacing w:after="0"/>
              <w:rPr>
                <w:sz w:val="20"/>
                <w:szCs w:val="20"/>
                <w:color w:val="auto"/>
              </w:rPr>
            </w:pPr>
            <w:r>
              <w:rPr>
                <w:rFonts w:ascii="Times New Roman" w:cs="Times New Roman" w:eastAsia="Times New Roman" w:hAnsi="Times New Roman"/>
                <w:sz w:val="13"/>
                <w:szCs w:val="13"/>
                <w:color w:val="auto"/>
                <w:w w:val="98"/>
              </w:rPr>
              <w:t>(20,314)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3"/>
                <w:szCs w:val="13"/>
                <w:color w:val="auto"/>
                <w:w w:val="98"/>
              </w:rPr>
              <w:t>(24,829)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(19,923)</w:t>
            </w:r>
          </w:p>
        </w:tc>
      </w:tr>
      <w:tr>
        <w:trPr>
          <w:trHeight w:val="163"/>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allowance for doubtful accounts</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center"/>
              <w:ind w:left="598"/>
              <w:spacing w:after="0"/>
              <w:rPr>
                <w:sz w:val="20"/>
                <w:szCs w:val="20"/>
                <w:color w:val="auto"/>
              </w:rPr>
            </w:pPr>
            <w:r>
              <w:rPr>
                <w:rFonts w:ascii="Times New Roman" w:cs="Times New Roman" w:eastAsia="Times New Roman" w:hAnsi="Times New Roman"/>
                <w:sz w:val="13"/>
                <w:szCs w:val="13"/>
                <w:color w:val="auto"/>
              </w:rPr>
              <w:t>13,290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3"/>
                <w:szCs w:val="13"/>
                <w:color w:val="auto"/>
              </w:rPr>
              <w:t>14,254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13,214</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00" w:hanging="95"/>
        <w:spacing w:after="0"/>
        <w:tabs>
          <w:tab w:leader="none" w:pos="100" w:val="left"/>
        </w:tabs>
        <w:numPr>
          <w:ilvl w:val="0"/>
          <w:numId w:val="2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Uncollectible installment payments, franchisee obligations, and other corporate receivables are recognized in non-labor store operating expenses in our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E — Rental Merchandise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 rent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1,842,222</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1,762,458</w:t>
            </w:r>
          </w:p>
        </w:tc>
      </w:tr>
      <w:tr>
        <w:trPr>
          <w:trHeight w:val="17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(707,362)</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(652,562)</w:t>
            </w:r>
          </w:p>
        </w:tc>
      </w:tr>
      <w:tr>
        <w:trPr>
          <w:trHeight w:val="163"/>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book value, on rent</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1,134,860</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1,109,896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82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Held for rent</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134,875</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146,024</w:t>
            </w:r>
          </w:p>
        </w:tc>
      </w:tr>
      <w:tr>
        <w:trPr>
          <w:trHeight w:val="17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(21,857)</w:t>
            </w:r>
          </w:p>
        </w:tc>
      </w:tr>
      <w:tr>
        <w:trPr>
          <w:trHeight w:val="163"/>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book value, held for rent</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113,922</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124,167</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F — Property Assets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438,607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481,347</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 and leasehold improvements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205,162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214,498</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and equipment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140,621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151,844</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Transportation equipment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35,370</w:t>
            </w:r>
          </w:p>
        </w:tc>
      </w:tr>
      <w:tr>
        <w:trPr>
          <w:trHeight w:val="15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property assets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802,859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884,238</w:t>
            </w:r>
          </w:p>
        </w:tc>
      </w:tr>
      <w:tr>
        <w:trPr>
          <w:trHeight w:val="17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(548,708)</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(611,120)</w:t>
            </w:r>
          </w:p>
        </w:tc>
      </w:tr>
      <w:tr>
        <w:trPr>
          <w:trHeight w:val="163"/>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property assets, net of accumulated depreciation</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254,151</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273,118</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had $12.8 million and $30.0 million of capitalized software costs included in construction in progress at December 31, 2024 and 2023, respectively. For the years ended December 31, 2024, 2023, and 2022, we placed in service internally developed software of approximately $44.0 million, $15.9 million, and $20.5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G — Leases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lease space for all of our Rent-A-Center and Mexico stores under operating leases expiring at various times through 2034. In addition, we lease space for certain support facilities under operating leases expiring at various times through 2032. Most of our store leases are five-year leases and contain renewal options for additional periods ranging from three years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certain situations involving the sale of a Rent-A-Center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Consolidated Balance Sheets.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We also lease vehicles for all of our Mexico stores which have terms expiring at various times through 2029 with rental rates adjusted periodically for inflation, which are included in our operating lease right-of-use assets and operating lease liabilities in our Consolidated Balance Sheets. Finally, we have a minimal number of equipment leases, primarily related to temporary storage containers and certain back office technology hardware assets, which are included in our operating lease right-of-use assets and operating lease liabilities in our Consolidated Balance Sheets, or classified as short-term leases and excluded under the short term lease exemption.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our calculation of operating lease right-of-use assets and operating lease liabilities we have elected not to separate the lease and non-lease components. Furthermore, operating lease right-of-use assets and operating lease liabilities are discounted using our incremental borrowing rate, since the implicit rate is not readily determinable. We do not currently have any financing leases.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lease costs are recorded on a straight-line basis within non-labor operating expenses in our Consolidated Statements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operating lease costs by expense type: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3"/>
                <w:szCs w:val="13"/>
                <w:color w:val="auto"/>
              </w:rPr>
            </w:pPr>
          </w:p>
        </w:tc>
        <w:tc>
          <w:tcPr>
            <w:tcW w:w="15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66"/>
        </w:trPr>
        <w:tc>
          <w:tcPr>
            <w:tcW w:w="516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Operating lease cost included in non-labor operating expenses</w:t>
            </w:r>
            <w:r>
              <w:rPr>
                <w:rFonts w:ascii="Times New Roman" w:cs="Times New Roman" w:eastAsia="Times New Roman" w:hAnsi="Times New Roman"/>
                <w:sz w:val="16"/>
                <w:szCs w:val="16"/>
                <w:color w:val="auto"/>
                <w:vertAlign w:val="superscript"/>
              </w:rPr>
              <w:t>(1)</w:t>
            </w:r>
          </w:p>
        </w:tc>
        <w:tc>
          <w:tcPr>
            <w:tcW w:w="4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129,667</w:t>
            </w: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124,593</w:t>
            </w: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124,376</w:t>
            </w: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cost included in general and administrative expenses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5,725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6,297</w:t>
            </w:r>
          </w:p>
        </w:tc>
        <w:tc>
          <w:tcPr>
            <w:tcW w:w="0" w:type="dxa"/>
            <w:vAlign w:val="bottom"/>
          </w:tcPr>
          <w:p>
            <w:pPr>
              <w:spacing w:after="0"/>
              <w:rPr>
                <w:sz w:val="1"/>
                <w:szCs w:val="1"/>
                <w:color w:val="auto"/>
              </w:rPr>
            </w:pPr>
          </w:p>
        </w:tc>
      </w:tr>
      <w:tr>
        <w:trPr>
          <w:trHeight w:val="17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 included in other gains and charges</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expense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37,540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37,660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36,216</w:t>
            </w:r>
          </w:p>
        </w:tc>
        <w:tc>
          <w:tcPr>
            <w:tcW w:w="0" w:type="dxa"/>
            <w:vAlign w:val="bottom"/>
          </w:tcPr>
          <w:p>
            <w:pPr>
              <w:spacing w:after="0"/>
              <w:rPr>
                <w:sz w:val="1"/>
                <w:szCs w:val="1"/>
                <w:color w:val="auto"/>
              </w:rPr>
            </w:pPr>
          </w:p>
        </w:tc>
      </w:tr>
      <w:tr>
        <w:trPr>
          <w:trHeight w:val="17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receipts</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(6,637)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(7,128)</w:t>
            </w:r>
          </w:p>
        </w:tc>
        <w:tc>
          <w:tcPr>
            <w:tcW w:w="0" w:type="dxa"/>
            <w:vAlign w:val="bottom"/>
          </w:tcPr>
          <w:p>
            <w:pPr>
              <w:spacing w:after="0"/>
              <w:rPr>
                <w:sz w:val="1"/>
                <w:szCs w:val="1"/>
                <w:color w:val="auto"/>
              </w:rPr>
            </w:pPr>
          </w:p>
        </w:tc>
      </w:tr>
      <w:tr>
        <w:trPr>
          <w:trHeight w:val="160"/>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operating lease charges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171,445</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164,065</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160,064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 xml:space="preserve"> Includes short-term lease costs, which are not significant.</w:t>
            </w: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3"/>
                <w:szCs w:val="13"/>
                <w:color w:val="auto"/>
              </w:rPr>
            </w:pPr>
          </w:p>
        </w:tc>
        <w:tc>
          <w:tcPr>
            <w:tcW w:w="15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6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measurement of operating lease liabilities</w:t>
            </w:r>
          </w:p>
        </w:tc>
        <w:tc>
          <w:tcPr>
            <w:tcW w:w="4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102,013</w:t>
            </w: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105,438</w:t>
            </w: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104,281</w:t>
            </w: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short-term operating leases not included in operating lease liabilities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25,105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19,306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0" w:type="dxa"/>
            <w:vAlign w:val="bottom"/>
          </w:tcPr>
          <w:p>
            <w:pPr>
              <w:spacing w:after="0"/>
              <w:rPr>
                <w:sz w:val="1"/>
                <w:szCs w:val="1"/>
                <w:color w:val="auto"/>
              </w:rPr>
            </w:pPr>
          </w:p>
        </w:tc>
      </w:tr>
      <w:tr>
        <w:trPr>
          <w:trHeight w:val="17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63,874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68,707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99,952</w:t>
            </w:r>
          </w:p>
        </w:tc>
        <w:tc>
          <w:tcPr>
            <w:tcW w:w="0" w:type="dxa"/>
            <w:vAlign w:val="bottom"/>
          </w:tcPr>
          <w:p>
            <w:pPr>
              <w:spacing w:after="0"/>
              <w:rPr>
                <w:sz w:val="1"/>
                <w:szCs w:val="1"/>
                <w:color w:val="auto"/>
              </w:rPr>
            </w:pPr>
          </w:p>
        </w:tc>
      </w:tr>
      <w:tr>
        <w:trPr>
          <w:trHeight w:val="328"/>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 and weighted-average remaining lease term:</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4"/>
                <w:szCs w:val="14"/>
                <w:color w:val="auto"/>
              </w:rPr>
            </w:pPr>
          </w:p>
        </w:tc>
        <w:tc>
          <w:tcPr>
            <w:tcW w:w="1520" w:type="dxa"/>
            <w:vAlign w:val="bottom"/>
            <w:gridSpan w:val="3"/>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70"/>
        </w:trPr>
        <w:tc>
          <w:tcPr>
            <w:tcW w:w="51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Weighted-average discount rate</w:t>
            </w:r>
            <w:r>
              <w:rPr>
                <w:rFonts w:ascii="Times New Roman" w:cs="Times New Roman" w:eastAsia="Times New Roman" w:hAnsi="Times New Roman"/>
                <w:sz w:val="16"/>
                <w:szCs w:val="16"/>
                <w:color w:val="auto"/>
                <w:vertAlign w:val="superscript"/>
              </w:rPr>
              <w:t>(1)</w:t>
            </w:r>
          </w:p>
        </w:tc>
        <w:tc>
          <w:tcPr>
            <w:tcW w:w="4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0" w:type="dxa"/>
            <w:vAlign w:val="bottom"/>
          </w:tcPr>
          <w:p>
            <w:pPr>
              <w:spacing w:after="0"/>
              <w:rPr>
                <w:sz w:val="1"/>
                <w:szCs w:val="1"/>
                <w:color w:val="auto"/>
              </w:rPr>
            </w:pPr>
          </w:p>
        </w:tc>
      </w:tr>
      <w:tr>
        <w:trPr>
          <w:trHeight w:val="165"/>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 xml:space="preserve"> January 1, 2019 incremental borrowing rate was used for leases in existence at the time of adoption of ASU 2016-02.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Reconciliation of undiscounted operating lease liabilities to the present value operating lease liabilities at December 31, 2024: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5"/>
          </w:tcPr>
          <w:p>
            <w:pPr>
              <w:jc w:val="right"/>
              <w:ind w:right="957"/>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101,418</w:t>
            </w:r>
          </w:p>
        </w:tc>
        <w:tc>
          <w:tcPr>
            <w:tcW w:w="0" w:type="dxa"/>
            <w:vAlign w:val="bottom"/>
          </w:tcPr>
          <w:p>
            <w:pPr>
              <w:spacing w:after="0"/>
              <w:rPr>
                <w:sz w:val="1"/>
                <w:szCs w:val="1"/>
                <w:color w:val="auto"/>
              </w:rPr>
            </w:pPr>
          </w:p>
        </w:tc>
      </w:tr>
      <w:tr>
        <w:trPr>
          <w:trHeight w:val="165"/>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80,801</w:t>
            </w:r>
          </w:p>
        </w:tc>
        <w:tc>
          <w:tcPr>
            <w:tcW w:w="0" w:type="dxa"/>
            <w:vAlign w:val="bottom"/>
          </w:tcPr>
          <w:p>
            <w:pPr>
              <w:spacing w:after="0"/>
              <w:rPr>
                <w:sz w:val="1"/>
                <w:szCs w:val="1"/>
                <w:color w:val="auto"/>
              </w:rPr>
            </w:pPr>
          </w:p>
        </w:tc>
      </w:tr>
      <w:tr>
        <w:trPr>
          <w:trHeight w:val="17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59,026</w:t>
            </w:r>
          </w:p>
        </w:tc>
        <w:tc>
          <w:tcPr>
            <w:tcW w:w="0" w:type="dxa"/>
            <w:vAlign w:val="bottom"/>
          </w:tcPr>
          <w:p>
            <w:pPr>
              <w:spacing w:after="0"/>
              <w:rPr>
                <w:sz w:val="1"/>
                <w:szCs w:val="1"/>
                <w:color w:val="auto"/>
              </w:rPr>
            </w:pPr>
          </w:p>
        </w:tc>
      </w:tr>
      <w:tr>
        <w:trPr>
          <w:trHeight w:val="165"/>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36,264</w:t>
            </w:r>
          </w:p>
        </w:tc>
        <w:tc>
          <w:tcPr>
            <w:tcW w:w="0" w:type="dxa"/>
            <w:vAlign w:val="bottom"/>
          </w:tcPr>
          <w:p>
            <w:pPr>
              <w:spacing w:after="0"/>
              <w:rPr>
                <w:sz w:val="1"/>
                <w:szCs w:val="1"/>
                <w:color w:val="auto"/>
              </w:rPr>
            </w:pPr>
          </w:p>
        </w:tc>
      </w:tr>
      <w:tr>
        <w:trPr>
          <w:trHeight w:val="17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22,181</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20,484</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undiscounted operating lease liabilities</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320,174</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Interest</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(47,191)</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present value of operating lease liabilities</w:t>
            </w: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16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H — Goodwill and Other Intangible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the fourth quarter of 2024, we completed a qualitative assessment for impairment of goodwill as of October 1, 2024, concluding it was not more likely than not that the carrying value of the net assets of our reporting units exceeded their respective fair values. Therefore, no impairment of goodwill existed as of December 31, 2024.</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At December 31, 2024 and 2023, the amount of goodwill attributable to the Rent-A-Center segment was approximately $1.9 million and $1.5 million, respectively. At December 31, 2024 and 2023, the amount of goodwill attributable to the Acima segment was approximately $288.3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changes in recorded goodwill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6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goodwill balance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289,750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289,750</w:t>
            </w:r>
          </w:p>
        </w:tc>
      </w:tr>
      <w:tr>
        <w:trPr>
          <w:trHeight w:val="168"/>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Additions from acquisitions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goodwill balance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290,189</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Amortizable intangible assets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97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978"/>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06"/>
        </w:trPr>
        <w:tc>
          <w:tcPr>
            <w:tcW w:w="3640" w:type="dxa"/>
            <w:vAlign w:val="bottom"/>
          </w:tcPr>
          <w:p>
            <w:pPr>
              <w:spacing w:after="0"/>
              <w:rPr>
                <w:sz w:val="9"/>
                <w:szCs w:val="9"/>
                <w:color w:val="auto"/>
              </w:rPr>
            </w:pPr>
          </w:p>
        </w:tc>
        <w:tc>
          <w:tcPr>
            <w:tcW w:w="154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Avg.</w:t>
            </w:r>
          </w:p>
        </w:tc>
        <w:tc>
          <w:tcPr>
            <w:tcW w:w="280" w:type="dxa"/>
            <w:vAlign w:val="bottom"/>
          </w:tcPr>
          <w:p>
            <w:pPr>
              <w:spacing w:after="0"/>
              <w:rPr>
                <w:sz w:val="9"/>
                <w:szCs w:val="9"/>
                <w:color w:val="auto"/>
              </w:rPr>
            </w:pPr>
          </w:p>
        </w:tc>
        <w:tc>
          <w:tcPr>
            <w:tcW w:w="1260" w:type="dxa"/>
            <w:vAlign w:val="bottom"/>
            <w:gridSpan w:val="2"/>
          </w:tcPr>
          <w:p>
            <w:pPr>
              <w:jc w:val="center"/>
              <w:ind w:right="38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9"/>
                <w:szCs w:val="9"/>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300" w:type="dxa"/>
            <w:vAlign w:val="bottom"/>
          </w:tcPr>
          <w:p>
            <w:pPr>
              <w:spacing w:after="0"/>
              <w:rPr>
                <w:sz w:val="9"/>
                <w:szCs w:val="9"/>
                <w:color w:val="auto"/>
              </w:rPr>
            </w:pPr>
          </w:p>
        </w:tc>
        <w:tc>
          <w:tcPr>
            <w:tcW w:w="1240" w:type="dxa"/>
            <w:vAlign w:val="bottom"/>
            <w:gridSpan w:val="2"/>
          </w:tcPr>
          <w:p>
            <w:pPr>
              <w:jc w:val="center"/>
              <w:ind w:right="40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9"/>
                <w:szCs w:val="9"/>
                <w:color w:val="auto"/>
              </w:rPr>
            </w:pPr>
          </w:p>
        </w:tc>
        <w:tc>
          <w:tcPr>
            <w:tcW w:w="1220" w:type="dxa"/>
            <w:vAlign w:val="bottom"/>
            <w:vMerge w:val="restart"/>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0" w:type="dxa"/>
            <w:vAlign w:val="bottom"/>
          </w:tcPr>
          <w:p>
            <w:pPr>
              <w:spacing w:after="0"/>
              <w:rPr>
                <w:sz w:val="1"/>
                <w:szCs w:val="1"/>
                <w:color w:val="auto"/>
              </w:rPr>
            </w:pPr>
          </w:p>
        </w:tc>
      </w:tr>
      <w:tr>
        <w:trPr>
          <w:trHeight w:val="117"/>
        </w:trPr>
        <w:tc>
          <w:tcPr>
            <w:tcW w:w="3640" w:type="dxa"/>
            <w:vAlign w:val="bottom"/>
            <w:vMerge w:val="restart"/>
          </w:tcPr>
          <w:p>
            <w:pPr>
              <w:ind w:left="4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15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Life</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640" w:type="dxa"/>
            <w:vAlign w:val="bottom"/>
            <w:vMerge w:val="continue"/>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(years)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3"/>
                <w:szCs w:val="13"/>
                <w:color w:val="auto"/>
              </w:rPr>
            </w:pP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0" w:type="dxa"/>
            <w:vAlign w:val="bottom"/>
          </w:tcPr>
          <w:p>
            <w:pPr>
              <w:spacing w:after="0"/>
              <w:rPr>
                <w:sz w:val="1"/>
                <w:szCs w:val="1"/>
                <w:color w:val="auto"/>
              </w:rPr>
            </w:pPr>
          </w:p>
        </w:tc>
      </w:tr>
      <w:tr>
        <w:trPr>
          <w:trHeight w:val="16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140,417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140,193</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140,191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140,165</w:t>
            </w:r>
          </w:p>
        </w:tc>
        <w:tc>
          <w:tcPr>
            <w:tcW w:w="0" w:type="dxa"/>
            <w:vAlign w:val="bottom"/>
          </w:tcPr>
          <w:p>
            <w:pPr>
              <w:spacing w:after="0"/>
              <w:rPr>
                <w:sz w:val="1"/>
                <w:szCs w:val="1"/>
                <w:color w:val="auto"/>
              </w:rPr>
            </w:pPr>
          </w:p>
        </w:tc>
      </w:tr>
      <w:tr>
        <w:trPr>
          <w:trHeight w:val="168"/>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Merchant relationships</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389,760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113,740</w:t>
            </w:r>
          </w:p>
        </w:tc>
        <w:tc>
          <w:tcPr>
            <w:tcW w:w="0" w:type="dxa"/>
            <w:vAlign w:val="bottom"/>
          </w:tcPr>
          <w:p>
            <w:pPr>
              <w:spacing w:after="0"/>
              <w:rPr>
                <w:sz w:val="1"/>
                <w:szCs w:val="1"/>
                <w:color w:val="auto"/>
              </w:rPr>
            </w:pPr>
          </w:p>
        </w:tc>
      </w:tr>
      <w:tr>
        <w:trPr>
          <w:trHeight w:val="17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16,394</w:t>
            </w:r>
          </w:p>
        </w:tc>
        <w:tc>
          <w:tcPr>
            <w:tcW w:w="0" w:type="dxa"/>
            <w:vAlign w:val="bottom"/>
          </w:tcPr>
          <w:p>
            <w:pPr>
              <w:spacing w:after="0"/>
              <w:rPr>
                <w:sz w:val="1"/>
                <w:szCs w:val="1"/>
                <w:color w:val="auto"/>
              </w:rPr>
            </w:pPr>
          </w:p>
        </w:tc>
      </w:tr>
      <w:tr>
        <w:trPr>
          <w:trHeight w:val="168"/>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Non-compete agreements</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44,973</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other intangible assets</w:t>
            </w: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616,896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361,650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616,670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315,272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amortization expense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Ended December 31, 2024</w:t>
            </w:r>
          </w:p>
        </w:tc>
        <w:tc>
          <w:tcPr>
            <w:tcW w:w="46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46,382</w:t>
            </w:r>
          </w:p>
        </w:tc>
      </w:tr>
      <w:tr>
        <w:trPr>
          <w:trHeight w:val="168"/>
        </w:trPr>
        <w:tc>
          <w:tcPr>
            <w:tcW w:w="5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Year Ended December 31, 2023</w:t>
            </w:r>
          </w:p>
        </w:tc>
        <w:tc>
          <w:tcPr>
            <w:tcW w:w="46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58,022</w:t>
            </w:r>
          </w:p>
        </w:tc>
      </w:tr>
      <w:tr>
        <w:trPr>
          <w:trHeight w:val="17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Ended December 31, 2022</w:t>
            </w:r>
          </w:p>
        </w:tc>
        <w:tc>
          <w:tcPr>
            <w:tcW w:w="46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65,890</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amortization expense, assuming current intangible balances and no new acquisitions, for each of the years ending December 31,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80" w:type="dxa"/>
            <w:vAlign w:val="bottom"/>
          </w:tcPr>
          <w:p>
            <w:pPr>
              <w:spacing w:after="0"/>
              <w:rPr>
                <w:sz w:val="10"/>
                <w:szCs w:val="10"/>
                <w:color w:val="auto"/>
              </w:rPr>
            </w:pPr>
          </w:p>
        </w:tc>
        <w:tc>
          <w:tcPr>
            <w:tcW w:w="1700" w:type="dxa"/>
            <w:vAlign w:val="bottom"/>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53"/>
        </w:trPr>
        <w:tc>
          <w:tcPr>
            <w:tcW w:w="93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Amortization Expense</w:t>
            </w:r>
          </w:p>
        </w:tc>
        <w:tc>
          <w:tcPr>
            <w:tcW w:w="0" w:type="dxa"/>
            <w:vAlign w:val="bottom"/>
          </w:tcPr>
          <w:p>
            <w:pPr>
              <w:spacing w:after="0"/>
              <w:rPr>
                <w:sz w:val="1"/>
                <w:szCs w:val="1"/>
                <w:color w:val="auto"/>
              </w:rPr>
            </w:pPr>
          </w:p>
        </w:tc>
      </w:tr>
      <w:tr>
        <w:trPr>
          <w:trHeight w:val="165"/>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44,736</w:t>
            </w:r>
          </w:p>
        </w:tc>
        <w:tc>
          <w:tcPr>
            <w:tcW w:w="0" w:type="dxa"/>
            <w:vAlign w:val="bottom"/>
          </w:tcPr>
          <w:p>
            <w:pPr>
              <w:spacing w:after="0"/>
              <w:rPr>
                <w:sz w:val="1"/>
                <w:szCs w:val="1"/>
                <w:color w:val="auto"/>
              </w:rPr>
            </w:pPr>
          </w:p>
        </w:tc>
      </w:tr>
      <w:tr>
        <w:trPr>
          <w:trHeight w:val="168"/>
        </w:trPr>
        <w:tc>
          <w:tcPr>
            <w:tcW w:w="9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0" w:type="dxa"/>
            <w:vAlign w:val="bottom"/>
          </w:tcPr>
          <w:p>
            <w:pPr>
              <w:spacing w:after="0"/>
              <w:rPr>
                <w:sz w:val="1"/>
                <w:szCs w:val="1"/>
                <w:color w:val="auto"/>
              </w:rPr>
            </w:pPr>
          </w:p>
        </w:tc>
      </w:tr>
      <w:tr>
        <w:trPr>
          <w:trHeight w:val="17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0" w:type="dxa"/>
            <w:vAlign w:val="bottom"/>
          </w:tcPr>
          <w:p>
            <w:pPr>
              <w:spacing w:after="0"/>
              <w:rPr>
                <w:sz w:val="1"/>
                <w:szCs w:val="1"/>
                <w:color w:val="auto"/>
              </w:rPr>
            </w:pPr>
          </w:p>
        </w:tc>
      </w:tr>
      <w:tr>
        <w:trPr>
          <w:trHeight w:val="168"/>
        </w:trPr>
        <w:tc>
          <w:tcPr>
            <w:tcW w:w="9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39,638</w:t>
            </w:r>
          </w:p>
        </w:tc>
        <w:tc>
          <w:tcPr>
            <w:tcW w:w="0" w:type="dxa"/>
            <w:vAlign w:val="bottom"/>
          </w:tcPr>
          <w:p>
            <w:pPr>
              <w:spacing w:after="0"/>
              <w:rPr>
                <w:sz w:val="1"/>
                <w:szCs w:val="1"/>
                <w:color w:val="auto"/>
              </w:rPr>
            </w:pPr>
          </w:p>
        </w:tc>
      </w:tr>
      <w:tr>
        <w:trPr>
          <w:trHeight w:val="17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38,593</w:t>
            </w:r>
          </w:p>
        </w:tc>
        <w:tc>
          <w:tcPr>
            <w:tcW w:w="0" w:type="dxa"/>
            <w:vAlign w:val="bottom"/>
          </w:tcPr>
          <w:p>
            <w:pPr>
              <w:spacing w:after="0"/>
              <w:rPr>
                <w:sz w:val="1"/>
                <w:szCs w:val="1"/>
                <w:color w:val="auto"/>
              </w:rPr>
            </w:pPr>
          </w:p>
        </w:tc>
      </w:tr>
      <w:tr>
        <w:trPr>
          <w:trHeight w:val="168"/>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43,071</w:t>
            </w:r>
          </w:p>
        </w:tc>
        <w:tc>
          <w:tcPr>
            <w:tcW w:w="0" w:type="dxa"/>
            <w:vAlign w:val="bottom"/>
          </w:tcPr>
          <w:p>
            <w:pPr>
              <w:spacing w:after="0"/>
              <w:rPr>
                <w:sz w:val="1"/>
                <w:szCs w:val="1"/>
                <w:color w:val="auto"/>
              </w:rPr>
            </w:pPr>
          </w:p>
        </w:tc>
      </w:tr>
      <w:tr>
        <w:trPr>
          <w:trHeight w:val="188"/>
        </w:trPr>
        <w:tc>
          <w:tcPr>
            <w:tcW w:w="9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amortization expense</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255,246</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I — Accrued Liabilities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insurance costs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Deferred revenue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compensation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Taxes other than income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interest payable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dividends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taxes payable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Estimated legal accrual</w:t>
      </w:r>
      <w:r>
        <w:rPr>
          <w:rFonts w:ascii="Times New Roman" w:cs="Times New Roman" w:eastAsia="Times New Roman" w:hAnsi="Times New Roman"/>
          <w:sz w:val="16"/>
          <w:szCs w:val="16"/>
          <w:color w:val="auto"/>
          <w:vertAlign w:val="superscript"/>
        </w:rPr>
        <w:t>(1)</w:t>
      </w:r>
    </w:p>
    <w:p>
      <w:pPr>
        <w:ind w:left="20"/>
        <w:spacing w:after="0"/>
        <w:rPr>
          <w:sz w:val="20"/>
          <w:szCs w:val="20"/>
          <w:color w:val="auto"/>
        </w:rPr>
      </w:pPr>
      <w:r>
        <w:rPr>
          <w:rFonts w:ascii="Times New Roman" w:cs="Times New Roman" w:eastAsia="Times New Roman" w:hAnsi="Times New Roman"/>
          <w:sz w:val="13"/>
          <w:szCs w:val="13"/>
          <w:color w:val="auto"/>
        </w:rPr>
        <w:t>Deferred compensation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other</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Total Accrued liabilities</w:t>
      </w:r>
    </w:p>
    <w:p>
      <w:pPr>
        <w:spacing w:after="0" w:line="81" w:lineRule="exact"/>
        <w:rPr>
          <w:sz w:val="20"/>
          <w:szCs w:val="20"/>
          <w:color w:val="auto"/>
        </w:rPr>
      </w:pPr>
    </w:p>
    <w:p>
      <w:pPr>
        <w:ind w:left="140" w:hanging="135"/>
        <w:spacing w:after="0"/>
        <w:tabs>
          <w:tab w:leader="none" w:pos="140" w:val="left"/>
        </w:tabs>
        <w:numPr>
          <w:ilvl w:val="0"/>
          <w:numId w:val="2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See Note M for additional information.</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tbl>
      <w:tblPr>
        <w:tblLayout w:type="fixed"/>
        <w:tblInd w:w="4960" w:type="dxa"/>
        <w:tblCellMar>
          <w:top w:w="0" w:type="dxa"/>
          <w:left w:w="0" w:type="dxa"/>
          <w:bottom w:w="0" w:type="dxa"/>
          <w:right w:w="0" w:type="dxa"/>
        </w:tblCellMar>
      </w:tblPr>
      <w:tr>
        <w:trPr>
          <w:trHeight w:val="164"/>
        </w:trPr>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66,586</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77,318</w:t>
            </w:r>
          </w:p>
        </w:tc>
      </w:tr>
      <w:tr>
        <w:trPr>
          <w:trHeight w:val="170"/>
        </w:trPr>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64,952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72,605</w:t>
            </w:r>
          </w:p>
        </w:tc>
      </w:tr>
      <w:tr>
        <w:trPr>
          <w:trHeight w:val="170"/>
        </w:trPr>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39,419</w:t>
            </w:r>
          </w:p>
        </w:tc>
      </w:tr>
      <w:tr>
        <w:trPr>
          <w:trHeight w:val="170"/>
        </w:trPr>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27,672</w:t>
            </w:r>
          </w:p>
        </w:tc>
      </w:tr>
      <w:tr>
        <w:trPr>
          <w:trHeight w:val="170"/>
        </w:trPr>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25,137</w:t>
            </w:r>
          </w:p>
        </w:tc>
      </w:tr>
      <w:tr>
        <w:trPr>
          <w:trHeight w:val="170"/>
        </w:trPr>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21,393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21,491</w:t>
            </w:r>
          </w:p>
        </w:tc>
      </w:tr>
      <w:tr>
        <w:trPr>
          <w:trHeight w:val="170"/>
        </w:trPr>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15,767</w:t>
            </w:r>
          </w:p>
        </w:tc>
      </w:tr>
      <w:tr>
        <w:trPr>
          <w:trHeight w:val="170"/>
        </w:trPr>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w:t>
            </w:r>
          </w:p>
        </w:tc>
      </w:tr>
      <w:tr>
        <w:trPr>
          <w:trHeight w:val="170"/>
        </w:trPr>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8,488</w:t>
            </w:r>
          </w:p>
        </w:tc>
      </w:tr>
      <w:tr>
        <w:trPr>
          <w:trHeight w:val="172"/>
        </w:trPr>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28,693</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26,258</w:t>
            </w:r>
          </w:p>
        </w:tc>
      </w:tr>
      <w:tr>
        <w:trPr>
          <w:trHeight w:val="160"/>
        </w:trPr>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304,212</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322,905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-1225550</wp:posOffset>
            </wp:positionV>
            <wp:extent cx="7161530"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-1003300</wp:posOffset>
            </wp:positionV>
            <wp:extent cx="7161530" cy="1079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-787400</wp:posOffset>
            </wp:positionV>
            <wp:extent cx="7161530" cy="1079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-572135</wp:posOffset>
            </wp:positionV>
            <wp:extent cx="7161530" cy="1079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-356235</wp:posOffset>
            </wp:positionV>
            <wp:extent cx="7161530" cy="107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-140970</wp:posOffset>
            </wp:positionV>
            <wp:extent cx="7161530" cy="128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2600" w:space="720"/>
            <w:col w:w="7960"/>
          </w:cols>
          <w:pgMar w:left="300" w:top="207" w:right="31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J — Income Taxes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financial statement purposes, earnings before income taxes by source was comprised of the following:</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40" w:type="dxa"/>
            <w:vAlign w:val="bottom"/>
            <w:tcBorders>
              <w:bottom w:val="single" w:sz="8" w:color="auto"/>
            </w:tcBorders>
          </w:tcPr>
          <w:p>
            <w:pPr>
              <w:spacing w:after="0"/>
              <w:rPr>
                <w:sz w:val="13"/>
                <w:szCs w:val="13"/>
                <w:color w:val="auto"/>
              </w:rPr>
            </w:pPr>
          </w:p>
        </w:tc>
      </w:tr>
      <w:tr>
        <w:trPr>
          <w:trHeight w:val="149"/>
        </w:trPr>
        <w:tc>
          <w:tcPr>
            <w:tcW w:w="67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4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60" w:type="dxa"/>
            <w:vAlign w:val="bottom"/>
          </w:tcPr>
          <w:p>
            <w:pPr>
              <w:jc w:val="right"/>
              <w:ind w:right="8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4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520" w:type="dxa"/>
            <w:vAlign w:val="bottom"/>
            <w:tcBorders>
              <w:top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165,020</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38,375</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43,977</w:t>
            </w:r>
          </w:p>
        </w:tc>
      </w:tr>
      <w:tr>
        <w:trPr>
          <w:trHeight w:val="16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12,521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14,492</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17,494</w:t>
            </w:r>
          </w:p>
        </w:tc>
      </w:tr>
      <w:tr>
        <w:trPr>
          <w:trHeight w:val="188"/>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520" w:type="dxa"/>
            <w:vAlign w:val="bottom"/>
            <w:tcBorders>
              <w:bottom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177,541</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52,867</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61,471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federal statutory rate of 21% to the effective rate follows:</w:t>
      </w:r>
    </w:p>
    <w:p>
      <w:pPr>
        <w:spacing w:after="0" w:line="3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0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statutory rate</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Non-deductible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57.1 %</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53.4 %</w:t>
            </w:r>
          </w:p>
        </w:tc>
      </w:tr>
      <w:tr>
        <w:trPr>
          <w:trHeight w:val="17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income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13.4 %</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Effect of foreign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19.5 %</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6.6 %</w:t>
            </w:r>
          </w:p>
        </w:tc>
      </w:tr>
      <w:tr>
        <w:trPr>
          <w:trHeight w:val="17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current year credits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Change in unrecognized tax benefits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7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permanent differences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Prior year return to provision adjustments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7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85"/>
        </w:trPr>
        <w:tc>
          <w:tcPr>
            <w:tcW w:w="650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Effective income tax rate</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tax expense (benefit)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expense (benefit)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79,751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58,480</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62,878</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21,473</w:t>
            </w:r>
          </w:p>
        </w:tc>
      </w:tr>
      <w:tr>
        <w:trPr>
          <w:trHeight w:val="168"/>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Foreign</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4,570</w:t>
            </w:r>
          </w:p>
        </w:tc>
      </w:tr>
      <w:tr>
        <w:trPr>
          <w:trHeight w:val="163"/>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83,739</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72,509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88,921</w:t>
            </w:r>
          </w:p>
        </w:tc>
      </w:tr>
      <w:tr>
        <w:trPr>
          <w:trHeight w:val="148"/>
        </w:trPr>
        <w:tc>
          <w:tcPr>
            <w:tcW w:w="6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(benefit) expense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(28,084)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(25,923)</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(13,321)</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Foreign</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w:t>
            </w:r>
          </w:p>
        </w:tc>
      </w:tr>
      <w:tr>
        <w:trPr>
          <w:trHeight w:val="158"/>
        </w:trPr>
        <w:tc>
          <w:tcPr>
            <w:tcW w:w="6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(29,676)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(39,807)</w:t>
            </w:r>
          </w:p>
        </w:tc>
      </w:tr>
      <w:tr>
        <w:trPr>
          <w:trHeight w:val="188"/>
        </w:trPr>
        <w:tc>
          <w:tcPr>
            <w:tcW w:w="67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income tax expense</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54,063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58,046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49,114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tax assets (liabilities)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12,814</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20,852</w:t>
            </w: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liabilities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63,258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64,410</w:t>
            </w: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Intangible assets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133,235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143,386</w:t>
            </w: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Property 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obligations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72,790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79,645</w:t>
            </w: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r>
      <w:tr>
        <w:trPr>
          <w:trHeight w:val="168"/>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Foreign tax credit carryforwards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2,348</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856</w:t>
            </w:r>
          </w:p>
        </w:tc>
      </w:tr>
      <w:tr>
        <w:trPr>
          <w:trHeight w:val="163"/>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297,978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313,231</w:t>
            </w:r>
          </w:p>
        </w:tc>
      </w:tr>
      <w:tr>
        <w:trPr>
          <w:trHeight w:val="16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(8,599)</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(9,340)</w:t>
            </w:r>
          </w:p>
        </w:tc>
      </w:tr>
      <w:tr>
        <w:trPr>
          <w:trHeight w:val="1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 net</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289,379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303,891</w:t>
            </w:r>
          </w:p>
        </w:tc>
      </w:tr>
      <w:tr>
        <w:trPr>
          <w:trHeight w:val="148"/>
        </w:trPr>
        <w:tc>
          <w:tcPr>
            <w:tcW w:w="82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tax liabilities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Rental merchandise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(176,375)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(212,137)</w:t>
            </w: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assets</w:t>
            </w: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w:t>
            </w: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Lease 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(70,786)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(77,825)</w:t>
            </w:r>
          </w:p>
        </w:tc>
      </w:tr>
      <w:tr>
        <w:trPr>
          <w:trHeight w:val="168"/>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liabilities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w:t>
            </w:r>
          </w:p>
        </w:tc>
      </w:tr>
      <w:tr>
        <w:trPr>
          <w:trHeight w:val="160"/>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(249,035)</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(292,701)</w:t>
            </w:r>
          </w:p>
        </w:tc>
      </w:tr>
      <w:tr>
        <w:trPr>
          <w:trHeight w:val="163"/>
        </w:trPr>
        <w:tc>
          <w:tcPr>
            <w:tcW w:w="82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Net deferred taxes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40,344</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11,190</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each reporting date, our management considers new evidence, both positive and negative, that could impact management’s view with regard to future realization of deferred tax assets. At December 31, 2024, we had net operating loss carryforwards of approximately $147 million for state, none for federal and $23 million for foreign jurisdictions.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After review of the evidence generated during the year, we have determined that a valuation allowance is required against Mexico and certain state net operating losses due to the forecasted expiration of net operating losses. We also had federal, state and foreign tax credit carryforwards of approximately $3.2 million of which a portion has been offset by a valuation allowance. The net operating losses and credits will expire in various years between 2025 and 2043.</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We file income tax returns in the U.S. and multiple foreign jurisdictions with varying statutes of limitations. In the normal course of business, we are subject to examination by various taxing authorities. We are currently under examination by certain state revenue authorities for the fiscal years 2013 through 2022. The following is a summary of all tax years that are open to examination.</w:t>
      </w:r>
    </w:p>
    <w:p>
      <w:pPr>
        <w:spacing w:after="0" w:line="1"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Federal - 2021 and forward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States - 2013 and forward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- 2019 and forward</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anticipate that adjustments as a result of these audits, if any, will have a material impact to our Consolidated Statements of Operations, Consolidated Balance Sheets, and statement of cash flows or earnings per share.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unrecognized tax benefit balance</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6,536</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Additions based on tax positions related to current year</w:t>
            </w: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Reductions based on tax positions related to current year</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Additions for tax positions of prior years</w:t>
            </w: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Reductions for tax positions of prior years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Settlements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unrecognized tax benefit balance</w:t>
            </w:r>
          </w:p>
        </w:tc>
        <w:tc>
          <w:tcPr>
            <w:tcW w:w="34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Included in the balance of unrecognized tax benefits at December 31, 2024, is $0.3 million, net of federal benefit, which, if ultimately recognized, will affect our annual effective tax rate.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we recorded interest expense of $0.4 million for remaining uncertain tax positions, partially offset by $0.2 million of interest income primarily related to the reversal of the accrual of interest for matters settled during the year in our favor, both of which are excluded from the reconciliation of unrecognized tax benefits presented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K— Senior Debt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17, 2021, we entered into a credit agreement with JPMorgan Chase Bank, N.A., as administrative agent, and lenders party thereto, providing for a seven-year $875 million senior secured term loan facility (the “Term Loan Facility”), as amended on September 21, 2021, June 15, 2023 and May 28, 2024, and an Asset Based Loan Credit Facility (the “ABL Credit Facility”), as amended August 10, 2022 and June 7, 2024,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third-party legal and other professional fees, of which $25.3 million was capitalized in accordance with ASC Topic 470, “Debt” and recorded as a reduction of our outstanding senior debt, net in our Consolidated Balance Sheets.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10, 2022, we entered into a First Amendment to the ABL Credit Facility, effective as of August 10, 2022. The amendment effected the replacement of LIBOR with Term Secured Overnight Financing Rate (“Term SOFR”) as the benchmark rate of interest thereunder.</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15, 2023, we entered into a Second Amendment to the Term Loan Facility, effective as of June 15, 2023. The amendment effected the replacement of LIBOR with Term SOFR as the benchmark rate of interest.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28, 2024, we entered into a Third Amendment to the Term Loan Facility, effective as of May 28, 2024. The amendment, in addition to certain other changes, effected a repricing of the applicable margin under the Term Loan Facility by reducing the applicable margin, with respect to any initial term loans, by 50 basis points from 3.25% to 2.75% and removing the credit spread adjustment that was previously included in the calculation of the adjusted Term SOFR rate for term benchmark loans.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execution of the Third Amendment to the Term Loan Facility, we incurred approximately $2.0 million in debt issuance costs, including third-party arrangement and other professional fees, of which approximately $1.8 million were expensed as debt refinance charges in our Consolidated Statements of Operations, and approximately $0.2 million were capitalized and recorded as a reduction to our outstanding senior debt in our Consolidated Balance Sheets. In addition, in accordance with ASC Topic 470, “Debt”, we recorded approximately $4.4 million in write-offs of unamortized debt issuance costs and original issue discount previously capitalized upon the issuance of the Term Loan Facility on February 17, 2021. The write-offs were recorded as debt refinance charges in our Consolidated Statements of Operations.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7, 2024, we entered into a Second Amendment to the ABL Credit Facility, effective as of June 7, 2024. The amendment, in addition to certain other changes, extended the maturity date for loans outstanding to June 7, 2029 (subject to certain springing maturity provisions).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execution of the Second Amendment to the ABL Credit Facility, we incurred approximately $3.2 million in debt issuance costs, including third-party arrangement and other professional fees, which were capitalized and recorded as a reduction to our outstanding senior debt in our Consolidated Balance Sheets. In addition, in accordance with ASC Topic 470, “Debt”, we recorded approximately $0.4 million in write-offs of unamortized debt issuance costs previously capitalized upon the issuance of the ABL Credit Facility on February 17, 2021. The write-offs were recorded as debt refinance charges in our Consolidated Statements of Operations.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the total remaining balances of unamortized debt issuance costs and original issue discount related to our senior debt reported in the Consolidated Balance Sheets were approximately $8.8 million and $0.8 million, respectively. Remaining unamortized debt issuance costs and original issue discount will be amortized to interest expense over the remaining terms of the ABL Credit Facility and Term Loan Facility.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had $75.0 million outstanding borrowings under our ABL Credit Facility at December 31, 2024 and borrowing capacity of $428.3 million, net of issued letters of credit of approximately $46.7 million. The amount outstanding under the Term Loan Facility was $802.3 million at December 31,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senior debt facilities as of December 31, 2024 and 2023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60" w:type="dxa"/>
            <w:vAlign w:val="bottom"/>
          </w:tcPr>
          <w:p>
            <w:pPr>
              <w:spacing w:after="0"/>
              <w:rPr>
                <w:sz w:val="9"/>
                <w:szCs w:val="9"/>
                <w:color w:val="auto"/>
              </w:rPr>
            </w:pPr>
          </w:p>
        </w:tc>
        <w:tc>
          <w:tcPr>
            <w:tcW w:w="9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40" w:type="dxa"/>
            <w:vAlign w:val="bottom"/>
          </w:tcPr>
          <w:p>
            <w:pPr>
              <w:spacing w:after="0"/>
              <w:rPr>
                <w:sz w:val="9"/>
                <w:szCs w:val="9"/>
                <w:color w:val="auto"/>
              </w:rPr>
            </w:pPr>
          </w:p>
        </w:tc>
        <w:tc>
          <w:tcPr>
            <w:tcW w:w="900" w:type="dxa"/>
            <w:vAlign w:val="bottom"/>
          </w:tcPr>
          <w:p>
            <w:pPr>
              <w:jc w:val="center"/>
              <w:ind w:right="78"/>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jc w:val="center"/>
              <w:ind w:right="159"/>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40" w:type="dxa"/>
            <w:vAlign w:val="bottom"/>
          </w:tcPr>
          <w:p>
            <w:pPr>
              <w:spacing w:after="0"/>
              <w:rPr>
                <w:sz w:val="9"/>
                <w:szCs w:val="9"/>
                <w:color w:val="auto"/>
              </w:rPr>
            </w:pPr>
          </w:p>
        </w:tc>
        <w:tc>
          <w:tcPr>
            <w:tcW w:w="900" w:type="dxa"/>
            <w:vAlign w:val="bottom"/>
          </w:tcPr>
          <w:p>
            <w:pPr>
              <w:jc w:val="center"/>
              <w:ind w:right="78"/>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ind w:right="279"/>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53"/>
        </w:trPr>
        <w:tc>
          <w:tcPr>
            <w:tcW w:w="2740" w:type="dxa"/>
            <w:vAlign w:val="bottom"/>
            <w:vMerge w:val="continue"/>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13"/>
                <w:szCs w:val="13"/>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Available</w:t>
            </w:r>
          </w:p>
        </w:tc>
        <w:tc>
          <w:tcPr>
            <w:tcW w:w="1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13"/>
                <w:szCs w:val="13"/>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Available</w:t>
            </w:r>
          </w:p>
        </w:tc>
        <w:tc>
          <w:tcPr>
            <w:tcW w:w="0" w:type="dxa"/>
            <w:vAlign w:val="bottom"/>
          </w:tcPr>
          <w:p>
            <w:pPr>
              <w:spacing w:after="0"/>
              <w:rPr>
                <w:sz w:val="1"/>
                <w:szCs w:val="1"/>
                <w:color w:val="auto"/>
              </w:rPr>
            </w:pPr>
          </w:p>
        </w:tc>
      </w:tr>
      <w:tr>
        <w:trPr>
          <w:trHeight w:val="154"/>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Debt:</w:t>
            </w: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120"/>
              <w:spacing w:after="0" w:line="161" w:lineRule="exact"/>
              <w:rPr>
                <w:sz w:val="20"/>
                <w:szCs w:val="20"/>
                <w:color w:val="auto"/>
              </w:rPr>
            </w:pPr>
            <w:r>
              <w:rPr>
                <w:rFonts w:ascii="Times New Roman" w:cs="Times New Roman" w:eastAsia="Times New Roman" w:hAnsi="Times New Roman"/>
                <w:sz w:val="13"/>
                <w:szCs w:val="13"/>
                <w:color w:val="auto"/>
              </w:rPr>
              <w:t>ABL Credit Facility</w:t>
            </w:r>
            <w:r>
              <w:rPr>
                <w:rFonts w:ascii="Times New Roman" w:cs="Times New Roman" w:eastAsia="Times New Roman" w:hAnsi="Times New Roman"/>
                <w:sz w:val="16"/>
                <w:szCs w:val="16"/>
                <w:color w:val="auto"/>
                <w:vertAlign w:val="superscript"/>
              </w:rPr>
              <w:t>(1)</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June 7, 2029</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428,306</w:t>
            </w:r>
          </w:p>
        </w:tc>
        <w:tc>
          <w:tcPr>
            <w:tcW w:w="8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429,571</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Term Loan Facility</w:t>
            </w: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February 17, 2028</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802,333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811,083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27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w:t>
            </w: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1,425,000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877,333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428,306</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1,425,000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881,083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429,571</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Unamortized debt issuance costs</w:t>
            </w: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(9,607)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(14,376)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senior debt, net</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867,726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866,707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00" w:hanging="95"/>
        <w:spacing w:after="0"/>
        <w:tabs>
          <w:tab w:leader="none" w:pos="100" w:val="left"/>
        </w:tabs>
        <w:numPr>
          <w:ilvl w:val="0"/>
          <w:numId w:val="2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Borrowing availability is net of issued letters of credit of approximately $46.7 million and $50.4 million for the years ended December 31,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ABL Credit Facility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ABL Credit Facility bears interest at a fluctuating rate determined by reference to an adjusted Term SOFR rate plus an applicable margin of 1.50% to 2.00%. The total interest rate on the ABL Credit Facility at December 31, 2024 was 6.48%, including an applicable margin of 2.00%. A commitment fee equal to 0.250% to 0.375% of the unused portion of the ABL Credit Facility fluctuates dependent upon average utilization for the prior month as defined by a pricing grid included in the governing documents of the ABL Credit Facility. The commitment fee at December 31, 2024 was 0.375%. We paid $2.8 million of commitment fees during the year ended December 31, 2024.</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Loans under the ABL Credit Facility may be borrowed, repaid and re-borrowed until June 7, 2029,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December 31, 2024, we were in compliance with all requirements and conditions set forth in our ABL Credit Facility governing documents.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 Facility</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on borrowings under the Term Loan Facility is payable at a fluctuating rate of interest determined by reference to the Term SOFR rate plus an applicable margin of 2.75%, subject to a 0.50% Term SOFR floor. The total interest rate on the Term Loan Facility was 7.34% at December 31, 2024.</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governing documents of the Term Loan Facility.</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event our Consolidated Secured Leverage Ratio (as such term is defined in the Term Loan Facility credit agreement) exceeds 1:1, we are required to prepay the loans under the Term Loan Facility by a percentage of annual excess cash flow, as more fully described in the Term Loan Facility credit agreement. We made mandatory excess cash flow prepayments of approximately $42.6 million, including $0.6 million in accrued interest, in March 2023, relating to results for the year ended December 31, 2022.</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shows the scheduled maturity dates of our outstanding senior debt at December 31, 2024 for each of the years ending December 31: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ABL Credit Facility</w:t>
            </w:r>
          </w:p>
        </w:tc>
        <w:tc>
          <w:tcPr>
            <w:tcW w:w="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Term Loan Facility </w:t>
            </w:r>
            <w:r>
              <w:rPr>
                <w:rFonts w:ascii="Times New Roman" w:cs="Times New Roman" w:eastAsia="Times New Roman" w:hAnsi="Times New Roman"/>
                <w:sz w:val="14"/>
                <w:szCs w:val="14"/>
                <w:b w:val="1"/>
                <w:bCs w:val="1"/>
                <w:color w:val="auto"/>
                <w:vertAlign w:val="superscript"/>
              </w:rPr>
              <w:t>(1)</w:t>
            </w:r>
          </w:p>
        </w:tc>
        <w:tc>
          <w:tcPr>
            <w:tcW w:w="280" w:type="dxa"/>
            <w:vAlign w:val="bottom"/>
          </w:tcPr>
          <w:p>
            <w:pPr>
              <w:spacing w:after="0"/>
              <w:rPr>
                <w:sz w:val="14"/>
                <w:szCs w:val="14"/>
                <w:color w:val="auto"/>
              </w:rPr>
            </w:pPr>
          </w:p>
        </w:tc>
        <w:tc>
          <w:tcPr>
            <w:tcW w:w="920" w:type="dxa"/>
            <w:vAlign w:val="bottom"/>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802,333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802,333</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7460" w:type="dxa"/>
            <w:vAlign w:val="bottom"/>
            <w:tcBorders>
              <w:top w:val="single" w:sz="8" w:color="CCEEFF"/>
              <w:bottom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 senior debt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802,333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877,333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40" w:hanging="135"/>
        <w:spacing w:after="0"/>
        <w:tabs>
          <w:tab w:leader="none" w:pos="140" w:val="left"/>
        </w:tabs>
        <w:numPr>
          <w:ilvl w:val="0"/>
          <w:numId w:val="30"/>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Annual installment requirements were reduced by the amount of the excess cash flow payment described above, in accordance with the terms of the credit agreement governing the Term Loan Facility.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L — Senior Notes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third-party legal and other professional fees, which were capitalized in accordance with ASC Topic 470, “Debt” and recorded as a reduction of our outstanding Notes in our Consolidated Balance Sheets. Debt issuance costs are amortized as interest expense over the term of the Notes. As of December 31, 2024, the total remaining balance of unamortized debt issuance costs related to our Notes reported in the Consolidated Balance Sheets was approximately $8.1 million.</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M — Contingencies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along with our subsidiaries, are party to various legal proceedings and governmental inquiries and investigations given the nature of our business. We regularly monitor developments related to these matters,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ultimately incur. In addition, certain of the matters described below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December 31, 2024 and 2023, we had estimated legal accruals of $20.7 million and $8.8 million, respectively, included in accrued liabilities in our Consolidated Balance Sheet for pending legal and regulatory matters for which we believe losses are probable and the amount of the loss can be reasonably estimated. However, as of the date of this Annual Report on Form 10-K, we cannot predict the ultimate resolution of our pending legal proceedings, governmental inquiries and investigations and, therefore, are unable to estimate a range of losses related to these matters that may be reasonably possible to occur. In addition to our estimated legal accruals, as of December 31, 2024 we have incurred legal and other related expenses, and expect to incur substantial additional legal and related expenses, associated with the litigation and investigations discussed below.</w:t>
      </w:r>
    </w:p>
    <w:p>
      <w:pPr>
        <w:spacing w:after="0" w:line="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Unclaimed Property. </w:t>
      </w:r>
      <w:r>
        <w:rPr>
          <w:rFonts w:ascii="Times New Roman" w:cs="Times New Roman" w:eastAsia="Times New Roman" w:hAnsi="Times New Roman"/>
          <w:sz w:val="14"/>
          <w:szCs w:val="14"/>
          <w:color w:val="auto"/>
        </w:rPr>
        <w:t>We are subject to unclaimed property audits by states in the ordinary course of business. The property subject to review in the audit process includes unclaimed wages, vendor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Consumer Financial Protection Bureau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CFPB</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Litigation. </w:t>
      </w:r>
      <w:r>
        <w:rPr>
          <w:rFonts w:ascii="Times New Roman" w:cs="Times New Roman" w:eastAsia="Times New Roman" w:hAnsi="Times New Roman"/>
          <w:sz w:val="14"/>
          <w:szCs w:val="14"/>
          <w:color w:val="auto"/>
        </w:rPr>
        <w:t>In October 2020, prior to the December 2020 execution of the definitive agreement to acquire Acima, Acima received a Civil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Investigative Demand (the “CID”) from the CFPB requesting certain information, documents and data relating to Acima’s products, services and practices from January 1, 2015 forward. The stated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responded to all CIDs and cooperated with the CFPB throughout their investigation.</w:t>
      </w:r>
    </w:p>
    <w:p>
      <w:pPr>
        <w:spacing w:after="0" w:line="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May 2023, in accordance with the CFPB’s Notice and Opportunity to Respond and Advise (“NORA”) process, the CFPB staff notified Acima that the staff may recommend that the CFPB take legal action against Acima based on allegations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and seek remedies including restitution, disgorgement, damages, injunctive relief, and civil money penalties. In June 2023, Acima submitted its response to the NORA notice.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second quarter 2024, Acima was informed by the CFPB staff that the CFPB authorized “sue or settle” authority pursuant to the NORA process. The CFPB subsequently provided Acima with a settlement proposal. Although Acima engaged in discussions with the CFPB regarding its settlement demands, Acima’s efforts to negotiate a resolution were met with the CFPB’s threat of imminent commencement of litigation, refusal to meet with Acima in person to discuss a potential resolution, and what Acima believes were unsupportable demands.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result, on July 22, 2024, Acima filed a lawsuit against the CFPB in the U.S. District Court for the Eastern District of Texas. Acima seeks to halt what it contends is the CFPB’s unauthorized attempt to expand its authority as limited by federal law and usurp the long-standing, comprehensive state regulatory framework governing the lease-to-own industry. Acima filed this action reluctantly, only after concluding in its judgment that the CFPB was not prepared to settle with Acima on acceptable terms. On July 26, 2024, the CFPB filed a lawsuit against Acima and its former founder in the U.S. District Court for the District of Utah, alleging violations of the consumer financial protection laws and regulations described above in connection with the CFPB’s May 2023 NORA notice. The CFPB’s lawsuit seeks injunctive relief, unspecified monetary relief and civil penalties and other relief. Both lawsuits remain pending. Acima will vigorously prosecute the lawsuit it filed and defend itself against the CFPB’s lawsuit.</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cannot provide any assurance that Acima’s litigation against the CFPB will be successful or that Acima will be successful in defending against the CFPB’s litigation, and that the CFPB’s ongoing regulatory efforts will not lead to the imposition of financial and other relief, and/or require changes to Acima’s business practices or operations that could materially and adversely affect our business, financial condition, results of operations or reputation.</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our acquisition of Acima, $45 million of a $50 million initial holdback escrowed at the closing of the transaction remains available for fines, penalties or customer restitution paid in connection with a resolution of the CFPB matter, including an adverse litigation outcome. Although the CFPB’s complaint does not contain a specific monetary demand, the CFPB’s initial monetary settlement demand exceeded the remaining $45 million holdback by a substantial amount. Therefore, there can be no assurance that the remaining escrowed amount will be sufficient to address all covered losses that may ultimately be incurred for this matter. In addition, Acima has incurred and expects to continue to incur substantial legal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related expenses associated with this matter, which are not recoverable from the holdback amount. According to reports, on February 8, 2025, the acting director of the CFPB instructed CFPB employees to cease all supervision and examination activity, cease all stakeholder engagement and pause all pending investigations, among other orders. We are not able to predict the impact that these or other actions the U.S. Presidential Administration may take with respect to the CFPB or other regulatory agencies (or the outcome of legal proceedings challenging those actions) may have on Acima’s pending litigation in the U.S. District Courts for the Eastern District of Texas and the District of Utah or on the regulatory environment related to our business.</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Multi-State Attorneys’ General Investigation. </w:t>
      </w:r>
      <w:r>
        <w:rPr>
          <w:rFonts w:ascii="Times New Roman" w:cs="Times New Roman" w:eastAsia="Times New Roman" w:hAnsi="Times New Roman"/>
          <w:sz w:val="14"/>
          <w:szCs w:val="14"/>
          <w:color w:val="auto"/>
        </w:rPr>
        <w:t>In November 2021, Acima received a letter from the Nebraska Attorney General’s office stating that the Attorney General of Nebraska, along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and attended meetings with officials at many of the applicable attorneys’ general offices, including members of the Executive Committee, which is leading the negotiations on behalf of the multistate group (the “Multistate”). Based on our engagement with the Multistate, it is our understanding that the investigation involves forty states and the District of Columbia. In April 2022, we received a request for information and documents, and we have produced various records in response to the request. In March 2024, the Multistate presented their findings and allegations from their investigation to Acima. In May 2024, Acima submitted its response to the Multistate’s presentation.</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second quarter 2024, Acima received a settlement proposal from the Multistate. Since then, the parties have continued to engage in conversations regarding a potential resolution and Acima has responded to the Multistate’s settlement proposals and monetary demands. As of the date of this Annual Report on Form 10-K, although we would not be willing to agree to the Multistate’s most recent monetary demand which we believe is unsupportable or agree to a number of the other terms presented by the Multistate, we expect to continue to discuss the potential resolution of this matter. We are currently unable to predict whether or on what terms, including the amount of a monetary payment and the nature of business practice changes, any settlement with the Multistate, or individual members of the group, can be achieved. If we are unable to reach agreement on terms acceptable to us and to the various states involved in the group, some or all of such states may commence legal proceedings against Acima. We cannot provide any assurance that any settlement or adverse result in litigation will not require a monetary payment and/or changes to Acima’s business practices or operations that could materially and adversely affect our business, financial condition, results of operations or reputation.</w:t>
      </w:r>
    </w:p>
    <w:p>
      <w:pPr>
        <w:spacing w:after="0" w:line="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New York Attorney General Litigation. </w:t>
      </w:r>
      <w:r>
        <w:rPr>
          <w:rFonts w:ascii="Times New Roman" w:cs="Times New Roman" w:eastAsia="Times New Roman" w:hAnsi="Times New Roman"/>
          <w:sz w:val="14"/>
          <w:szCs w:val="14"/>
          <w:color w:val="auto"/>
        </w:rPr>
        <w:t>The New York Attorney General (the “NYAG”) issued a subpoena to our Acima subsidiary in January 2020, prior to our acquisition of Acima, seeking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with respect to various business practices in connection with Acima’s lease-to-own transactions. Acima received additional subpoenas from the NYAG in August 2021 and July 2023. Acima cooperated with the NYAG throughout its investigation. In March 2023, the NYAG provided Acima with a proposed assurance of discontinuance alleging violations of certain consumer laws, seeking injunctive relief regarding certain business practices, and seeking payment of unspecified amounts for restitution and civil penalties. In April 2023, Acima submitted its response to the NYAG’s proposed assurance of discontinuance. In February 2024, Acima provided a settlement proposal to the NYAG. In March 2024, the NYAG presented Acima with an initial monetary demand for settlement purposes. On August 14, 2024, despite Acima’s cooperation with the investigation and its active engagement in settlement discussions with the NYAG, the NYAG filed a lawsuit against Acima in the Supreme Court of the State of New York, County of New York. The lawsuit alleges violations of various consumer financial protection laws and regulations similar to those set forth in the NYAG’s March 2023 proposed assurance of discontinuance. The lawsuit seeks injunctive relief, unspecified monetary relief and civil penalties and other relief. Acima will vigorously defend itself against the NYAG’s lawsuit.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McBurnie Litigation. </w:t>
      </w:r>
      <w:r>
        <w:rPr>
          <w:rFonts w:ascii="Times New Roman" w:cs="Times New Roman" w:eastAsia="Times New Roman" w:hAnsi="Times New Roman"/>
          <w:sz w:val="14"/>
          <w:szCs w:val="14"/>
          <w:color w:val="auto"/>
        </w:rPr>
        <w:t>We are a defendant in a putative class action entitled</w:t>
      </w:r>
      <w:r>
        <w:rPr>
          <w:rFonts w:ascii="Times New Roman" w:cs="Times New Roman" w:eastAsia="Times New Roman" w:hAnsi="Times New Roman"/>
          <w:sz w:val="14"/>
          <w:szCs w:val="14"/>
          <w:i w:val="1"/>
          <w:iCs w:val="1"/>
          <w:color w:val="auto"/>
        </w:rPr>
        <w:t xml:space="preserve"> McBurnie, et al. v. Acceptance Now, LLC</w:t>
      </w:r>
      <w:r>
        <w:rPr>
          <w:rFonts w:ascii="Times New Roman" w:cs="Times New Roman" w:eastAsia="Times New Roman" w:hAnsi="Times New Roman"/>
          <w:sz w:val="14"/>
          <w:szCs w:val="14"/>
          <w:color w:val="auto"/>
        </w:rPr>
        <w:t>, brought on behalf of individuals who entered into a rental purchase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Company’s Acceptance Now business in California and were charged a processing fee and/or an expedited fee. Plaintiffs allege that the fees they were charged were neither “reasonable” nor “actually incurred” in violation of the Karnette Rental-Purchase Act and other California state consumer protection laws. Plaintiffs seek unspecified actual damages pursuant to the Karnette Rental-Purchase Act; statutory damages pursuant to the Karnette Rental-Purchase Act; attorneys’ fees and costs; exemplary damages; and public injunctions for alleged violations of the Karnette Rental-Purchase Act, the California Consumers Legal Remedies Act, and California unfair competition laws. The action is currently pending in the United States District Court for the Northern District of California. In November 2022, the District Court denied our motion to compel arbitration, and in December 2022, we filed an interlocutory appeal of that denial with the United States Court of Appeals for the Ninth Circuit, pending which the District Court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proceedings were stayed. In March 2024, the Court of Appeals affirmed the District Court’s denial of our motion to compel arbitration and its finding that plaintiffs’ challenge to the processing fee was not moot, while remanding the action to the District Court to consider whether plaintiffs have standing to challenge the expedited payment fee. Plaintiffs have since notified the District Court that they do not intend to pursue their claims regarding the expedited payment fee. In June 2024, we filed a petition for certiorari with the U.S. Supreme Court, appealing the decision from the Court of Appeals. Our petition for certiorari was denied by the Supreme Court in October 2024. Proceedings before the District Court have resumed. As of the date of filing this Annual Report on Form 10-K, the District Court has not yet ruled on the plaintiffs’ pending motion for class certification. If a class were to be certified and if we are not successful in defending against the allegations and claims in the litigation, the amount of a potential monetary judgment against us would be significantly increased. We will continue to vigorously defend this case. We are currently unable to predict the eventual outcome of this litigation.</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FlexShopper Litigation. </w:t>
      </w:r>
      <w:r>
        <w:rPr>
          <w:rFonts w:ascii="Times New Roman" w:cs="Times New Roman" w:eastAsia="Times New Roman" w:hAnsi="Times New Roman"/>
          <w:sz w:val="14"/>
          <w:szCs w:val="14"/>
          <w:color w:val="auto"/>
        </w:rPr>
        <w:t>On September 30, 2024, FlexShopper, Inc. (“FlexShopper”) filed a patent infringement lawsuit against Upbound Group, Inc, Acima Holdings, LLC and Acima Digital, LLC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United States District Court for the Eastern District of Texas. On October 1, 2024, FlexShopper issued a press release announcing the lawsuit and a similar lawsuit it filed against another lease-to-own company, Katapult Holdings, Inc. The lawsuit filed against our company seeks damages and an injunction for alleged infringement of five patents assigned to FlexShopper. Flexshopper’s claims relate to certain technology allegedly used in connection with Acima’s e-commerce third-party retailer lease-to-own business. On February 6, 2025, we filed a motion to dismiss all of Flexshopper’s claims, and we will continue to vigorously defend the lawsuit. We are currently unable to predict the eventual outcome of this litigation.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N — Other Gains and Charges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Acima Holdings Acquisition</w:t>
      </w:r>
      <w:r>
        <w:rPr>
          <w:rFonts w:ascii="Times New Roman" w:cs="Times New Roman" w:eastAsia="Times New Roman" w:hAnsi="Times New Roman"/>
          <w:sz w:val="14"/>
          <w:szCs w:val="14"/>
          <w:color w:val="auto"/>
        </w:rPr>
        <w:t>. On February 17, 2021, we completed the acquisition of Acima Holdings, a leading provider of virtual lease-to-own solutions. Included in the aggregate consideration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to the former owners of Acima Holdings were 8,096,595 common shares, valued at $414.1 million, subject to 36-month vesting conditions under restricted stock agreements, which were recognized over the vesting term as stock compensation expense, in accordance with ASC Topic 718, “Stock-based Compensation”. During the years ended December 31, 2024 and 2023, we recognized approximately $4.9 million and $137.5 million in stock compensation expense, respectively, related to these restricted stock agreements. See Note O for additional information.</w:t>
      </w:r>
    </w:p>
    <w:p>
      <w:pPr>
        <w:spacing w:after="0" w:line="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assets acquired as part of the transaction included $520 million in intangible assets and $170 million in developed technology. During the years ended December 31, 2024 and 2023, we recognized approximately $45.5 million and $57.0 million in amortization expense, respectively, related to acquired intangible assets. We also recognized approximately $15.9 million in incremental depreciation expense related to acquired technology assets during both the years ended December 31, 2024 and 2023.</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Legal Matters. </w:t>
      </w:r>
      <w:r>
        <w:rPr>
          <w:rFonts w:ascii="Times New Roman" w:cs="Times New Roman" w:eastAsia="Times New Roman" w:hAnsi="Times New Roman"/>
          <w:sz w:val="14"/>
          <w:szCs w:val="14"/>
          <w:color w:val="auto"/>
        </w:rPr>
        <w:t>As disclosed further in Note M in this Annual Report on Form 10-K and as previously disclosed, we are currently party to recently filed regulatory lawsuits with the Consumer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Protection Bureau and with the New York Attorney General, as well as a multi-state regulatory investigation by attorneys’ general offices from forty states and the District of Columbia. These matters relate to lease-to-own transactions for our Acima subsidiary, which was acquired in 2021. We believe these regulatory lawsuits and the multi-state investigation are not representative of historical regulatory matters that arise in the ordinary course of our business. During the year ended December 31, 2024, we recorded expenses of $10.7 million related to estimated legal accruals for certain of these regulatory matters based on the current status of these matters. We will continue to evaluate and modify our estimated legal accruals as appropriate in future periods based on future developments. In addition, for these regulatory matters we incurred litigation and defense expenses of $5.1 million for the year ended December 31, 2024.</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Internally Developed Software Depreciation. </w:t>
      </w:r>
      <w:r>
        <w:rPr>
          <w:rFonts w:ascii="Times New Roman" w:cs="Times New Roman" w:eastAsia="Times New Roman" w:hAnsi="Times New Roman"/>
          <w:sz w:val="14"/>
          <w:szCs w:val="14"/>
          <w:color w:val="auto"/>
        </w:rPr>
        <w:t>During the third quarter of 2023, we completed initial development and began pilot testing a new internally developed point-of-sale system for our Rent-A-Center lease-to-own stores. Deployment of the new</w:t>
      </w:r>
    </w:p>
    <w:p>
      <w:pPr>
        <w:jc w:val="both"/>
        <w:spacing w:after="0" w:line="259" w:lineRule="auto"/>
        <w:rPr>
          <w:sz w:val="20"/>
          <w:szCs w:val="20"/>
          <w:color w:val="auto"/>
        </w:rPr>
      </w:pPr>
      <w:r>
        <w:rPr>
          <w:rFonts w:ascii="Times New Roman" w:cs="Times New Roman" w:eastAsia="Times New Roman" w:hAnsi="Times New Roman"/>
          <w:sz w:val="14"/>
          <w:szCs w:val="14"/>
          <w:color w:val="auto"/>
        </w:rPr>
        <w:t>system across our lease-to-own store network began in the second quarter of 2024 and was completed in the third quarter of 2024, at which time our existing point-of-sale software was retired. Therefore, in the third quarter of 2023, we accelerated the remaining useful lives of our existing point-of-sale software assets to align with the deployment timeline of our new point-of-sale system, which resulted in the recognition of additional depreciation expense of $6.1 million and $9.2 million for the years ended December 31, 2024 and 2023, respectively.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Stock Award Letter Agreement</w:t>
      </w:r>
      <w:r>
        <w:rPr>
          <w:rFonts w:ascii="Times New Roman" w:cs="Times New Roman" w:eastAsia="Times New Roman" w:hAnsi="Times New Roman"/>
          <w:sz w:val="14"/>
          <w:szCs w:val="14"/>
          <w:color w:val="auto"/>
        </w:rPr>
        <w:t>. On April 3, 2024, we entered into a letter agreement with the Company’s Chief Executive Officer as disclosed in our Current Report on Form 8-K dated as of April 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year ended December 31, 2024 due to this letter agreement was approximately $5.1 million.</w:t>
      </w:r>
    </w:p>
    <w:p>
      <w:pPr>
        <w:spacing w:after="0" w:line="5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Brigit Acquisition. </w:t>
      </w:r>
      <w:r>
        <w:rPr>
          <w:rFonts w:ascii="Times New Roman" w:cs="Times New Roman" w:eastAsia="Times New Roman" w:hAnsi="Times New Roman"/>
          <w:sz w:val="14"/>
          <w:szCs w:val="14"/>
          <w:color w:val="auto"/>
        </w:rPr>
        <w:t>As described in Note B, on January 31, 2024, we completed the acquisition of Brigit, a leading holistic financial health technology company. For the three months ended December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31, 2024, we recognized approximately $3.7 million in transaction costs associated with the closing of the transaction.</w:t>
      </w:r>
    </w:p>
    <w:p>
      <w:pPr>
        <w:spacing w:after="0" w:line="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Store Consolidations. </w:t>
      </w:r>
      <w:r>
        <w:rPr>
          <w:rFonts w:ascii="Times New Roman" w:cs="Times New Roman" w:eastAsia="Times New Roman" w:hAnsi="Times New Roman"/>
          <w:sz w:val="14"/>
          <w:szCs w:val="14"/>
          <w:color w:val="auto"/>
        </w:rPr>
        <w:t>During the first half of 2024, we closed 55 Rent-A-Center stores, resulting in pre-tax charges of $5.3 million in lease impairment charges, $0.6 million in disposal of fixed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$1.4 million in other miscellaneous shutdown and holding costs for the year ended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with respect to Other gains and charges for the years ended December 31, 2024 and 2023 is summarized in the below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7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Acima acquired assets depreciation and amortization</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72,935</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Legal matters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software depreciation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9,218</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stock compensation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Acima equity consideration vesting</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137,507</w:t>
            </w:r>
          </w:p>
        </w:tc>
      </w:tr>
      <w:tr>
        <w:trPr>
          <w:trHeight w:val="18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Brigit transaction fees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(3,069)</w:t>
            </w: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gains and charges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104,580</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216,909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00" w:hanging="95"/>
        <w:spacing w:after="0"/>
        <w:tabs>
          <w:tab w:leader="none" w:pos="100" w:val="left"/>
        </w:tabs>
        <w:numPr>
          <w:ilvl w:val="0"/>
          <w:numId w:val="3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Primarily represents shutdown and holding expenses related to store closures for the year ended December 31, 2024 and interest income on tax refunds for prior years received in 2023 for the year ended December 31,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O — Stock-Based Compensation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maintain long-term incentive plans for the benefit of certain employees and directors. Our current and former plans consist of the 2021 Long-Term Incentive Plan (the “2021 Plan”), the 2016 Long-Term Incentive Plan (the “2016 Plan”), the 2006 Long-Term Incentive Plan (the “2006 Plan”), and the 2006 Equity Incentive Plan (the “Equity Incentive Plan”), which are collectively referred to as the “Plans.” All Plans prior to the 2021 Plan were previously expired upon approval of the superseding Plan, and any shares available for grant under the respective plans were canceled at the time of expiration.</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June 8, 2021, at the 2021 Annual Meeting of Stockholders, the stockholders approved the 2021 Plan. The 2021 Plan authorizes the issuance of a total of 5,000,000 shares of common stock. Any shares of common stock granted in connection with 2021 Plan awards will be counted against this limit as one share. No shares of common stock will be deemed to have been issued if (1) such shares covered by the unexercised portion of an option that terminates, expires, or is cancelled or settled in cash or (2) such shares are forfeited or subject to awards that are forfeited, canceled, terminated or settled in cash. In any calendar year, (1) no employee will be granted options and/or stock appreciation rights for more than 800,000 shares of common stock; (2) no employee will be granted performance-based equity awards under the 2021 Plan (other than options and stock appreciation rights), covering more than 800,000 shares of common stock. On June 6, 2023, at the 2023 Annual Meeting of Stockholders, our stockholders approved an amendment to the 2021 plan (the “Amended 2021 Plan”). The Amended 2021 Plan authorized the issuance of an additional 4,287,000 shares of common stock for a total of 9,287,000 shares of common stock. Excluding the increase in shares of common stock issuable pursuant to the Amended 2021 Plan, the terms of the Amended 2021 Plan are substantially identical to those of the 2021 Plan. As of December 31, 2024 and 2023, there were 2,072,822 and 1,669,807 shares allocated to equity awards outstanding in the Amended 2021 Plan, respectively.</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previously expired 2016 Plan, there were 539,203 and 784,678 shares, respectively, allocated to equity awards outstanding as of December 31, 2024 and 2023, respectively, in the 2016 Plan. The 2016 Plan expired on June 8, 2021 upon approval of the 2021 Plan.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previously expired 2006 Plan and Equity Incentive Plan (formerly known as the Rent-Way, Inc. 2006 Equity Incentive Plan) there were 15,291 and 27,369 shares as of December 31, 2024 and 2023, respectively, allocated to outstanding equity awards under the 2006 Plan, and 8,500 and 18,750 shares as of December 31, 2024 and 2023, respectively, allocated to outstanding equity awards under the Equity Incentive Plan. The 2006 Plan and Equity Incentive Plan previously expired in 2016. Outstanding equity awards under these plans represent vested options that will expire at various times through 2026, unless exercised or canceled prior to the expiration date.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Options granted to our employees generally become exercisable over a period of 1 to 4 years from the date of grant and may be exercised up to a maximum of 10 years from the date of grant. Options granted to directors are immediately exercisable.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grant time-vesting restricted stock units to certain employees that vest ratably over a three-year service period. We recognize expense for these awards using the straight-line method over the requisite service period based on the number of awards expected to vest. We also grant performance-based restricted stock units that vest between 0% and 200% depending on our stock performance against an index using a total shareholder return formula established at the date of grant for the subsequent three-year period. We record expense for these awards over the requisite service period, net of the expected forfeiture rate, because the employee must maintain employment to vest in the award.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for the years ended December 31, 2024, 2023 and 2022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w:t>
            </w:r>
          </w:p>
        </w:tc>
      </w:tr>
      <w:tr>
        <w:trPr>
          <w:trHeight w:val="170"/>
        </w:trPr>
        <w:tc>
          <w:tcPr>
            <w:tcW w:w="67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Restricted share units</w:t>
            </w:r>
            <w:r>
              <w:rPr>
                <w:rFonts w:ascii="Times New Roman" w:cs="Times New Roman" w:eastAsia="Times New Roman" w:hAnsi="Times New Roman"/>
                <w:sz w:val="16"/>
                <w:szCs w:val="16"/>
                <w:color w:val="auto"/>
                <w:vertAlign w:val="superscript"/>
              </w:rPr>
              <w:t>(1)(2)</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35,734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161,216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158,031</w:t>
            </w:r>
          </w:p>
        </w:tc>
      </w:tr>
      <w:tr>
        <w:trPr>
          <w:trHeight w:val="16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162,116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159,358</w:t>
            </w:r>
          </w:p>
        </w:tc>
      </w:tr>
      <w:tr>
        <w:trPr>
          <w:trHeight w:val="16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Tax benefit recognized in the Consolidated Statements of Operations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5,483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3,391</w:t>
            </w:r>
          </w:p>
        </w:tc>
      </w:tr>
      <w:tr>
        <w:trPr>
          <w:trHeight w:val="18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tax</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156,948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155,967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both"/>
        <w:ind w:left="140" w:hanging="135"/>
        <w:spacing w:after="0" w:line="227" w:lineRule="auto"/>
        <w:tabs>
          <w:tab w:leader="none" w:pos="118" w:val="left"/>
        </w:tabs>
        <w:numPr>
          <w:ilvl w:val="0"/>
          <w:numId w:val="3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expense of $4.9 million, $137.5 million and $143.2 million for the years ended December 31, 2024, 2023 and 2022, respectively in stock compensation expense related to 8,096,595 common shares issued to the former owners of Acima, as part of the Aggregate Stock Consideration subject to restricted stock agreements, and recorded to Other gains and charges in our Consolidated Statements of Operations. Shares issued as part of the Aggregate Stock Consideration for the acquisition of Acima Holdings were not issued under the authorization of the 2021 Plan or any prior approved long-term incentive plan described above. See Note N for additional information.</w:t>
      </w:r>
    </w:p>
    <w:p>
      <w:pPr>
        <w:spacing w:after="0" w:line="1" w:lineRule="exact"/>
        <w:rPr>
          <w:rFonts w:ascii="Times New Roman" w:cs="Times New Roman" w:eastAsia="Times New Roman" w:hAnsi="Times New Roman"/>
          <w:sz w:val="13"/>
          <w:szCs w:val="13"/>
          <w:color w:val="auto"/>
          <w:vertAlign w:val="superscript"/>
        </w:rPr>
      </w:pPr>
    </w:p>
    <w:p>
      <w:pPr>
        <w:ind w:left="140" w:hanging="135"/>
        <w:spacing w:after="0" w:line="233" w:lineRule="auto"/>
        <w:tabs>
          <w:tab w:leader="none" w:pos="103" w:val="left"/>
        </w:tabs>
        <w:numPr>
          <w:ilvl w:val="0"/>
          <w:numId w:val="3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expense of $5.1 million for the year ended December 31, 2024 in stock compensation expense related to accelerated stock compensation due to the letter agreement entered into with the Company's Chief Executive Officer and recorded to Other gains and charges in our Consolidated Statements of Operations. See Note N for additional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issue new shares of stock to satisfy option exercises and the vesting of restricted stock units.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unvested options that we expect to result in compensation expense was approximately $18.2 thousand with a weighted average number of years to vesting of 0.23 at December 31,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with respect to stock option activity related to the Plans for the year ended December 31, 2024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60" w:type="dxa"/>
            <w:vAlign w:val="bottom"/>
          </w:tcPr>
          <w:p>
            <w:pPr>
              <w:spacing w:after="0"/>
              <w:rPr>
                <w:sz w:val="11"/>
                <w:szCs w:val="11"/>
                <w:color w:val="auto"/>
              </w:rPr>
            </w:pPr>
          </w:p>
        </w:tc>
        <w:tc>
          <w:tcPr>
            <w:tcW w:w="1460" w:type="dxa"/>
            <w:vAlign w:val="bottom"/>
            <w:vMerge w:val="restart"/>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Equity Awards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80" w:type="dxa"/>
            <w:vAlign w:val="bottom"/>
          </w:tcPr>
          <w:p>
            <w:pPr>
              <w:spacing w:after="0"/>
              <w:rPr>
                <w:sz w:val="11"/>
                <w:szCs w:val="11"/>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1"/>
                <w:szCs w:val="11"/>
                <w:b w:val="1"/>
                <w:bCs w:val="1"/>
                <w:color w:val="auto"/>
              </w:rPr>
              <w:t>Aggregate Intrinsic</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center"/>
              <w:ind w:right="101"/>
              <w:spacing w:after="0" w:line="117"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4"/>
        </w:trPr>
        <w:tc>
          <w:tcPr>
            <w:tcW w:w="5160" w:type="dxa"/>
            <w:vAlign w:val="bottom"/>
          </w:tcPr>
          <w:p>
            <w:pPr>
              <w:spacing w:after="0"/>
              <w:rPr>
                <w:sz w:val="13"/>
                <w:szCs w:val="13"/>
                <w:color w:val="auto"/>
              </w:rPr>
            </w:pPr>
          </w:p>
        </w:tc>
        <w:tc>
          <w:tcPr>
            <w:tcW w:w="146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Remaining Contractual Life</w:t>
            </w:r>
          </w:p>
        </w:tc>
        <w:tc>
          <w:tcPr>
            <w:tcW w:w="180" w:type="dxa"/>
            <w:vAlign w:val="bottom"/>
          </w:tcPr>
          <w:p>
            <w:pPr>
              <w:spacing w:after="0"/>
              <w:rPr>
                <w:sz w:val="13"/>
                <w:szCs w:val="13"/>
                <w:color w:val="auto"/>
              </w:rPr>
            </w:pPr>
          </w:p>
        </w:tc>
        <w:tc>
          <w:tcPr>
            <w:tcW w:w="1280" w:type="dxa"/>
            <w:vAlign w:val="bottom"/>
          </w:tcPr>
          <w:p>
            <w:pPr>
              <w:jc w:val="center"/>
              <w:ind w:right="10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6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outstanding at January 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655,643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22.36</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24.59</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43.24</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outstanding at December 31, 2024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562,994</w:t>
            </w:r>
          </w:p>
        </w:tc>
        <w:tc>
          <w:tcPr>
            <w:tcW w:w="28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4,886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Exercisable at December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550,602</w:t>
            </w:r>
          </w:p>
        </w:tc>
        <w:tc>
          <w:tcPr>
            <w:tcW w:w="28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4,891</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intrinsic value of options exercised during the years ended December 31, 2024, 2023, and 2022 was $0.6 million, $1.5 million, and $1.4 million, respectively, resulting in tax benefits of $0.2 million, $0.5 million, and $0.5 million, respectively, which are reflected as an outflow from operating activities and an inflow from financing activities in the Consolidated Statements of 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fair values of the options granted under the Plans were calculated using the Black-Scholes method. There were no options granted in 2024, 2023 or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with respect to non-vested restricted stock unit activity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40" w:type="dxa"/>
            <w:vAlign w:val="bottom"/>
          </w:tcPr>
          <w:p>
            <w:pPr>
              <w:spacing w:after="0"/>
              <w:rPr>
                <w:sz w:val="11"/>
                <w:szCs w:val="11"/>
                <w:color w:val="auto"/>
              </w:rPr>
            </w:pPr>
          </w:p>
        </w:tc>
        <w:tc>
          <w:tcPr>
            <w:tcW w:w="182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Restricted Awards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53"/>
        </w:trPr>
        <w:tc>
          <w:tcPr>
            <w:tcW w:w="754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r>
      <w:tr>
        <w:trPr>
          <w:trHeight w:val="165"/>
        </w:trPr>
        <w:tc>
          <w:tcPr>
            <w:tcW w:w="7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Balance outstanding at January 1, 2024</w:t>
            </w:r>
            <w:r>
              <w:rPr>
                <w:rFonts w:ascii="Times New Roman" w:cs="Times New Roman" w:eastAsia="Times New Roman" w:hAnsi="Times New Roman"/>
                <w:sz w:val="16"/>
                <w:szCs w:val="16"/>
                <w:color w:val="auto"/>
                <w:vertAlign w:val="superscript"/>
              </w:rPr>
              <w:t>(1)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2,208,752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37.10</w:t>
            </w:r>
          </w:p>
        </w:tc>
      </w:tr>
      <w:tr>
        <w:trPr>
          <w:trHeight w:val="168"/>
        </w:trPr>
        <w:tc>
          <w:tcPr>
            <w:tcW w:w="7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829,959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37.09</w:t>
            </w:r>
          </w:p>
        </w:tc>
      </w:tr>
      <w:tr>
        <w:trPr>
          <w:trHeight w:val="172"/>
        </w:trPr>
        <w:tc>
          <w:tcPr>
            <w:tcW w:w="75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Vested</w:t>
            </w:r>
            <w:r>
              <w:rPr>
                <w:rFonts w:ascii="Times New Roman" w:cs="Times New Roman" w:eastAsia="Times New Roman" w:hAnsi="Times New Roman"/>
                <w:sz w:val="16"/>
                <w:szCs w:val="16"/>
                <w:color w:val="auto"/>
                <w:vertAlign w:val="superscript"/>
              </w:rPr>
              <w:t>(2)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(758,275)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48.28</w:t>
            </w:r>
          </w:p>
        </w:tc>
      </w:tr>
      <w:tr>
        <w:trPr>
          <w:trHeight w:val="168"/>
        </w:trPr>
        <w:tc>
          <w:tcPr>
            <w:tcW w:w="7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(207,614)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57.99</w:t>
            </w:r>
          </w:p>
        </w:tc>
      </w:tr>
      <w:tr>
        <w:trPr>
          <w:trHeight w:val="18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outstanding at December 31, 2024</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2,072,822</w:t>
            </w:r>
          </w:p>
        </w:tc>
        <w:tc>
          <w:tcPr>
            <w:tcW w:w="3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61" w:lineRule="exact"/>
        <w:rPr>
          <w:sz w:val="20"/>
          <w:szCs w:val="20"/>
          <w:color w:val="auto"/>
        </w:rPr>
      </w:pPr>
    </w:p>
    <w:p>
      <w:pPr>
        <w:ind w:left="140" w:hanging="135"/>
        <w:spacing w:after="0" w:line="220" w:lineRule="auto"/>
        <w:tabs>
          <w:tab w:leader="none" w:pos="117" w:val="left"/>
        </w:tabs>
        <w:numPr>
          <w:ilvl w:val="0"/>
          <w:numId w:val="3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363,791 outstanding shares at January 1, 2024 related to RSA agreements issued as part of the Aggregate Stock Consideration for the acquisition of Acima Holdings, which were not issued under the authorization of the 2021 Plan or any previously approved long-term incentive plan described above. These RSA were fully vested during the year ended December 31, 2024.</w:t>
      </w:r>
    </w:p>
    <w:p>
      <w:pPr>
        <w:ind w:left="100" w:hanging="95"/>
        <w:spacing w:after="0" w:line="205" w:lineRule="auto"/>
        <w:tabs>
          <w:tab w:leader="none" w:pos="100" w:val="left"/>
        </w:tabs>
        <w:numPr>
          <w:ilvl w:val="0"/>
          <w:numId w:val="3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363,791 shares vested during 2024 as part of RSA agreements issued as part of the Aggregate Stock Consideration for the acquisition of Acima Holdings, as described above.</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Restricted stock units are valued using the closing price reported by the Nasdaq Global Select Market on the trading day immediately preceding the day of the grant. Unrecognized compensation expense for unvested restricted stock units at December 31, 2024, was approximately $24.0 million expected to be recognized over a weighted average period of 1.48 years.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 — Deferred Compensation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Deferred Compensation Plan is an unfunded, nonqualified deferred compensation plan for a select group of our key management personnel and highly compensated employees. The Deferred Compensation Plan first became available to eligible employees in July 2007, with deferral elections taking effect as of August 3, 2007.</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Deferred Compensation Plan allows participants to defer up to 50% of their base compensation and up to 100% of any bonus compensation. Participants may invest the amounts deferred in measurement funds that are the same funds offered as the investment options in their 401(k) Retirement Savings Plan (the “401(k) Plan”). We may make discretionary contributions to the Deferred Compensation Plan, which are subject to a two-year vesting schedule based on the participant’s years of service with us. We are obligated to pay the deferred compensation amounts in the future in accordance with the terms of the Deferred Compensation Plan. Assets and associated liabilities of the Deferred Compensation Plan are included in prepaid and other assets and accrued liabilities in our Consolidated Balance Sheets. For the years ended December 31, 2024, 2023 and 2022, we made matching cash contributions of approximately $160 thousand, $70 thousand, and $120 thousand, respectively, which represents 50% of the employees’ contributions to the Deferred Compensation Plan up to an amount not to exceed 6% of each employee's respective compensation. No other discretionary contributions were made for the years ended December 31, 2024, 2023 and 2022. The deferred compensation plan assets and liabilities were approximately $10.7 million and $8.5 million as of December 31,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Q — 401(k) Plan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sponsor a defined contribution plan under Section 401(k) of the Internal Revenue Code for certain employees who have completed at least three months of service. Employees may elect to contribute up to 50% of their eligible compensation on a pre-tax basis, subject to limitations. We may make discretionary contributions to the 401(k) Plan. Employer matching contributions are subject to a two-year vesting schedule based on the participant's years of service with us. For the years ended December 31, 2024, 2023 and 2022, we made matching cash contributions of $5.7 million, $5.3 million, and $6.0 million, respectively, which represents 50% of the employees’ contributions to the 401(k) Plan up to an amount not to exceed 6% of each employee's respective compensation. Employees are permitted to elect to purchase our common stock as part of their 401(k) Plan, up to specified limitations and in accordance with applicable law. As of December 31, 2024 and 2023, 3.5% and 4.6%, respectively, of the total plan assets consisted of our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 — Fair Value</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December 31, 2024 and December 31, 2023,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our Notes is based on Level 1 inputs and was as follows at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154"/>
        </w:trPr>
        <w:tc>
          <w:tcPr>
            <w:tcW w:w="49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80" w:type="dxa"/>
            <w:vAlign w:val="bottom"/>
          </w:tcPr>
          <w:p>
            <w:pPr>
              <w:spacing w:after="0"/>
              <w:rPr>
                <w:sz w:val="13"/>
                <w:szCs w:val="13"/>
                <w:color w:val="auto"/>
              </w:rPr>
            </w:pP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320" w:type="dxa"/>
            <w:vAlign w:val="bottom"/>
          </w:tcPr>
          <w:p>
            <w:pPr>
              <w:spacing w:after="0"/>
              <w:rPr>
                <w:sz w:val="13"/>
                <w:szCs w:val="13"/>
                <w:color w:val="auto"/>
              </w:rPr>
            </w:pPr>
          </w:p>
        </w:tc>
        <w:tc>
          <w:tcPr>
            <w:tcW w:w="1740" w:type="dxa"/>
            <w:vAlign w:val="bottom"/>
          </w:tcPr>
          <w:p>
            <w:pPr>
              <w:jc w:val="center"/>
              <w:ind w:right="28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500" w:type="dxa"/>
            <w:vAlign w:val="bottom"/>
          </w:tcPr>
          <w:p>
            <w:pPr>
              <w:spacing w:after="0"/>
              <w:rPr>
                <w:sz w:val="13"/>
                <w:szCs w:val="13"/>
                <w:color w:val="auto"/>
              </w:rPr>
            </w:pPr>
          </w:p>
        </w:tc>
        <w:tc>
          <w:tcPr>
            <w:tcW w:w="1620" w:type="dxa"/>
            <w:vAlign w:val="bottom"/>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Difference</w:t>
            </w:r>
          </w:p>
        </w:tc>
      </w:tr>
      <w:tr>
        <w:trPr>
          <w:trHeight w:val="16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436,500</w:t>
            </w:r>
          </w:p>
        </w:tc>
        <w:tc>
          <w:tcPr>
            <w:tcW w:w="50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S — Stock Repurchase Plan</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year ended December 31, 2024. During 2023 and 2022 we repurchased 1,706,277 and 3,536,799 shares of our common stock, respectively, under the December 2021 Program for an aggregate purchase price of approximately $50.0 million and $75.1 million, respectively. At December 31, 2023, in accordance with Section 4501 of the Internal Revenue Code of 1986, as amended, we accrued $0.4 million in excise tax related to the share repurchases in 2023, which was subsequently paid in the year ended December 31, 2024. As of December 31, 2024, under the December 2021 Program, approximately $235.0 million remains available for repurchases.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 — Segment Information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operating segments reported below are the segments for which separate financial information is available and for which segment results are evaluated by our Chief Operating Decision Makers (“CODMs”). Our CODMs include Upbound's Chief Executive Officer and Chief Financial Officer. Our CODMs regularly review the operating performance of our operating segments as compared to Company projections and operating performance in prior periods, in addition to other factors, including the Company’s strategic initiatives, as well as industry, macroeconomic, and market trends, in determining the appropriate allocation of resources to support our business operations. Our operating segments are organized based on factors including, but not limited to, type of business transactions, geographic location and store ownership. Within our operating segments, we offer merchandise for lease from certain basic product categories: such as furniture, including mattresses; tires; consumer electronics; appliances; tools; handbags; computers; and accessories.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report financial operating performance under four operating segments. To better reflect our current strategic focus, our third-party retailer business operations are reported as the Acima segment, which includes our virtual and staffed business models; and our company-owned stores and e-commerce platform through rentacenter.com are reported as the Rent-A-Center segment. In addition, we report operating results for our Mexico and Franchising segments. Reportable segments and their respective operations are defined as follows.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Acima segment, which primarily operates in the United States and Puerto Rico, includes the operations of Acima Holdings acquired in February 2021 and certain locations previously operating under our Acceptance Now brand, generally offers the lease-to-own transaction to consumers who do not qualify for traditional financing. The Acima segment offers the lease-to-own transaction through our virtual solutions across e-commerce, digital, and mobile channels, and through staffed and unstaffed kiosks located within such retailer’s locations.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Rent-A-Center segment primarily operates lease-to-own stores in the United States and Puerto Rico whose customers enter into weekly, bi-weekly, semi-monthly or monthly rental purchase agreements, which renew automatically upon receipt of each payment. We retain the title to the merchandise during the term of the rental purchase agreement and ownership passes to the customer through an early purchase option or payment of all optional lease renewal terms. This segment also includes 51 stores operating in two states that utilize a retail model which offers installment credit sales through a retail sale transaction. Segment assets include cash, receivables, rental merchandise, property assets and other intangible assets.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Mexico segment consists of our company-owned lease-to-own stores in Mexico. The nature of this segment's operations and assets are the same as our Rent-A-Center segment.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stores in our Franchising segment use Rent-A-Center’s, ColorTyme’s or RimTyme’s trade names, service marks, trademarks and logos, and operate under distinctive operating procedures and standards. Franchising’s primary source of revenue is the sale of rental merchandise to its franchisees who, in turn, offer the merchandise to the general public for rent or purchase under a lease-to-own program. As franchisor, Franchising receives royalties of 3.0% to 6.0% of the franchisees' monthly gross revenue and initial fees for new locations. Segment assets include cash, trade receivables, property assets and intangible assets.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as of and for the years ended December 31, 2024, 2023, and 2022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gridSpan w:val="2"/>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2,261,446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1,931,325</w:t>
            </w:r>
          </w:p>
        </w:tc>
        <w:tc>
          <w:tcPr>
            <w:tcW w:w="80" w:type="dxa"/>
            <w:vAlign w:val="bottom"/>
          </w:tcPr>
          <w:p>
            <w:pPr>
              <w:spacing w:after="0"/>
              <w:rPr>
                <w:sz w:val="14"/>
                <w:szCs w:val="14"/>
                <w:color w:val="auto"/>
              </w:rPr>
            </w:pPr>
          </w:p>
        </w:tc>
        <w:tc>
          <w:tcPr>
            <w:tcW w:w="36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2,110,320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1,863,425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1,864,123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1,949,864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Franchising</w:t>
            </w: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122,340</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00" w:type="dxa"/>
            <w:vAlign w:val="bottom"/>
          </w:tcPr>
          <w:p>
            <w:pPr>
              <w:ind w:left="420"/>
              <w:spacing w:after="0" w:line="163" w:lineRule="exact"/>
              <w:rPr>
                <w:sz w:val="20"/>
                <w:szCs w:val="20"/>
                <w:color w:val="auto"/>
              </w:rPr>
            </w:pPr>
            <w:r>
              <w:rPr>
                <w:rFonts w:ascii="Times New Roman" w:cs="Times New Roman" w:eastAsia="Times New Roman" w:hAnsi="Times New Roman"/>
                <w:sz w:val="13"/>
                <w:szCs w:val="13"/>
                <w:color w:val="auto"/>
              </w:rPr>
              <w:t>Total revenues</w:t>
            </w:r>
            <w:r>
              <w:rPr>
                <w:rFonts w:ascii="Times New Roman" w:cs="Times New Roman" w:eastAsia="Times New Roman" w:hAnsi="Times New Roman"/>
                <w:sz w:val="16"/>
                <w:szCs w:val="16"/>
                <w:color w:val="auto"/>
                <w:vertAlign w:val="superscript"/>
              </w:rPr>
              <w:t>(1)</w:t>
            </w:r>
          </w:p>
        </w:tc>
        <w:tc>
          <w:tcPr>
            <w:tcW w:w="340" w:type="dxa"/>
            <w:vAlign w:val="bottom"/>
            <w:tcBorders>
              <w:bottom w:val="single" w:sz="8" w:color="auto"/>
            </w:tcBorders>
            <w:gridSpan w:val="2"/>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3,992,413</w:t>
            </w:r>
          </w:p>
        </w:tc>
        <w:tc>
          <w:tcPr>
            <w:tcW w:w="8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4,245,392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 xml:space="preserve"> See Note C for additional information.</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72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gridSpan w:val="2"/>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702,620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644,447</w:t>
            </w:r>
          </w:p>
        </w:tc>
        <w:tc>
          <w:tcPr>
            <w:tcW w:w="80" w:type="dxa"/>
            <w:vAlign w:val="bottom"/>
          </w:tcPr>
          <w:p>
            <w:pPr>
              <w:spacing w:after="0"/>
              <w:rPr>
                <w:sz w:val="14"/>
                <w:szCs w:val="14"/>
                <w:color w:val="auto"/>
              </w:rPr>
            </w:pPr>
          </w:p>
        </w:tc>
        <w:tc>
          <w:tcPr>
            <w:tcW w:w="36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632,244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1,292,546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1,297,705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1,372,863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Franchising</w:t>
            </w: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27,237</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gross profit</w:t>
            </w:r>
          </w:p>
        </w:tc>
        <w:tc>
          <w:tcPr>
            <w:tcW w:w="340" w:type="dxa"/>
            <w:vAlign w:val="bottom"/>
            <w:tcBorders>
              <w:bottom w:val="single" w:sz="8" w:color="auto"/>
            </w:tcBorders>
            <w:gridSpan w:val="2"/>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2,080,351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2,022,258</w:t>
            </w:r>
          </w:p>
        </w:tc>
        <w:tc>
          <w:tcPr>
            <w:tcW w:w="8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2,079,532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profit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0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Acima</w:t>
            </w:r>
            <w:r>
              <w:rPr>
                <w:rFonts w:ascii="Times New Roman" w:cs="Times New Roman" w:eastAsia="Times New Roman" w:hAnsi="Times New Roman"/>
                <w:sz w:val="16"/>
                <w:szCs w:val="16"/>
                <w:color w:val="auto"/>
                <w:vertAlign w:val="superscript"/>
              </w:rPr>
              <w:t>(1)</w:t>
            </w:r>
          </w:p>
        </w:tc>
        <w:tc>
          <w:tcPr>
            <w:tcW w:w="340" w:type="dxa"/>
            <w:vAlign w:val="bottom"/>
            <w:gridSpan w:val="2"/>
          </w:tcPr>
          <w:p>
            <w:pPr>
              <w:jc w:val="right"/>
              <w:ind w:right="20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235,480</w:t>
            </w:r>
          </w:p>
        </w:tc>
        <w:tc>
          <w:tcPr>
            <w:tcW w:w="80" w:type="dxa"/>
            <w:vAlign w:val="bottom"/>
          </w:tcPr>
          <w:p>
            <w:pPr>
              <w:spacing w:after="0"/>
              <w:rPr>
                <w:sz w:val="14"/>
                <w:szCs w:val="14"/>
                <w:color w:val="auto"/>
              </w:rPr>
            </w:pPr>
          </w:p>
        </w:tc>
        <w:tc>
          <w:tcPr>
            <w:tcW w:w="360" w:type="dxa"/>
            <w:vAlign w:val="bottom"/>
            <w:gridSpan w:val="2"/>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color w:val="auto"/>
              </w:rPr>
              <w:t>Rent-A-Center</w:t>
            </w:r>
            <w:r>
              <w:rPr>
                <w:rFonts w:ascii="Times New Roman" w:cs="Times New Roman" w:eastAsia="Times New Roman" w:hAnsi="Times New Roman"/>
                <w:sz w:val="16"/>
                <w:szCs w:val="16"/>
                <w:color w:val="auto"/>
                <w:vertAlign w:val="superscript"/>
              </w:rPr>
              <w:t>(2)</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273,518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Franchising</w:t>
            </w:r>
          </w:p>
        </w:tc>
        <w:tc>
          <w:tcPr>
            <w:tcW w:w="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segments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557,515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530,931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511,217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0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Corporate</w:t>
            </w:r>
            <w:r>
              <w:rPr>
                <w:rFonts w:ascii="Times New Roman" w:cs="Times New Roman" w:eastAsia="Times New Roman" w:hAnsi="Times New Roman"/>
                <w:sz w:val="16"/>
                <w:szCs w:val="16"/>
                <w:color w:val="auto"/>
                <w:vertAlign w:val="superscript"/>
              </w:rPr>
              <w:t>(3)</w:t>
            </w: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(265,884)</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(368,066)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(362,679)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00" w:type="dxa"/>
            <w:vAlign w:val="bottom"/>
          </w:tcPr>
          <w:p>
            <w:pPr>
              <w:ind w:left="420"/>
              <w:spacing w:after="0" w:line="161" w:lineRule="exact"/>
              <w:rPr>
                <w:sz w:val="20"/>
                <w:szCs w:val="20"/>
                <w:color w:val="auto"/>
              </w:rPr>
            </w:pPr>
            <w:r>
              <w:rPr>
                <w:rFonts w:ascii="Times New Roman" w:cs="Times New Roman" w:eastAsia="Times New Roman" w:hAnsi="Times New Roman"/>
                <w:sz w:val="13"/>
                <w:szCs w:val="13"/>
                <w:color w:val="auto"/>
              </w:rPr>
              <w:t>Total operating profit</w:t>
            </w:r>
            <w:r>
              <w:rPr>
                <w:rFonts w:ascii="Times New Roman" w:cs="Times New Roman" w:eastAsia="Times New Roman" w:hAnsi="Times New Roman"/>
                <w:sz w:val="16"/>
                <w:szCs w:val="16"/>
                <w:color w:val="auto"/>
                <w:vertAlign w:val="superscript"/>
              </w:rPr>
              <w:t>(4)</w:t>
            </w:r>
          </w:p>
        </w:tc>
        <w:tc>
          <w:tcPr>
            <w:tcW w:w="20" w:type="dxa"/>
            <w:vAlign w:val="bottom"/>
          </w:tcPr>
          <w:p>
            <w:pPr>
              <w:spacing w:after="0"/>
              <w:rPr>
                <w:sz w:val="13"/>
                <w:szCs w:val="13"/>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291,631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162,865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148,538</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40" w:hanging="135"/>
        <w:spacing w:after="0" w:line="222" w:lineRule="auto"/>
        <w:tabs>
          <w:tab w:leader="none" w:pos="114" w:val="left"/>
        </w:tabs>
        <w:numPr>
          <w:ilvl w:val="0"/>
          <w:numId w:val="3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Acima operating expenses for the years ended December 31, 2024, 2023 and 2022 include operating labor expenses of $103.0 million, $102.9 million and $113.9 million, respectively, and non-labor operating expenses of $295.6 million, $246.3 million and $295.7 million, respectively. Acima non-labor operating expenses include LCOs of $211.8 million, $179.6 million and $224.7 million for the years ended December 31, 2024, 2023 and 2022, respectively.</w:t>
      </w:r>
    </w:p>
    <w:p>
      <w:pPr>
        <w:ind w:left="140" w:hanging="135"/>
        <w:spacing w:after="0" w:line="241" w:lineRule="auto"/>
        <w:tabs>
          <w:tab w:leader="none" w:pos="103" w:val="left"/>
        </w:tabs>
        <w:numPr>
          <w:ilvl w:val="0"/>
          <w:numId w:val="3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Rent-A-Center operating expenses for the years ended December 31, 2024, 2023 and 2022 include operating labor expenses of $487.8 million, $493.4 million and $506.1 million, respectively, and non-labor operating expenses of $486.6 million, $500.1 million and $501.7 million, respectively. Rent-A-Center non-labor operating expenses include LCOs of $84.8 million, $79.9 million and $91.7 million for the years ended December 31, 2024, 2023 and 2022, respectively.</w:t>
      </w:r>
    </w:p>
    <w:p>
      <w:pPr>
        <w:ind w:left="140" w:hanging="135"/>
        <w:spacing w:after="0" w:line="243" w:lineRule="auto"/>
        <w:tabs>
          <w:tab w:leader="none" w:pos="103" w:val="left"/>
        </w:tabs>
        <w:numPr>
          <w:ilvl w:val="0"/>
          <w:numId w:val="3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stock compensation expense of $4.9 million, $137.5 million and $143.2 million for the years ended December 31, 2024, 2023 and 2022, related to common stock issued to Acima Holdings employees under restricted stock agreements as part of the acquisition consideration subject to vesting restrictions as described in Note N. Also includes stock compensation expense of $5.1 million for the year ended December 31, 2024, related to acceleration of stock compensation expense for certain restricted stock awards included in the letter agreement with the Company's Chief Executive Officer as described in Note N.</w:t>
      </w:r>
    </w:p>
    <w:p>
      <w:pPr>
        <w:ind w:left="100" w:hanging="95"/>
        <w:spacing w:after="0" w:line="205" w:lineRule="auto"/>
        <w:tabs>
          <w:tab w:leader="none" w:pos="100" w:val="left"/>
        </w:tabs>
        <w:numPr>
          <w:ilvl w:val="0"/>
          <w:numId w:val="3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accounting policies of our segments are the same as those described for the Company in Note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0"/>
        </w:trPr>
        <w:tc>
          <w:tcPr>
            <w:tcW w:w="670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Acima</w:t>
            </w:r>
            <w:r>
              <w:rPr>
                <w:rFonts w:ascii="Times New Roman" w:cs="Times New Roman" w:eastAsia="Times New Roman" w:hAnsi="Times New Roman"/>
                <w:sz w:val="16"/>
                <w:szCs w:val="16"/>
                <w:color w:val="auto"/>
                <w:vertAlign w:val="superscript"/>
              </w:rPr>
              <w:t>(1)</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w:t>
            </w:r>
          </w:p>
        </w:tc>
      </w:tr>
      <w:tr>
        <w:trPr>
          <w:trHeight w:val="170"/>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20,526</w:t>
            </w: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Franchising</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58"/>
        </w:trPr>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segments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23,311</w:t>
            </w:r>
          </w:p>
        </w:tc>
      </w:tr>
      <w:tr>
        <w:trPr>
          <w:trHeight w:val="172"/>
        </w:trPr>
        <w:tc>
          <w:tcPr>
            <w:tcW w:w="670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Corporate</w:t>
            </w:r>
            <w:r>
              <w:rPr>
                <w:rFonts w:ascii="Times New Roman" w:cs="Times New Roman" w:eastAsia="Times New Roman" w:hAnsi="Times New Roman"/>
                <w:sz w:val="16"/>
                <w:szCs w:val="16"/>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27,436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29,768</w:t>
            </w:r>
          </w:p>
        </w:tc>
      </w:tr>
      <w:tr>
        <w:trPr>
          <w:trHeight w:val="160"/>
        </w:trPr>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depreciation and amortization</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50,886</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51,321</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53,079</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40" w:hanging="135"/>
        <w:spacing w:after="0" w:line="241" w:lineRule="auto"/>
        <w:tabs>
          <w:tab w:leader="none" w:pos="103" w:val="left"/>
        </w:tabs>
        <w:numPr>
          <w:ilvl w:val="0"/>
          <w:numId w:val="3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Excludes amortization expense of approximately $45.5 million, $57.0 million and $64.9 million for the years ended December 31, 2024, 2023 and 2022, respectively, recorded to Other gains and charges in the Consolidated Statements of Operations, related to intangible assets acquired upon closing of the Acima Holdings acquisition. See Note N for additional information.</w:t>
      </w:r>
    </w:p>
    <w:p>
      <w:pPr>
        <w:ind w:left="140" w:hanging="135"/>
        <w:spacing w:after="0"/>
        <w:tabs>
          <w:tab w:leader="none" w:pos="103" w:val="left"/>
        </w:tabs>
        <w:numPr>
          <w:ilvl w:val="0"/>
          <w:numId w:val="3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Excludes depreciation expense of approximately $15.9 million for each of the years ended December 31, 2024, 2023 and 2022, recorded to Other gains and charges in the Consolidated Statements of Operations, related to software acquired upon closing of the Acima Holdings acquisition and depreciation expense of $6.1 million and $9.2 million for the years ended December 31, 2024 and 2023 recorded to Other gains and charges in the Consolidated Statements of Operations, related to accelerated software depreciation. See Note N for additional information.</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4"/>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36,682</w:t>
            </w: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Franchising</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r>
      <w:tr>
        <w:trPr>
          <w:trHeight w:val="158"/>
        </w:trPr>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segments</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27,968</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25,589</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38,848</w:t>
            </w:r>
          </w:p>
        </w:tc>
      </w:tr>
      <w:tr>
        <w:trPr>
          <w:trHeight w:val="170"/>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22,539</w:t>
            </w:r>
          </w:p>
        </w:tc>
      </w:tr>
      <w:tr>
        <w:trPr>
          <w:trHeight w:val="163"/>
        </w:trPr>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capital expenditures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56,275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53,402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61,387</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154"/>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On rent rental merchandise, net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693,095</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606,912</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420,382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478,774</w:t>
            </w:r>
          </w:p>
        </w:tc>
      </w:tr>
      <w:tr>
        <w:trPr>
          <w:trHeight w:val="168"/>
        </w:trPr>
        <w:tc>
          <w:tcPr>
            <w:tcW w:w="6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21,383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24,210</w:t>
            </w:r>
          </w:p>
        </w:tc>
      </w:tr>
      <w:tr>
        <w:trPr>
          <w:trHeight w:val="188"/>
        </w:trPr>
        <w:tc>
          <w:tcPr>
            <w:tcW w:w="6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on rent rental merchandise, net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1,134,860</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1,109,896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154"/>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Held for rent rental merchandise, net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104,302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112,129</w:t>
            </w:r>
          </w:p>
        </w:tc>
      </w:tr>
      <w:tr>
        <w:trPr>
          <w:trHeight w:val="168"/>
        </w:trPr>
        <w:tc>
          <w:tcPr>
            <w:tcW w:w="6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11,540</w:t>
            </w:r>
          </w:p>
        </w:tc>
      </w:tr>
      <w:tr>
        <w:trPr>
          <w:trHeight w:val="188"/>
        </w:trPr>
        <w:tc>
          <w:tcPr>
            <w:tcW w:w="67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Total held for rent rental merchandise, net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113,922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124,167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r>
      <w:tr>
        <w:trPr>
          <w:trHeight w:val="155"/>
        </w:trPr>
        <w:tc>
          <w:tcPr>
            <w:tcW w:w="2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 by segment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1,301,657</w:t>
            </w:r>
          </w:p>
        </w:tc>
        <w:tc>
          <w:tcPr>
            <w:tcW w:w="20" w:type="dxa"/>
            <w:vAlign w:val="bottom"/>
          </w:tcPr>
          <w:p>
            <w:pPr>
              <w:spacing w:after="0"/>
              <w:rPr>
                <w:sz w:val="14"/>
                <w:szCs w:val="14"/>
                <w:color w:val="auto"/>
              </w:rPr>
            </w:pPr>
          </w:p>
        </w:tc>
        <w:tc>
          <w:tcPr>
            <w:tcW w:w="520" w:type="dxa"/>
            <w:vAlign w:val="bottom"/>
            <w:gridSpan w:val="4"/>
          </w:tcPr>
          <w:p>
            <w:pPr>
              <w:jc w:val="right"/>
              <w:ind w:right="30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1,221,845</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948,661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1,061,107</w:t>
            </w:r>
          </w:p>
        </w:tc>
        <w:tc>
          <w:tcPr>
            <w:tcW w:w="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57,347</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Franchising</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29,126</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18,023</w:t>
            </w:r>
          </w:p>
        </w:tc>
        <w:tc>
          <w:tcPr>
            <w:tcW w:w="20" w:type="dxa"/>
            <w:vAlign w:val="bottom"/>
            <w:tcBorders>
              <w:bottom w:val="single" w:sz="8" w:color="auto"/>
            </w:tcBorders>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segments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2,327,052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2,358,322</w:t>
            </w:r>
          </w:p>
        </w:tc>
        <w:tc>
          <w:tcPr>
            <w:tcW w:w="20" w:type="dxa"/>
            <w:vAlign w:val="bottom"/>
          </w:tcPr>
          <w:p>
            <w:pPr>
              <w:spacing w:after="0"/>
              <w:rPr>
                <w:sz w:val="13"/>
                <w:szCs w:val="13"/>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322,610</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363,108</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assets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2,649,662</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2,721,430</w:t>
            </w:r>
          </w:p>
        </w:tc>
        <w:tc>
          <w:tcPr>
            <w:tcW w:w="2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6"/>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54"/>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 by country</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States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2,602,054</w:t>
            </w:r>
          </w:p>
        </w:tc>
        <w:tc>
          <w:tcPr>
            <w:tcW w:w="20" w:type="dxa"/>
            <w:vAlign w:val="bottom"/>
          </w:tcPr>
          <w:p>
            <w:pPr>
              <w:spacing w:after="0"/>
              <w:rPr>
                <w:sz w:val="14"/>
                <w:szCs w:val="14"/>
                <w:color w:val="auto"/>
              </w:rPr>
            </w:pPr>
          </w:p>
        </w:tc>
        <w:tc>
          <w:tcPr>
            <w:tcW w:w="520" w:type="dxa"/>
            <w:vAlign w:val="bottom"/>
            <w:gridSpan w:val="4"/>
          </w:tcPr>
          <w:p>
            <w:pPr>
              <w:jc w:val="right"/>
              <w:ind w:right="30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2,664,083</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57,347</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assets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2,649,662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gridSpan w:val="2"/>
          </w:tcPr>
          <w:p>
            <w:pPr>
              <w:jc w:val="right"/>
              <w:ind w:right="30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2,721,430</w:t>
            </w:r>
          </w:p>
        </w:tc>
        <w:tc>
          <w:tcPr>
            <w:tcW w:w="2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r>
      <w:tr>
        <w:trPr>
          <w:trHeight w:val="155"/>
        </w:trPr>
        <w:tc>
          <w:tcPr>
            <w:tcW w:w="2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Rentals and fees by inventory category</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Furniture and accessories</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1,337,917</w:t>
            </w: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1,179,919</w:t>
            </w:r>
          </w:p>
        </w:tc>
        <w:tc>
          <w:tcPr>
            <w:tcW w:w="20" w:type="dxa"/>
            <w:vAlign w:val="bottom"/>
          </w:tcPr>
          <w:p>
            <w:pPr>
              <w:spacing w:after="0"/>
              <w:rPr>
                <w:sz w:val="14"/>
                <w:szCs w:val="14"/>
                <w:color w:val="auto"/>
              </w:rPr>
            </w:pPr>
          </w:p>
        </w:tc>
        <w:tc>
          <w:tcPr>
            <w:tcW w:w="520" w:type="dxa"/>
            <w:vAlign w:val="bottom"/>
            <w:gridSpan w:val="4"/>
          </w:tcPr>
          <w:p>
            <w:pPr>
              <w:jc w:val="right"/>
              <w:ind w:right="32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1,323,437</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Consumer electronics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426,078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486,571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482,959</w:t>
            </w: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Appliances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411,720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404,241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439,309</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Wheels and tires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447,008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341,174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308,618</w:t>
            </w:r>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Jewelry</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228,081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194,123</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Personal Electronics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177,714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181,217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182,380</w:t>
            </w:r>
          </w:p>
        </w:tc>
        <w:tc>
          <w:tcPr>
            <w:tcW w:w="20" w:type="dxa"/>
            <w:vAlign w:val="bottom"/>
          </w:tcPr>
          <w:p>
            <w:pPr>
              <w:spacing w:after="0"/>
              <w:rPr>
                <w:sz w:val="14"/>
                <w:szCs w:val="14"/>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products and services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411,186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440,475</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444,627</w:t>
            </w:r>
          </w:p>
        </w:tc>
        <w:tc>
          <w:tcPr>
            <w:tcW w:w="20" w:type="dxa"/>
            <w:vAlign w:val="bottom"/>
          </w:tcPr>
          <w:p>
            <w:pPr>
              <w:spacing w:after="0"/>
              <w:rPr>
                <w:sz w:val="14"/>
                <w:szCs w:val="14"/>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67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Total rentals and fees</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3,513,658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3,261,678</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gridSpan w:val="3"/>
            <w:shd w:val="clear" w:color="auto" w:fill="CCEEFF"/>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3,375,453</w:t>
            </w:r>
          </w:p>
        </w:tc>
        <w:tc>
          <w:tcPr>
            <w:tcW w:w="20" w:type="dxa"/>
            <w:vAlign w:val="bottom"/>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r>
      <w:tr>
        <w:trPr>
          <w:trHeight w:val="155"/>
        </w:trPr>
        <w:tc>
          <w:tcPr>
            <w:tcW w:w="2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by country</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States</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4,241,838</w:t>
            </w: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3,917,788</w:t>
            </w:r>
          </w:p>
        </w:tc>
        <w:tc>
          <w:tcPr>
            <w:tcW w:w="20" w:type="dxa"/>
            <w:vAlign w:val="bottom"/>
          </w:tcPr>
          <w:p>
            <w:pPr>
              <w:spacing w:after="0"/>
              <w:rPr>
                <w:sz w:val="14"/>
                <w:szCs w:val="14"/>
                <w:color w:val="auto"/>
              </w:rPr>
            </w:pPr>
          </w:p>
        </w:tc>
        <w:tc>
          <w:tcPr>
            <w:tcW w:w="520" w:type="dxa"/>
            <w:vAlign w:val="bottom"/>
            <w:gridSpan w:val="4"/>
          </w:tcPr>
          <w:p>
            <w:pPr>
              <w:jc w:val="right"/>
              <w:ind w:right="32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4,180,512</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78,726</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64,880</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10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3,992,413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gridSpan w:val="3"/>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4,245,392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U — Earnings (Loss) Per Common Share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basic and diluted earnings (loss) per common share were calculated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Numerator:</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earnings (loss)</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12,357</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3"/>
        </w:trPr>
        <w:tc>
          <w:tcPr>
            <w:tcW w:w="67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Denominator:</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54,978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53,850</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xml:space="preserve">Effect of dilutive stock awards </w:t>
            </w:r>
            <w:r>
              <w:rPr>
                <w:rFonts w:ascii="Times New Roman" w:cs="Times New Roman" w:eastAsia="Times New Roman" w:hAnsi="Times New Roman"/>
                <w:sz w:val="6"/>
                <w:szCs w:val="6"/>
                <w:color w:val="auto"/>
              </w:rPr>
              <w:t>(1) (2)</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5,116</w:t>
            </w:r>
          </w:p>
        </w:tc>
      </w:tr>
      <w:tr>
        <w:trPr>
          <w:trHeight w:val="158"/>
        </w:trPr>
        <w:tc>
          <w:tcPr>
            <w:tcW w:w="6720" w:type="dxa"/>
            <w:vAlign w:val="bottom"/>
          </w:tcPr>
          <w:p>
            <w:pPr>
              <w:ind w:left="440"/>
              <w:spacing w:after="0" w:line="146" w:lineRule="exact"/>
              <w:rPr>
                <w:sz w:val="20"/>
                <w:szCs w:val="20"/>
                <w:color w:val="auto"/>
              </w:rPr>
            </w:pPr>
            <w:r>
              <w:rPr>
                <w:rFonts w:ascii="Times New Roman" w:cs="Times New Roman" w:eastAsia="Times New Roman" w:hAnsi="Times New Roman"/>
                <w:sz w:val="13"/>
                <w:szCs w:val="13"/>
                <w:color w:val="auto"/>
              </w:rPr>
              <w:t>Weighted-average dilutive shares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55,933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54,978</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58,966</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5"/>
        </w:trPr>
        <w:tc>
          <w:tcPr>
            <w:tcW w:w="6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earnings (loss) per common share</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(loss) per common share</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Anti-dilutive securities excluded from diluted earnings (loss) per common share: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2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3"/>
                <w:szCs w:val="13"/>
                <w:color w:val="auto"/>
              </w:rPr>
              <w:t xml:space="preserve">Anti-dilutive time-vesting restricted share units </w:t>
            </w:r>
            <w:r>
              <w:rPr>
                <w:rFonts w:ascii="Times New Roman" w:cs="Times New Roman" w:eastAsia="Times New Roman" w:hAnsi="Times New Roman"/>
                <w:sz w:val="16"/>
                <w:szCs w:val="16"/>
                <w:color w:val="auto"/>
                <w:vertAlign w:val="superscript"/>
              </w:rPr>
              <w:t>(3)</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68"/>
        </w:trPr>
        <w:tc>
          <w:tcPr>
            <w:tcW w:w="67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Anti-dilutive performance share units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72"/>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Anti-dilutive stock options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r>
    </w:tbl>
    <w:p>
      <w:pPr>
        <w:spacing w:after="0" w:line="50" w:lineRule="exact"/>
        <w:rPr>
          <w:sz w:val="20"/>
          <w:szCs w:val="20"/>
          <w:color w:val="auto"/>
        </w:rPr>
      </w:pPr>
    </w:p>
    <w:p>
      <w:pPr>
        <w:ind w:left="100" w:hanging="95"/>
        <w:spacing w:after="0"/>
        <w:tabs>
          <w:tab w:leader="none" w:pos="100" w:val="left"/>
        </w:tabs>
        <w:numPr>
          <w:ilvl w:val="0"/>
          <w:numId w:val="3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There was no dilutive effect to the loss per common share for the year ended December 31, 2023 due to the net loss incurred for the period.</w:t>
      </w:r>
    </w:p>
    <w:p>
      <w:pPr>
        <w:ind w:left="100" w:hanging="95"/>
        <w:spacing w:after="0" w:line="202" w:lineRule="auto"/>
        <w:tabs>
          <w:tab w:leader="none" w:pos="100" w:val="left"/>
        </w:tabs>
        <w:numPr>
          <w:ilvl w:val="0"/>
          <w:numId w:val="3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Weighted-average dilutive shares outstanding for the year ended December 31, 2022, includes approximately 3.7 million common shares issued in connection with the acquisition of Acima Holdings and subject to vesting conditions under restricted stock agreements</w:t>
      </w:r>
    </w:p>
    <w:p>
      <w:pPr>
        <w:ind w:left="100" w:hanging="95"/>
        <w:spacing w:after="0" w:line="205" w:lineRule="auto"/>
        <w:tabs>
          <w:tab w:leader="none" w:pos="100" w:val="left"/>
        </w:tabs>
        <w:numPr>
          <w:ilvl w:val="0"/>
          <w:numId w:val="3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Anti-dilutive time-vesting restricted share units for the year ended December 31, 2023 includes approximately 0.4 million common shares issued in connection with the acquisition of Acima Holdings and subject to vesting conditions under restricted stock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 </w:t>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9A. </w:t>
      </w:r>
      <w:r>
        <w:rPr>
          <w:rFonts w:ascii="Times New Roman" w:cs="Times New Roman" w:eastAsia="Times New Roman" w:hAnsi="Times New Roman"/>
          <w:sz w:val="14"/>
          <w:szCs w:val="14"/>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Annual Report on Form 10-K. Based on this evaluation, our management, including our Chief Executive Officer and our Chief Financial Officer, concluded that, as of December 31, 2024, our disclosure controls and procedures (as defined in Rules 13a-15(e) and 15d-15(e) under the Securities Exchange Act of 1934) were effective.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Management’s Annual Report on Internal Control over Financial Reporting in Part II, Item 8, of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Auditor's Report Relating to Effectiveness of 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the Report of Independent Registered Public Accounting Firm in Part II, Item 8, of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quarter ended December 31, 2024,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color w:val="auto"/>
        </w:rPr>
        <w:t xml:space="preserve">Item 9B. </w:t>
      </w:r>
      <w:r>
        <w:rPr>
          <w:rFonts w:ascii="Times New Roman" w:cs="Times New Roman" w:eastAsia="Times New Roman" w:hAnsi="Times New Roman"/>
          <w:sz w:val="14"/>
          <w:szCs w:val="14"/>
          <w:b w:val="1"/>
          <w:bCs w:val="1"/>
          <w:i w:val="1"/>
          <w:iCs w:val="1"/>
          <w:color w:val="auto"/>
        </w:rPr>
        <w:t>Other Information.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9C. </w:t>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10.  </w:t>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11.  </w:t>
      </w:r>
      <w:r>
        <w:rPr>
          <w:rFonts w:ascii="Times New Roman" w:cs="Times New Roman" w:eastAsia="Times New Roman" w:hAnsi="Times New Roman"/>
          <w:sz w:val="14"/>
          <w:szCs w:val="14"/>
          <w:b w:val="1"/>
          <w:bCs w:val="1"/>
          <w:i w:val="1"/>
          <w:iCs w:val="1"/>
          <w:color w:val="auto"/>
        </w:rPr>
        <w:t>Executive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12.  </w:t>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13.  </w:t>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Principal Accountant Fees and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is Ernst &amp; Young, LLP, Dallas, TX, Auditor Firm ID: 42.</w:t>
      </w:r>
    </w:p>
    <w:p>
      <w:pPr>
        <w:spacing w:after="0" w:line="41" w:lineRule="exact"/>
        <w:rPr>
          <w:sz w:val="20"/>
          <w:szCs w:val="20"/>
          <w:color w:val="auto"/>
        </w:rPr>
      </w:pPr>
    </w:p>
    <w:p>
      <w:pPr>
        <w:jc w:val="both"/>
        <w:ind w:left="340" w:right="160" w:hanging="321"/>
        <w:spacing w:after="0" w:line="226" w:lineRule="auto"/>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required by Items 10, 11, 12, 13 and 14 is or will be set forth in the definitive proxy statement relating to the 2025 Annual Meeting of Stockholders of Upbound Group, Inc., which is to be filed with the SEC pursuant to Regulation 14A under the Securities Exchange Act of 1934, as amended. This definitive proxy statement relates to a meeting of stockholders involving the election of directors and the portions therefrom required to be set forth in this Form 10-K by Items 10, 11, 12, 13 and 14 are incorporated herein by reference pursuant to General Instruction G(3) to Form 10-K.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8"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Exhibits and Financial Statement Schedules.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included in this report are listed in the Index to Financial Statements in Part II, Item 8, of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Schedules for which provision is made in the applicable accounting regulations of the SEC are either not required under the related instructions or inapplicable.</w:t>
      </w:r>
    </w:p>
    <w:p>
      <w:pPr>
        <w:sectPr>
          <w:pgSz w:w="11900" w:h="16838" w:orient="portrait"/>
          <w:cols w:equalWidth="0" w:num="1">
            <w:col w:w="11280"/>
          </w:cols>
          <w:pgMar w:left="300" w:top="1205" w:right="319" w:bottom="1440" w:gutter="0" w:footer="0" w:header="0"/>
        </w:sectPr>
      </w:pP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Exhibits</w:t>
      </w:r>
    </w:p>
    <w:p>
      <w:pPr>
        <w:spacing w:after="0" w:line="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116" w:lineRule="exact"/>
        <w:rPr>
          <w:sz w:val="20"/>
          <w:szCs w:val="20"/>
          <w:color w:val="auto"/>
        </w:rPr>
      </w:pPr>
    </w:p>
    <w:p>
      <w:pPr>
        <w:sectPr>
          <w:pgSz w:w="11900" w:h="16838" w:orient="portrait"/>
          <w:cols w:equalWidth="0" w:num="2">
            <w:col w:w="5300" w:space="720"/>
            <w:col w:w="5260"/>
          </w:cols>
          <w:pgMar w:left="300" w:top="120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Plan of acquisition, reorganization, arrangement, liquidation or succession</w:t>
      </w:r>
    </w:p>
    <w:p>
      <w:pPr>
        <w:spacing w:after="0" w:line="106" w:lineRule="exact"/>
        <w:rPr>
          <w:sz w:val="20"/>
          <w:szCs w:val="20"/>
          <w:color w:val="auto"/>
        </w:rPr>
      </w:pPr>
    </w:p>
    <w:p>
      <w:pPr>
        <w:jc w:val="right"/>
        <w:ind w:left="640" w:right="20"/>
        <w:spacing w:after="0" w:line="225"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2.1         </w:t>
      </w:r>
      <w:hyperlink r:id="rId121">
        <w:r>
          <w:rPr>
            <w:rFonts w:ascii="Times New Roman" w:cs="Times New Roman" w:eastAsia="Times New Roman" w:hAnsi="Times New Roman"/>
            <w:sz w:val="14"/>
            <w:szCs w:val="14"/>
            <w:u w:val="single" w:color="auto"/>
            <w:color w:val="0000FF"/>
          </w:rPr>
          <w:t>Agreement and Plan of Merger, dated as of December 12, 2024, by and among Upbound Group Inc., Fortuna Merger Sub Inc., Bridge IT Inc. and Shareholder</w:t>
        </w:r>
      </w:hyperlink>
      <w:r>
        <w:rPr>
          <w:rFonts w:ascii="Times New Roman" w:cs="Times New Roman" w:eastAsia="Times New Roman" w:hAnsi="Times New Roman"/>
          <w:sz w:val="14"/>
          <w:szCs w:val="14"/>
          <w:color w:val="auto"/>
        </w:rPr>
        <w:t xml:space="preserve"> </w:t>
      </w:r>
      <w:hyperlink r:id="rId121">
        <w:r>
          <w:rPr>
            <w:rFonts w:ascii="Times New Roman" w:cs="Times New Roman" w:eastAsia="Times New Roman" w:hAnsi="Times New Roman"/>
            <w:sz w:val="14"/>
            <w:szCs w:val="14"/>
            <w:u w:val="single" w:color="auto"/>
            <w:color w:val="0000FF"/>
          </w:rPr>
          <w:t>Representative Services LLC, solely in its capacity as the Representative (incorporated herein by reference to Exhibit 2.1 to the registrant’s Current Report on Form 8-K</w:t>
        </w:r>
      </w:hyperlink>
    </w:p>
    <w:p>
      <w:pPr>
        <w:spacing w:after="0" w:line="1" w:lineRule="exact"/>
        <w:rPr>
          <w:sz w:val="20"/>
          <w:szCs w:val="20"/>
          <w:color w:val="auto"/>
        </w:rPr>
      </w:pPr>
    </w:p>
    <w:p>
      <w:pPr>
        <w:ind w:left="1460"/>
        <w:spacing w:after="0"/>
        <w:rPr>
          <w:rFonts w:ascii="Times New Roman" w:cs="Times New Roman" w:eastAsia="Times New Roman" w:hAnsi="Times New Roman"/>
          <w:sz w:val="14"/>
          <w:szCs w:val="14"/>
          <w:u w:val="single" w:color="auto"/>
          <w:color w:val="0000FF"/>
        </w:rPr>
      </w:pPr>
      <w:hyperlink r:id="rId121">
        <w:r>
          <w:rPr>
            <w:rFonts w:ascii="Times New Roman" w:cs="Times New Roman" w:eastAsia="Times New Roman" w:hAnsi="Times New Roman"/>
            <w:sz w:val="14"/>
            <w:szCs w:val="14"/>
            <w:u w:val="single" w:color="auto"/>
            <w:color w:val="0000FF"/>
          </w:rPr>
          <w:t>dated as of December 12, 2024.)</w:t>
        </w:r>
      </w:hyperlink>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Articles of Incorporation and Bylaws</w:t>
      </w:r>
    </w:p>
    <w:p>
      <w:pPr>
        <w:spacing w:after="0" w:line="9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8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79"/>
              </w:rPr>
              <w:t>3.1</w:t>
            </w:r>
          </w:p>
        </w:tc>
        <w:tc>
          <w:tcPr>
            <w:tcW w:w="9860" w:type="dxa"/>
            <w:vAlign w:val="bottom"/>
            <w:gridSpan w:val="8"/>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Restated Certificate of Incorporation of the registrant, dated as of December 5, 2024 (incorporated herein by reference to Exhibit 3.1 to the registrant’s Registration</w:t>
              </w:r>
            </w:hyperlink>
          </w:p>
        </w:tc>
      </w:tr>
      <w:tr>
        <w:trPr>
          <w:trHeight w:val="118"/>
        </w:trPr>
        <w:tc>
          <w:tcPr>
            <w:tcW w:w="820" w:type="dxa"/>
            <w:vAlign w:val="bottom"/>
          </w:tcPr>
          <w:p>
            <w:pPr>
              <w:spacing w:after="0"/>
              <w:rPr>
                <w:sz w:val="10"/>
                <w:szCs w:val="10"/>
                <w:color w:val="auto"/>
              </w:rPr>
            </w:pPr>
          </w:p>
        </w:tc>
        <w:tc>
          <w:tcPr>
            <w:tcW w:w="312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Statement on Form S-3 dated as of February 20, 2025.)</w:t>
              </w:r>
            </w:hyperlink>
          </w:p>
        </w:tc>
        <w:tc>
          <w:tcPr>
            <w:tcW w:w="672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8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79"/>
              </w:rPr>
              <w:t>3.2</w:t>
            </w:r>
          </w:p>
        </w:tc>
        <w:tc>
          <w:tcPr>
            <w:tcW w:w="966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 xml:space="preserve">Amended and Restated Bylaws of the registrant (incorporated herein by reference to Exhibit 10.3 to the registrant’s Current Report on Form 8-K dated as of June </w:t>
              </w:r>
            </w:hyperlink>
            <w:r>
              <w:rPr>
                <w:rFonts w:ascii="Times New Roman" w:cs="Times New Roman" w:eastAsia="Times New Roman" w:hAnsi="Times New Roman"/>
                <w:sz w:val="14"/>
                <w:szCs w:val="14"/>
                <w:color w:val="0000FF"/>
              </w:rPr>
              <w:t xml:space="preserve">4, </w:t>
            </w:r>
            <w:hyperlink r:id="rId123">
              <w:r>
                <w:rPr>
                  <w:rFonts w:ascii="Times New Roman" w:cs="Times New Roman" w:eastAsia="Times New Roman" w:hAnsi="Times New Roman"/>
                  <w:sz w:val="14"/>
                  <w:szCs w:val="14"/>
                  <w:color w:val="0000FF"/>
                </w:rPr>
                <w:t>2024.)</w:t>
              </w:r>
            </w:hyperlink>
          </w:p>
        </w:tc>
        <w:tc>
          <w:tcPr>
            <w:tcW w:w="200" w:type="dxa"/>
            <w:vAlign w:val="bottom"/>
            <w:gridSpan w:val="4"/>
          </w:tcPr>
          <w:p>
            <w:pPr>
              <w:spacing w:after="0"/>
              <w:rPr>
                <w:sz w:val="22"/>
                <w:szCs w:val="22"/>
                <w:color w:val="auto"/>
              </w:rPr>
            </w:pPr>
          </w:p>
        </w:tc>
      </w:tr>
      <w:tr>
        <w:trPr>
          <w:trHeight w:val="245"/>
        </w:trPr>
        <w:tc>
          <w:tcPr>
            <w:tcW w:w="8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79"/>
              </w:rPr>
              <w:t>3.3</w:t>
            </w:r>
          </w:p>
        </w:tc>
        <w:tc>
          <w:tcPr>
            <w:tcW w:w="9860" w:type="dxa"/>
            <w:vAlign w:val="bottom"/>
            <w:gridSpan w:val="8"/>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Certificate of Designations of Series D Preferred Stock of the registrant (incorporated herein by reference to Exhibit 3.1 to the registrant's Current Report on Form 8-K dated</w:t>
              </w:r>
            </w:hyperlink>
          </w:p>
        </w:tc>
      </w:tr>
      <w:tr>
        <w:trPr>
          <w:trHeight w:val="118"/>
        </w:trPr>
        <w:tc>
          <w:tcPr>
            <w:tcW w:w="820" w:type="dxa"/>
            <w:vAlign w:val="bottom"/>
          </w:tcPr>
          <w:p>
            <w:pPr>
              <w:spacing w:after="0"/>
              <w:rPr>
                <w:sz w:val="10"/>
                <w:szCs w:val="10"/>
                <w:color w:val="auto"/>
              </w:rPr>
            </w:pPr>
          </w:p>
        </w:tc>
        <w:tc>
          <w:tcPr>
            <w:tcW w:w="12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as of March 29, 2017.)</w:t>
              </w:r>
            </w:hyperlink>
          </w:p>
        </w:tc>
        <w:tc>
          <w:tcPr>
            <w:tcW w:w="8540" w:type="dxa"/>
            <w:vAlign w:val="bottom"/>
            <w:tcBorders>
              <w:top w:val="single" w:sz="8" w:color="0000FF"/>
            </w:tcBorders>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56"/>
        </w:trPr>
        <w:tc>
          <w:tcPr>
            <w:tcW w:w="8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79"/>
              </w:rPr>
              <w:t>3.4</w:t>
            </w:r>
          </w:p>
        </w:tc>
        <w:tc>
          <w:tcPr>
            <w:tcW w:w="9860" w:type="dxa"/>
            <w:vAlign w:val="bottom"/>
            <w:gridSpan w:val="8"/>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Certificate of Correction to the Certificate of Elimination of the Series A Preferred Stock of the registrant, dated June 4, 2024 (incorporated herein by reference to Exhibit</w:t>
              </w:r>
            </w:hyperlink>
          </w:p>
        </w:tc>
      </w:tr>
      <w:tr>
        <w:trPr>
          <w:trHeight w:val="118"/>
        </w:trPr>
        <w:tc>
          <w:tcPr>
            <w:tcW w:w="820" w:type="dxa"/>
            <w:vAlign w:val="bottom"/>
          </w:tcPr>
          <w:p>
            <w:pPr>
              <w:spacing w:after="0"/>
              <w:rPr>
                <w:sz w:val="10"/>
                <w:szCs w:val="10"/>
                <w:color w:val="auto"/>
              </w:rPr>
            </w:pPr>
          </w:p>
        </w:tc>
        <w:tc>
          <w:tcPr>
            <w:tcW w:w="9800" w:type="dxa"/>
            <w:vAlign w:val="bottom"/>
            <w:tcBorders>
              <w:top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the registrant’s Current Report on Form 8-K dated as of June 5 2024.)</w:t>
              </w:r>
            </w:hyperlink>
          </w:p>
        </w:tc>
        <w:tc>
          <w:tcPr>
            <w:tcW w:w="60" w:type="dxa"/>
            <w:vAlign w:val="bottom"/>
            <w:gridSpan w:val="3"/>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Instruments Defining the Rights of Security Holders, Including Indentures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Description of the registrant's Common Stock (incorporated herein by reference to Exhibit 4.1 to the registrant’s Registration Statement on Form S-3 dated as of February</w:t>
              </w:r>
            </w:hyperlink>
          </w:p>
        </w:tc>
      </w:tr>
      <w:tr>
        <w:trPr>
          <w:trHeight w:val="118"/>
        </w:trPr>
        <w:tc>
          <w:tcPr>
            <w:tcW w:w="1460" w:type="dxa"/>
            <w:vAlign w:val="bottom"/>
          </w:tcPr>
          <w:p>
            <w:pPr>
              <w:spacing w:after="0"/>
              <w:rPr>
                <w:sz w:val="10"/>
                <w:szCs w:val="10"/>
                <w:color w:val="auto"/>
              </w:rPr>
            </w:pPr>
          </w:p>
        </w:tc>
        <w:tc>
          <w:tcPr>
            <w:tcW w:w="5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20, 2025.)</w:t>
              </w:r>
            </w:hyperlink>
          </w:p>
        </w:tc>
        <w:tc>
          <w:tcPr>
            <w:tcW w:w="2860" w:type="dxa"/>
            <w:vAlign w:val="bottom"/>
            <w:tcBorders>
              <w:top w:val="single" w:sz="8" w:color="0000FF"/>
            </w:tcBorders>
          </w:tcPr>
          <w:p>
            <w:pPr>
              <w:spacing w:after="0"/>
              <w:rPr>
                <w:sz w:val="10"/>
                <w:szCs w:val="10"/>
                <w:color w:val="auto"/>
              </w:rPr>
            </w:pPr>
          </w:p>
        </w:tc>
        <w:tc>
          <w:tcPr>
            <w:tcW w:w="60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Certificate evidencing Common Stock (incorporated herein by reference to Exhibit 4.6 to the registrant's Registration Statement on Form S-8 dated as of June 7,</w:t>
              </w:r>
            </w:hyperlink>
          </w:p>
        </w:tc>
      </w:tr>
      <w:tr>
        <w:trPr>
          <w:trHeight w:val="118"/>
        </w:trPr>
        <w:tc>
          <w:tcPr>
            <w:tcW w:w="146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2023.</w:t>
              </w:r>
              <w:r>
                <w:rPr>
                  <w:rFonts w:ascii="Times New Roman" w:cs="Times New Roman" w:eastAsia="Times New Roman" w:hAnsi="Times New Roman"/>
                  <w:sz w:val="13"/>
                  <w:szCs w:val="13"/>
                  <w:u w:val="single" w:color="auto"/>
                  <w:color w:val="0000FF"/>
                </w:rPr>
                <w:t>)</w:t>
              </w:r>
            </w:hyperlink>
          </w:p>
        </w:tc>
        <w:tc>
          <w:tcPr>
            <w:tcW w:w="200" w:type="dxa"/>
            <w:vAlign w:val="bottom"/>
            <w:tcBorders>
              <w:top w:val="single" w:sz="8" w:color="0000FF"/>
            </w:tcBorders>
          </w:tcPr>
          <w:p>
            <w:pPr>
              <w:spacing w:after="0"/>
              <w:rPr>
                <w:sz w:val="10"/>
                <w:szCs w:val="10"/>
                <w:color w:val="auto"/>
              </w:rPr>
            </w:pPr>
          </w:p>
        </w:tc>
        <w:tc>
          <w:tcPr>
            <w:tcW w:w="2860" w:type="dxa"/>
            <w:vAlign w:val="bottom"/>
            <w:tcBorders>
              <w:top w:val="single" w:sz="8" w:color="0000FF"/>
            </w:tcBorders>
          </w:tcPr>
          <w:p>
            <w:pPr>
              <w:spacing w:after="0"/>
              <w:rPr>
                <w:sz w:val="10"/>
                <w:szCs w:val="10"/>
                <w:color w:val="auto"/>
              </w:rPr>
            </w:pPr>
          </w:p>
        </w:tc>
        <w:tc>
          <w:tcPr>
            <w:tcW w:w="60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Indenture, dated as of February 17, 2021, by and between Radiant Funding SPV, LLC and Truist Bank (incorporated herein by reference to Exhibit 4.1 to the registrant's</w:t>
              </w:r>
            </w:hyperlink>
          </w:p>
        </w:tc>
      </w:tr>
      <w:tr>
        <w:trPr>
          <w:trHeight w:val="118"/>
        </w:trPr>
        <w:tc>
          <w:tcPr>
            <w:tcW w:w="1460" w:type="dxa"/>
            <w:vAlign w:val="bottom"/>
          </w:tcPr>
          <w:p>
            <w:pPr>
              <w:spacing w:after="0"/>
              <w:rPr>
                <w:sz w:val="10"/>
                <w:szCs w:val="10"/>
                <w:color w:val="auto"/>
              </w:rPr>
            </w:pPr>
          </w:p>
        </w:tc>
        <w:tc>
          <w:tcPr>
            <w:tcW w:w="9820" w:type="dxa"/>
            <w:vAlign w:val="bottom"/>
            <w:tcBorders>
              <w:top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Current Report on Form 8-K dated as of February 17,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Material Contracts</w:t>
            </w: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60" w:type="dxa"/>
            <w:vAlign w:val="bottom"/>
            <w:tcBorders>
              <w:top w:val="single" w:sz="8" w:color="0000FF"/>
            </w:tcBorders>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5"/>
        </w:trPr>
        <w:tc>
          <w:tcPr>
            <w:tcW w:w="1460" w:type="dxa"/>
            <w:vAlign w:val="bottom"/>
          </w:tcPr>
          <w:p>
            <w:pPr>
              <w:spacing w:after="0"/>
              <w:rPr>
                <w:sz w:val="23"/>
                <w:szCs w:val="23"/>
                <w:color w:val="auto"/>
              </w:rPr>
            </w:pPr>
          </w:p>
        </w:tc>
        <w:tc>
          <w:tcPr>
            <w:tcW w:w="986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Credit Agreements</w:t>
            </w: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Term Loan Guarantee and Collateral Agreement, dated as of August 5, 2019, between Rent-A-Center, Inc., its subsidiaries named as guarantors therein and JPMorgan Chase</w:t>
              </w:r>
            </w:hyperlink>
          </w:p>
        </w:tc>
      </w:tr>
      <w:tr>
        <w:trPr>
          <w:trHeight w:val="118"/>
        </w:trPr>
        <w:tc>
          <w:tcPr>
            <w:tcW w:w="1460" w:type="dxa"/>
            <w:vAlign w:val="bottom"/>
          </w:tcPr>
          <w:p>
            <w:pPr>
              <w:spacing w:after="0"/>
              <w:rPr>
                <w:sz w:val="10"/>
                <w:szCs w:val="10"/>
                <w:color w:val="auto"/>
              </w:rPr>
            </w:pPr>
          </w:p>
        </w:tc>
        <w:tc>
          <w:tcPr>
            <w:tcW w:w="9800" w:type="dxa"/>
            <w:vAlign w:val="bottom"/>
            <w:tcBorders>
              <w:top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Bank, N.A., as administrative agent (incorporated herein by reference to Exhibit 10.44 to the registrant's Current Report on Form 10-Q for the quarter ended June 30, 2019.)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94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ABL Guarantee and Collateral Agreement, dated as of August 5, 2019, between Rent-A-Center, Inc., its subsidiaries named as guarantors therein and JPMorgan Chase Bank,</w:t>
              </w:r>
            </w:hyperlink>
          </w:p>
        </w:tc>
      </w:tr>
      <w:tr>
        <w:trPr>
          <w:trHeight w:val="118"/>
        </w:trPr>
        <w:tc>
          <w:tcPr>
            <w:tcW w:w="1460" w:type="dxa"/>
            <w:vAlign w:val="bottom"/>
          </w:tcPr>
          <w:p>
            <w:pPr>
              <w:spacing w:after="0"/>
              <w:rPr>
                <w:sz w:val="10"/>
                <w:szCs w:val="10"/>
                <w:color w:val="auto"/>
              </w:rPr>
            </w:pPr>
          </w:p>
        </w:tc>
        <w:tc>
          <w:tcPr>
            <w:tcW w:w="984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N.A., as administrative agent (incorporated herein by reference to Exhibit 10.45 to the registrant's Quarterly Report on Form 10-Q for the quarter ended June 30, 2019.)</w:t>
              </w:r>
            </w:hyperlink>
          </w:p>
        </w:tc>
        <w:tc>
          <w:tcPr>
            <w:tcW w:w="20" w:type="dxa"/>
            <w:vAlign w:val="bottom"/>
          </w:tcPr>
          <w:p>
            <w:pPr>
              <w:spacing w:after="0"/>
              <w:rPr>
                <w:sz w:val="10"/>
                <w:szCs w:val="10"/>
                <w:color w:val="auto"/>
              </w:rPr>
            </w:pPr>
          </w:p>
        </w:tc>
      </w:tr>
      <w:tr>
        <w:trPr>
          <w:trHeight w:val="881"/>
        </w:trPr>
        <w:tc>
          <w:tcPr>
            <w:tcW w:w="1460" w:type="dxa"/>
            <w:vAlign w:val="bottom"/>
          </w:tcPr>
          <w:p>
            <w:pPr>
              <w:spacing w:after="0"/>
              <w:rPr>
                <w:sz w:val="24"/>
                <w:szCs w:val="24"/>
                <w:color w:val="auto"/>
              </w:rPr>
            </w:pPr>
          </w:p>
        </w:tc>
        <w:tc>
          <w:tcPr>
            <w:tcW w:w="9480" w:type="dxa"/>
            <w:vAlign w:val="bottom"/>
            <w:tcBorders>
              <w:top w:val="single" w:sz="8" w:color="0000FF"/>
            </w:tcBorders>
            <w:gridSpan w:val="4"/>
          </w:tcPr>
          <w:p>
            <w:pPr>
              <w:ind w:left="4120"/>
              <w:spacing w:after="0"/>
              <w:rPr>
                <w:sz w:val="20"/>
                <w:szCs w:val="20"/>
                <w:color w:val="auto"/>
              </w:rPr>
            </w:pPr>
            <w:r>
              <w:rPr>
                <w:rFonts w:ascii="Times New Roman" w:cs="Times New Roman" w:eastAsia="Times New Roman" w:hAnsi="Times New Roman"/>
                <w:sz w:val="14"/>
                <w:szCs w:val="14"/>
                <w:color w:val="auto"/>
              </w:rPr>
              <w:t>95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4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60" w:type="dxa"/>
            <w:vAlign w:val="bottom"/>
            <w:tcBorders>
              <w:bottom w:val="single" w:sz="8" w:color="9A9A9A"/>
            </w:tcBorders>
          </w:tcPr>
          <w:p>
            <w:pPr>
              <w:spacing w:after="0"/>
              <w:rPr>
                <w:sz w:val="7"/>
                <w:szCs w:val="7"/>
                <w:color w:val="auto"/>
              </w:rPr>
            </w:pPr>
          </w:p>
        </w:tc>
        <w:tc>
          <w:tcPr>
            <w:tcW w:w="6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5" w:right="31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10.3</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Term Loan Credit Agreement dated as of February 17, 2021, among Rent-A-Center, Inc., as Borrower, the several lenders from time to time party thereto and JPMorgan</w:t>
              </w:r>
            </w:hyperlink>
          </w:p>
        </w:tc>
      </w:tr>
      <w:tr>
        <w:trPr>
          <w:trHeight w:val="118"/>
        </w:trPr>
        <w:tc>
          <w:tcPr>
            <w:tcW w:w="900" w:type="dxa"/>
            <w:vAlign w:val="bottom"/>
          </w:tcPr>
          <w:p>
            <w:pPr>
              <w:spacing w:after="0"/>
              <w:rPr>
                <w:sz w:val="10"/>
                <w:szCs w:val="10"/>
                <w:color w:val="auto"/>
              </w:rPr>
            </w:pPr>
          </w:p>
        </w:tc>
        <w:tc>
          <w:tcPr>
            <w:tcW w:w="97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Chase Bank, N.A., as Administrative Agent (Incorporated herein by reference to Exhibit 10.3 to the registrant's Current Report on Form 8-K dated as of February 17, 2021.)</w:t>
              </w:r>
            </w:hyperlink>
          </w:p>
        </w:tc>
        <w:tc>
          <w:tcPr>
            <w:tcW w:w="2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10.4</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First Amendment to Term Loan Credit Agreement, dated as of September 21, 2021, by and among Rent-A-Center, Inc., the other Loan Parties party thereto, the Lenders</w:t>
              </w:r>
            </w:hyperlink>
          </w:p>
        </w:tc>
      </w:tr>
      <w:tr>
        <w:trPr>
          <w:trHeight w:val="118"/>
        </w:trPr>
        <w:tc>
          <w:tcPr>
            <w:tcW w:w="900" w:type="dxa"/>
            <w:vAlign w:val="bottom"/>
          </w:tcPr>
          <w:p>
            <w:pPr>
              <w:spacing w:after="0"/>
              <w:rPr>
                <w:sz w:val="10"/>
                <w:szCs w:val="10"/>
                <w:color w:val="auto"/>
              </w:rPr>
            </w:pPr>
          </w:p>
        </w:tc>
        <w:tc>
          <w:tcPr>
            <w:tcW w:w="988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party thereto and JPMorgan Chase Bank, N.A., as administrative agent (incorporated herein by reference to Exhibit 10.1 to the registrant's Current Report on Form 8-K dated</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900" w:type="dxa"/>
            <w:vAlign w:val="bottom"/>
          </w:tcPr>
          <w:p>
            <w:pPr>
              <w:spacing w:after="0"/>
              <w:rPr>
                <w:sz w:val="11"/>
                <w:szCs w:val="11"/>
                <w:color w:val="auto"/>
              </w:rPr>
            </w:pPr>
          </w:p>
        </w:tc>
        <w:tc>
          <w:tcPr>
            <w:tcW w:w="1520" w:type="dxa"/>
            <w:vAlign w:val="bottom"/>
            <w:tcBorders>
              <w:bottom w:val="single" w:sz="8" w:color="0000FF"/>
            </w:tcBorders>
            <w:gridSpan w:val="3"/>
          </w:tcPr>
          <w:p>
            <w:pPr>
              <w:spacing w:after="0" w:line="129" w:lineRule="exact"/>
              <w:rPr>
                <w:rFonts w:ascii="Times New Roman" w:cs="Times New Roman" w:eastAsia="Times New Roman" w:hAnsi="Times New Roman"/>
                <w:sz w:val="14"/>
                <w:szCs w:val="14"/>
                <w:color w:val="0000FF"/>
                <w:w w:val="99"/>
              </w:rPr>
            </w:pPr>
            <w:hyperlink r:id="rId134">
              <w:r>
                <w:rPr>
                  <w:rFonts w:ascii="Times New Roman" w:cs="Times New Roman" w:eastAsia="Times New Roman" w:hAnsi="Times New Roman"/>
                  <w:sz w:val="14"/>
                  <w:szCs w:val="14"/>
                  <w:color w:val="0000FF"/>
                  <w:w w:val="99"/>
                </w:rPr>
                <w:t>as of September 21, 2021.)</w:t>
              </w:r>
            </w:hyperlink>
          </w:p>
        </w:tc>
        <w:tc>
          <w:tcPr>
            <w:tcW w:w="8500" w:type="dxa"/>
            <w:vAlign w:val="bottom"/>
            <w:gridSpan w:val="2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10.5</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Second Amendment to Term Loan Credit Agreement, dated as of June 15, 2023, by and among Upbound Group, Inc. and JPMorgan Chase Bank, N.A., as administrative</w:t>
              </w:r>
            </w:hyperlink>
          </w:p>
        </w:tc>
      </w:tr>
      <w:tr>
        <w:trPr>
          <w:trHeight w:val="118"/>
        </w:trPr>
        <w:tc>
          <w:tcPr>
            <w:tcW w:w="900" w:type="dxa"/>
            <w:vAlign w:val="bottom"/>
          </w:tcPr>
          <w:p>
            <w:pPr>
              <w:spacing w:after="0"/>
              <w:rPr>
                <w:sz w:val="10"/>
                <w:szCs w:val="10"/>
                <w:color w:val="auto"/>
              </w:rPr>
            </w:pPr>
          </w:p>
        </w:tc>
        <w:tc>
          <w:tcPr>
            <w:tcW w:w="808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agent (incorporated herein by reference to Exhibit 10.2 to the registrant's Quarterly Report on Form 10-Q for the quarter ended June 30, 2023.)</w:t>
              </w:r>
            </w:hyperlink>
          </w:p>
        </w:tc>
        <w:tc>
          <w:tcPr>
            <w:tcW w:w="18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10.6</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Third Amendment to Term Loan Credit Agreement, dated as of May 28, 2024, by and among Upbound Group, Inc., the other Loan Parties party thereto, the Lenders party</w:t>
              </w:r>
            </w:hyperlink>
          </w:p>
        </w:tc>
      </w:tr>
      <w:tr>
        <w:trPr>
          <w:trHeight w:val="118"/>
        </w:trPr>
        <w:tc>
          <w:tcPr>
            <w:tcW w:w="900" w:type="dxa"/>
            <w:vAlign w:val="bottom"/>
          </w:tcPr>
          <w:p>
            <w:pPr>
              <w:spacing w:after="0"/>
              <w:rPr>
                <w:sz w:val="10"/>
                <w:szCs w:val="10"/>
                <w:color w:val="auto"/>
              </w:rPr>
            </w:pPr>
          </w:p>
        </w:tc>
        <w:tc>
          <w:tcPr>
            <w:tcW w:w="1004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thereto and JPMorgan Chase Bank, N.A., as administrative agent (incorporated herein by reference to Exhibit 10.1 to the registrant’s Current Report on Form 8-K dated as of</w:t>
              </w:r>
            </w:hyperlink>
          </w:p>
        </w:tc>
        <w:tc>
          <w:tcPr>
            <w:tcW w:w="20" w:type="dxa"/>
            <w:vAlign w:val="bottom"/>
          </w:tcPr>
          <w:p>
            <w:pPr>
              <w:spacing w:after="0"/>
              <w:rPr>
                <w:sz w:val="10"/>
                <w:szCs w:val="10"/>
                <w:color w:val="auto"/>
              </w:rPr>
            </w:pPr>
          </w:p>
        </w:tc>
      </w:tr>
      <w:tr>
        <w:trPr>
          <w:trHeight w:val="129"/>
        </w:trPr>
        <w:tc>
          <w:tcPr>
            <w:tcW w:w="900" w:type="dxa"/>
            <w:vAlign w:val="bottom"/>
          </w:tcPr>
          <w:p>
            <w:pPr>
              <w:spacing w:after="0"/>
              <w:rPr>
                <w:sz w:val="11"/>
                <w:szCs w:val="11"/>
                <w:color w:val="auto"/>
              </w:rPr>
            </w:pPr>
          </w:p>
        </w:tc>
        <w:tc>
          <w:tcPr>
            <w:tcW w:w="99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May 29, 2024.)</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10.7</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ABL Credit Agreement dated as of February 17, 2021, among Rent-A-Center, Inc., as Borrower, the several lenders from time to time party thereto and JPMorgan Chase</w:t>
              </w:r>
            </w:hyperlink>
          </w:p>
        </w:tc>
      </w:tr>
      <w:tr>
        <w:trPr>
          <w:trHeight w:val="118"/>
        </w:trPr>
        <w:tc>
          <w:tcPr>
            <w:tcW w:w="900" w:type="dxa"/>
            <w:vAlign w:val="bottom"/>
          </w:tcPr>
          <w:p>
            <w:pPr>
              <w:spacing w:after="0"/>
              <w:rPr>
                <w:sz w:val="10"/>
                <w:szCs w:val="10"/>
                <w:color w:val="auto"/>
              </w:rPr>
            </w:pPr>
          </w:p>
        </w:tc>
        <w:tc>
          <w:tcPr>
            <w:tcW w:w="938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Bank, N.A., as Administrative Agent (Incorporated herein by reference to Exhibit 10.2 to the registrant's Current Report on Form 8-K dated as of February 17, 2021.)</w:t>
              </w:r>
            </w:hyperlink>
          </w:p>
        </w:tc>
        <w:tc>
          <w:tcPr>
            <w:tcW w:w="600" w:type="dxa"/>
            <w:vAlign w:val="bottom"/>
            <w:tcBorders>
              <w:top w:val="single" w:sz="8" w:color="0000FF"/>
            </w:tcBorders>
            <w:gridSpan w:val="12"/>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56"/>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10.8</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First Amendment to ABL Credit Agreement, dated as of August 10, 2022, by and among Rent-A-Center, Inc., the Lenders party thereto and JPMorgan Chase Bank, N.A., as</w:t>
              </w:r>
            </w:hyperlink>
          </w:p>
        </w:tc>
      </w:tr>
      <w:tr>
        <w:trPr>
          <w:trHeight w:val="118"/>
        </w:trPr>
        <w:tc>
          <w:tcPr>
            <w:tcW w:w="900" w:type="dxa"/>
            <w:vAlign w:val="bottom"/>
          </w:tcPr>
          <w:p>
            <w:pPr>
              <w:spacing w:after="0"/>
              <w:rPr>
                <w:sz w:val="10"/>
                <w:szCs w:val="10"/>
                <w:color w:val="auto"/>
              </w:rPr>
            </w:pPr>
          </w:p>
        </w:tc>
        <w:tc>
          <w:tcPr>
            <w:tcW w:w="980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administrative agent (incorporated herein by reference to Exhibit 10.1 to the registrant's Quarterly Report on Form 10-Q for the quarter ended September 30,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10.9</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Second Amendment to ABL Credit Agreement, dated as of June 7, 2024, by and among Upbound Group, Inc., the other Loan Parties party thereto, JPMorgan Chase Bank,</w:t>
              </w:r>
            </w:hyperlink>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18"/>
        </w:trPr>
        <w:tc>
          <w:tcPr>
            <w:tcW w:w="900" w:type="dxa"/>
            <w:vAlign w:val="bottom"/>
          </w:tcPr>
          <w:p>
            <w:pPr>
              <w:spacing w:after="0"/>
              <w:rPr>
                <w:sz w:val="10"/>
                <w:szCs w:val="10"/>
                <w:color w:val="auto"/>
              </w:rPr>
            </w:pPr>
          </w:p>
        </w:tc>
        <w:tc>
          <w:tcPr>
            <w:tcW w:w="10060" w:type="dxa"/>
            <w:vAlign w:val="bottom"/>
            <w:gridSpan w:val="27"/>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N.A., as administrative agent, and the Lenders party thereto (incorporated herein by reference to Exhibit 10.1 to the registrant’s Current Report on Form 8-K dated as of June</w:t>
              </w:r>
            </w:hyperlink>
          </w:p>
        </w:tc>
      </w:tr>
      <w:tr>
        <w:trPr>
          <w:trHeight w:val="129"/>
        </w:trPr>
        <w:tc>
          <w:tcPr>
            <w:tcW w:w="900" w:type="dxa"/>
            <w:vAlign w:val="bottom"/>
          </w:tcPr>
          <w:p>
            <w:pPr>
              <w:spacing w:after="0"/>
              <w:rPr>
                <w:sz w:val="11"/>
                <w:szCs w:val="11"/>
                <w:color w:val="auto"/>
              </w:rPr>
            </w:pPr>
          </w:p>
        </w:tc>
        <w:tc>
          <w:tcPr>
            <w:tcW w:w="56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4"/>
              </w:rPr>
            </w:pPr>
            <w:hyperlink r:id="rId139">
              <w:r>
                <w:rPr>
                  <w:rFonts w:ascii="Times New Roman" w:cs="Times New Roman" w:eastAsia="Times New Roman" w:hAnsi="Times New Roman"/>
                  <w:sz w:val="14"/>
                  <w:szCs w:val="14"/>
                  <w:color w:val="0000FF"/>
                  <w:w w:val="94"/>
                </w:rPr>
                <w:t>10, 2024.)</w:t>
              </w:r>
            </w:hyperlink>
          </w:p>
        </w:tc>
        <w:tc>
          <w:tcPr>
            <w:tcW w:w="30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2240" w:type="dxa"/>
            <w:vAlign w:val="bottom"/>
            <w:tcBorders>
              <w:top w:val="single" w:sz="8" w:color="0000FF"/>
            </w:tcBorders>
          </w:tcPr>
          <w:p>
            <w:pPr>
              <w:spacing w:after="0"/>
              <w:rPr>
                <w:sz w:val="11"/>
                <w:szCs w:val="11"/>
                <w:color w:val="auto"/>
              </w:rPr>
            </w:pPr>
          </w:p>
        </w:tc>
        <w:tc>
          <w:tcPr>
            <w:tcW w:w="140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2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900" w:type="dxa"/>
            <w:vAlign w:val="bottom"/>
          </w:tcPr>
          <w:p>
            <w:pPr>
              <w:spacing w:after="0"/>
              <w:rPr>
                <w:sz w:val="24"/>
                <w:szCs w:val="24"/>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4"/>
                <w:szCs w:val="14"/>
                <w:i w:val="1"/>
                <w:iCs w:val="1"/>
                <w:color w:val="auto"/>
              </w:rPr>
              <w:t>Certain Other Agreements</w:t>
            </w:r>
          </w:p>
        </w:tc>
      </w:tr>
      <w:tr>
        <w:trPr>
          <w:trHeight w:val="234"/>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10.10</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Master Confirmation Agreement, dated as of May 2, 2013, between Rent-A-Center, Inc. and Goldman Sachs &amp; Co. (incorporated herein by reference to Exhibit 10.1 to the</w:t>
              </w:r>
            </w:hyperlink>
          </w:p>
        </w:tc>
      </w:tr>
      <w:tr>
        <w:trPr>
          <w:trHeight w:val="118"/>
        </w:trPr>
        <w:tc>
          <w:tcPr>
            <w:tcW w:w="900" w:type="dxa"/>
            <w:vAlign w:val="bottom"/>
          </w:tcPr>
          <w:p>
            <w:pPr>
              <w:spacing w:after="0"/>
              <w:rPr>
                <w:sz w:val="10"/>
                <w:szCs w:val="10"/>
                <w:color w:val="auto"/>
              </w:rPr>
            </w:pPr>
          </w:p>
        </w:tc>
        <w:tc>
          <w:tcPr>
            <w:tcW w:w="37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registrant's Current Report on Form 8-K dated as of May 2, 2013.)</w:t>
              </w:r>
            </w:hyperlink>
          </w:p>
        </w:tc>
        <w:tc>
          <w:tcPr>
            <w:tcW w:w="6100" w:type="dxa"/>
            <w:vAlign w:val="bottom"/>
            <w:tcBorders>
              <w:top w:val="single" w:sz="8" w:color="0000FF"/>
            </w:tcBorders>
            <w:gridSpan w:val="1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56"/>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10.11</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Letter Agreement, dated May 25, 2018, by and among Rent-A-Center, Inc., Engaged Capital Flagship Master Fund, LP, Engaged Capital Co-Invest V, LP, Engaged</w:t>
              </w:r>
            </w:hyperlink>
          </w:p>
        </w:tc>
      </w:tr>
      <w:tr>
        <w:trPr>
          <w:trHeight w:val="118"/>
        </w:trPr>
        <w:tc>
          <w:tcPr>
            <w:tcW w:w="900" w:type="dxa"/>
            <w:vAlign w:val="bottom"/>
          </w:tcPr>
          <w:p>
            <w:pPr>
              <w:spacing w:after="0"/>
              <w:rPr>
                <w:sz w:val="10"/>
                <w:szCs w:val="10"/>
                <w:color w:val="auto"/>
              </w:rPr>
            </w:pPr>
          </w:p>
        </w:tc>
        <w:tc>
          <w:tcPr>
            <w:tcW w:w="99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Capital Co-Invest V-A, LP, Engaged Capital Flagship Fund, LP, Engaged Capital Flagship Fund, Ltd., Engaged Capital, LLC, Engaged Capital Holdings, LLC and Glenn W.</w:t>
              </w:r>
            </w:hyperlink>
          </w:p>
        </w:tc>
        <w:tc>
          <w:tcPr>
            <w:tcW w:w="100" w:type="dxa"/>
            <w:vAlign w:val="bottom"/>
            <w:gridSpan w:val="5"/>
          </w:tcPr>
          <w:p>
            <w:pPr>
              <w:spacing w:after="0"/>
              <w:rPr>
                <w:sz w:val="10"/>
                <w:szCs w:val="10"/>
                <w:color w:val="auto"/>
              </w:rPr>
            </w:pPr>
          </w:p>
        </w:tc>
      </w:tr>
      <w:tr>
        <w:trPr>
          <w:trHeight w:val="129"/>
        </w:trPr>
        <w:tc>
          <w:tcPr>
            <w:tcW w:w="900" w:type="dxa"/>
            <w:vAlign w:val="bottom"/>
          </w:tcPr>
          <w:p>
            <w:pPr>
              <w:spacing w:after="0"/>
              <w:rPr>
                <w:sz w:val="11"/>
                <w:szCs w:val="11"/>
                <w:color w:val="auto"/>
              </w:rPr>
            </w:pPr>
          </w:p>
        </w:tc>
        <w:tc>
          <w:tcPr>
            <w:tcW w:w="746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Welling (incorporated herein by reference to Exhibit 10.1 to the registrant's Current Report on Form 8-K dated as of May 25, 2018.)</w:t>
              </w:r>
            </w:hyperlink>
          </w:p>
        </w:tc>
        <w:tc>
          <w:tcPr>
            <w:tcW w:w="2480" w:type="dxa"/>
            <w:vAlign w:val="bottom"/>
            <w:tcBorders>
              <w:top w:val="single" w:sz="8" w:color="0000FF"/>
            </w:tcBorders>
            <w:gridSpan w:val="13"/>
          </w:tcPr>
          <w:p>
            <w:pPr>
              <w:spacing w:after="0"/>
              <w:rPr>
                <w:sz w:val="11"/>
                <w:szCs w:val="11"/>
                <w:color w:val="auto"/>
              </w:rPr>
            </w:pPr>
          </w:p>
        </w:tc>
        <w:tc>
          <w:tcPr>
            <w:tcW w:w="120" w:type="dxa"/>
            <w:vAlign w:val="bottom"/>
            <w:gridSpan w:val="6"/>
          </w:tcPr>
          <w:p>
            <w:pPr>
              <w:spacing w:after="0"/>
              <w:rPr>
                <w:sz w:val="11"/>
                <w:szCs w:val="11"/>
                <w:color w:val="auto"/>
              </w:rPr>
            </w:pP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10.12</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Agreement Containing Consent Order, dated February 21, 2020, by and between the Bureau of Competition and Rent-A-Center, Inc. (incorporated herein by reference to</w:t>
              </w:r>
            </w:hyperlink>
          </w:p>
        </w:tc>
      </w:tr>
      <w:tr>
        <w:trPr>
          <w:trHeight w:val="118"/>
        </w:trPr>
        <w:tc>
          <w:tcPr>
            <w:tcW w:w="900" w:type="dxa"/>
            <w:vAlign w:val="bottom"/>
          </w:tcPr>
          <w:p>
            <w:pPr>
              <w:spacing w:after="0"/>
              <w:rPr>
                <w:sz w:val="10"/>
                <w:szCs w:val="10"/>
                <w:color w:val="auto"/>
              </w:rPr>
            </w:pPr>
          </w:p>
        </w:tc>
        <w:tc>
          <w:tcPr>
            <w:tcW w:w="980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Exhibit 10.1 to the registrant's Current Report on Form 8-K dated as of February 21,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11"/>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56"/>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10.13</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Registration Rights Agreement, dated as of February 17, 2021, by and among Rent-A-Center, Inc. and certain former owners of Acima Holdings, LLC (incorporated herein</w:t>
              </w:r>
            </w:hyperlink>
          </w:p>
        </w:tc>
      </w:tr>
      <w:tr>
        <w:trPr>
          <w:trHeight w:val="118"/>
        </w:trPr>
        <w:tc>
          <w:tcPr>
            <w:tcW w:w="900" w:type="dxa"/>
            <w:vAlign w:val="bottom"/>
          </w:tcPr>
          <w:p>
            <w:pPr>
              <w:spacing w:after="0"/>
              <w:rPr>
                <w:sz w:val="10"/>
                <w:szCs w:val="10"/>
                <w:color w:val="auto"/>
              </w:rPr>
            </w:pPr>
          </w:p>
        </w:tc>
        <w:tc>
          <w:tcPr>
            <w:tcW w:w="982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by reference to Exhibit 10.1 to the registrant's Current Report on Form 8-K dated as of February 17, 2021.)</w:t>
              </w:r>
            </w:hyperlink>
          </w:p>
        </w:tc>
        <w:tc>
          <w:tcPr>
            <w:tcW w:w="20" w:type="dxa"/>
            <w:vAlign w:val="bottom"/>
          </w:tcPr>
          <w:p>
            <w:pPr>
              <w:spacing w:after="0"/>
              <w:rPr>
                <w:sz w:val="10"/>
                <w:szCs w:val="10"/>
                <w:color w:val="auto"/>
              </w:rPr>
            </w:pPr>
          </w:p>
        </w:tc>
        <w:tc>
          <w:tcPr>
            <w:tcW w:w="220" w:type="dxa"/>
            <w:vAlign w:val="bottom"/>
            <w:gridSpan w:val="11"/>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580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56"/>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10.14</w:t>
            </w:r>
          </w:p>
        </w:tc>
        <w:tc>
          <w:tcPr>
            <w:tcW w:w="10060" w:type="dxa"/>
            <w:vAlign w:val="bottom"/>
            <w:gridSpan w:val="27"/>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Registration Rights Agreement, dated as of January 31, 2025, by and among Upbound Group, Inc. and the Brigit Securityholders party thereto (incorporated herein by</w:t>
              </w:r>
            </w:hyperlink>
          </w:p>
        </w:tc>
      </w:tr>
      <w:tr>
        <w:trPr>
          <w:trHeight w:val="118"/>
        </w:trPr>
        <w:tc>
          <w:tcPr>
            <w:tcW w:w="900" w:type="dxa"/>
            <w:vAlign w:val="bottom"/>
          </w:tcPr>
          <w:p>
            <w:pPr>
              <w:spacing w:after="0"/>
              <w:rPr>
                <w:sz w:val="10"/>
                <w:szCs w:val="10"/>
                <w:color w:val="auto"/>
              </w:rPr>
            </w:pPr>
          </w:p>
        </w:tc>
        <w:tc>
          <w:tcPr>
            <w:tcW w:w="580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reference to Exhibit 10.1 to the registrant's Current Report on Form 8-K dated as of February 5, 2025.)</w:t>
              </w:r>
            </w:hyperlink>
          </w:p>
        </w:tc>
        <w:tc>
          <w:tcPr>
            <w:tcW w:w="4040" w:type="dxa"/>
            <w:vAlign w:val="bottom"/>
            <w:tcBorders>
              <w:top w:val="single" w:sz="8" w:color="0000FF"/>
            </w:tcBorders>
            <w:gridSpan w:val="10"/>
          </w:tcPr>
          <w:p>
            <w:pPr>
              <w:spacing w:after="0"/>
              <w:rPr>
                <w:sz w:val="10"/>
                <w:szCs w:val="10"/>
                <w:color w:val="auto"/>
              </w:rPr>
            </w:pPr>
          </w:p>
        </w:tc>
        <w:tc>
          <w:tcPr>
            <w:tcW w:w="220" w:type="dxa"/>
            <w:vAlign w:val="bottom"/>
            <w:gridSpan w:val="11"/>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860" w:top="123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4"/>
                <w:szCs w:val="14"/>
                <w:i w:val="1"/>
                <w:iCs w:val="1"/>
                <w:color w:val="auto"/>
              </w:rPr>
              <w:t>Management Contracts and Director Compensation</w:t>
            </w: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Loyalty and Confidentiality Agreement entered into with management (incorporated herein by reference to Exhibit 10.13 to the registrant's Annual Report on Form</w:t>
              </w:r>
            </w:hyperlink>
          </w:p>
        </w:tc>
      </w:tr>
      <w:tr>
        <w:trPr>
          <w:trHeight w:val="118"/>
        </w:trPr>
        <w:tc>
          <w:tcPr>
            <w:tcW w:w="1460" w:type="dxa"/>
            <w:vAlign w:val="bottom"/>
          </w:tcPr>
          <w:p>
            <w:pPr>
              <w:spacing w:after="0"/>
              <w:rPr>
                <w:sz w:val="10"/>
                <w:szCs w:val="10"/>
                <w:color w:val="auto"/>
              </w:rPr>
            </w:pPr>
          </w:p>
        </w:tc>
        <w:tc>
          <w:tcPr>
            <w:tcW w:w="258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10-K for the year ended December 31, 2023.)</w:t>
              </w:r>
            </w:hyperlink>
          </w:p>
        </w:tc>
        <w:tc>
          <w:tcPr>
            <w:tcW w:w="740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CEO Employment Agreement, dated December 30, 2017, between Mitchell E. Fadel and Rent-A-Center, Inc. (incorporated herein by reference to Exhibit 10.1 to the</w:t>
              </w:r>
            </w:hyperlink>
          </w:p>
        </w:tc>
      </w:tr>
      <w:tr>
        <w:trPr>
          <w:trHeight w:val="118"/>
        </w:trPr>
        <w:tc>
          <w:tcPr>
            <w:tcW w:w="1460" w:type="dxa"/>
            <w:vAlign w:val="bottom"/>
          </w:tcPr>
          <w:p>
            <w:pPr>
              <w:spacing w:after="0"/>
              <w:rPr>
                <w:sz w:val="10"/>
                <w:szCs w:val="10"/>
                <w:color w:val="auto"/>
              </w:rPr>
            </w:pPr>
          </w:p>
        </w:tc>
        <w:tc>
          <w:tcPr>
            <w:tcW w:w="38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registrant's Current Report on Form 8-K dated as of April 3, 2018.)</w:t>
              </w:r>
            </w:hyperlink>
          </w:p>
        </w:tc>
        <w:tc>
          <w:tcPr>
            <w:tcW w:w="600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Amended and Restated Employment Agreement, entered into as of April 16, 2019, between Rent-A-Center, Inc. and Mitchell E. Fadel (incorporated herein by reference to</w:t>
              </w:r>
            </w:hyperlink>
          </w:p>
        </w:tc>
      </w:tr>
      <w:tr>
        <w:trPr>
          <w:trHeight w:val="118"/>
        </w:trPr>
        <w:tc>
          <w:tcPr>
            <w:tcW w:w="1460" w:type="dxa"/>
            <w:vAlign w:val="bottom"/>
          </w:tcPr>
          <w:p>
            <w:pPr>
              <w:spacing w:after="0"/>
              <w:rPr>
                <w:sz w:val="10"/>
                <w:szCs w:val="10"/>
                <w:color w:val="auto"/>
              </w:rPr>
            </w:pPr>
          </w:p>
        </w:tc>
        <w:tc>
          <w:tcPr>
            <w:tcW w:w="448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Exhibit 10.1 to the registrant's Current Report on Form 8-K on April 16, 2019.)</w:t>
              </w:r>
            </w:hyperlink>
          </w:p>
        </w:tc>
        <w:tc>
          <w:tcPr>
            <w:tcW w:w="536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Summary of Director Compensation.</w:t>
            </w:r>
          </w:p>
        </w:tc>
      </w:tr>
      <w:tr>
        <w:trPr>
          <w:trHeight w:val="20"/>
        </w:trPr>
        <w:tc>
          <w:tcPr>
            <w:tcW w:w="14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EVP Executive Transition Agreement (incorporated herein by reference to Exhibit 10.1 to the registrant's Quarterly Report on Form 10-Q for the quarter ended</w:t>
              </w:r>
            </w:hyperlink>
          </w:p>
        </w:tc>
      </w:tr>
      <w:tr>
        <w:trPr>
          <w:trHeight w:val="118"/>
        </w:trPr>
        <w:tc>
          <w:tcPr>
            <w:tcW w:w="1460" w:type="dxa"/>
            <w:vAlign w:val="bottom"/>
          </w:tcPr>
          <w:p>
            <w:pPr>
              <w:spacing w:after="0"/>
              <w:rPr>
                <w:sz w:val="10"/>
                <w:szCs w:val="10"/>
                <w:color w:val="auto"/>
              </w:rPr>
            </w:pPr>
          </w:p>
        </w:tc>
        <w:tc>
          <w:tcPr>
            <w:tcW w:w="9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March 31, 2024.)</w:t>
              </w:r>
            </w:hyperlink>
          </w:p>
        </w:tc>
        <w:tc>
          <w:tcPr>
            <w:tcW w:w="896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Letter Agreement, dated April 3, 2024, between Upbound Group, Inc. and Mitchell E. Fadel (incorporated herein by reference to Exhibit 10.1 to the registrant's Current</w:t>
              </w:r>
            </w:hyperlink>
          </w:p>
        </w:tc>
      </w:tr>
      <w:tr>
        <w:trPr>
          <w:trHeight w:val="118"/>
        </w:trPr>
        <w:tc>
          <w:tcPr>
            <w:tcW w:w="146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Report on Form 8-K dated as of April 5, 2024.)</w:t>
              </w:r>
            </w:hyperlink>
          </w:p>
        </w:tc>
        <w:tc>
          <w:tcPr>
            <w:tcW w:w="724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Employment Agreement, by and between the Company and Mr. Fahmi Karam, dated February 19, 2025 (incorporated herein by reference to Exhibit 10.1 to the registrant's</w:t>
              </w:r>
            </w:hyperlink>
          </w:p>
        </w:tc>
      </w:tr>
      <w:tr>
        <w:trPr>
          <w:trHeight w:val="118"/>
        </w:trPr>
        <w:tc>
          <w:tcPr>
            <w:tcW w:w="1460" w:type="dxa"/>
            <w:vAlign w:val="bottom"/>
          </w:tcPr>
          <w:p>
            <w:pPr>
              <w:spacing w:after="0"/>
              <w:rPr>
                <w:sz w:val="10"/>
                <w:szCs w:val="10"/>
                <w:color w:val="auto"/>
              </w:rPr>
            </w:pPr>
          </w:p>
        </w:tc>
        <w:tc>
          <w:tcPr>
            <w:tcW w:w="100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Current Report on Form 8-K dated as of February 20, 2025.)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1460" w:type="dxa"/>
            <w:vAlign w:val="bottom"/>
          </w:tcPr>
          <w:p>
            <w:pPr>
              <w:spacing w:after="0"/>
              <w:rPr>
                <w:sz w:val="24"/>
                <w:szCs w:val="24"/>
                <w:color w:val="auto"/>
              </w:rPr>
            </w:pPr>
          </w:p>
        </w:tc>
        <w:tc>
          <w:tcPr>
            <w:tcW w:w="34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i w:val="1"/>
                <w:iCs w:val="1"/>
                <w:color w:val="auto"/>
              </w:rPr>
              <w:t>Long-Term Incentive Plan</w:t>
            </w:r>
          </w:p>
        </w:tc>
        <w:tc>
          <w:tcPr>
            <w:tcW w:w="6680" w:type="dxa"/>
            <w:vAlign w:val="bottom"/>
            <w:gridSpan w:val="24"/>
          </w:tcPr>
          <w:p>
            <w:pPr>
              <w:spacing w:after="0"/>
              <w:rPr>
                <w:sz w:val="24"/>
                <w:szCs w:val="24"/>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Amended and Restated Rent-A-Center, Inc. Long-Term Incentive Plan (incorporated herein by reference to Exhibit 10.1 to the registrant's Quarterly Report on Form 10-Q</w:t>
              </w:r>
            </w:hyperlink>
          </w:p>
        </w:tc>
      </w:tr>
      <w:tr>
        <w:trPr>
          <w:trHeight w:val="118"/>
        </w:trPr>
        <w:tc>
          <w:tcPr>
            <w:tcW w:w="1460" w:type="dxa"/>
            <w:vAlign w:val="bottom"/>
          </w:tcPr>
          <w:p>
            <w:pPr>
              <w:spacing w:after="0"/>
              <w:rPr>
                <w:sz w:val="10"/>
                <w:szCs w:val="10"/>
                <w:color w:val="auto"/>
              </w:rPr>
            </w:pPr>
          </w:p>
        </w:tc>
        <w:tc>
          <w:tcPr>
            <w:tcW w:w="99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for the quarter ended September 30, 2003.)</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Form of Stock Option Agreement issuable to Directors pursuant to the Amended and Restated Rent-A-Center, Inc. Long-Term Incentive Plan (incorporated herein by</w:t>
              </w:r>
            </w:hyperlink>
          </w:p>
        </w:tc>
      </w:tr>
      <w:tr>
        <w:trPr>
          <w:trHeight w:val="118"/>
        </w:trPr>
        <w:tc>
          <w:tcPr>
            <w:tcW w:w="1460" w:type="dxa"/>
            <w:vAlign w:val="bottom"/>
          </w:tcPr>
          <w:p>
            <w:pPr>
              <w:spacing w:after="0"/>
              <w:rPr>
                <w:sz w:val="10"/>
                <w:szCs w:val="10"/>
                <w:color w:val="auto"/>
              </w:rPr>
            </w:pPr>
          </w:p>
        </w:tc>
        <w:tc>
          <w:tcPr>
            <w:tcW w:w="648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reference to Exhibit 10.20 to the registrant's Annual Report on Form 10-K for the year ended December 31, 2004.)</w:t>
              </w:r>
            </w:hyperlink>
          </w:p>
        </w:tc>
        <w:tc>
          <w:tcPr>
            <w:tcW w:w="3340" w:type="dxa"/>
            <w:vAlign w:val="bottom"/>
            <w:tcBorders>
              <w:top w:val="single" w:sz="8" w:color="0000FF"/>
            </w:tcBorders>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of Stock Compensation Agreement issuable to management pursuant to the Amended and Restated Rent-A-Center, Inc. Long-Term Incentive Plan (incorporated herein</w:t>
              </w:r>
            </w:hyperlink>
          </w:p>
        </w:tc>
      </w:tr>
      <w:tr>
        <w:trPr>
          <w:trHeight w:val="118"/>
        </w:trPr>
        <w:tc>
          <w:tcPr>
            <w:tcW w:w="1460" w:type="dxa"/>
            <w:vAlign w:val="bottom"/>
          </w:tcPr>
          <w:p>
            <w:pPr>
              <w:spacing w:after="0"/>
              <w:rPr>
                <w:sz w:val="10"/>
                <w:szCs w:val="10"/>
                <w:color w:val="auto"/>
              </w:rPr>
            </w:pPr>
          </w:p>
        </w:tc>
        <w:tc>
          <w:tcPr>
            <w:tcW w:w="66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by reference to Exhibit 10.15 to the registrant's Annual Report on Form 10-K for the year ended December 31, 2005.)</w:t>
              </w:r>
            </w:hyperlink>
          </w:p>
        </w:tc>
        <w:tc>
          <w:tcPr>
            <w:tcW w:w="342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Long-Term Incentive Cash Award issuable to management pursuant to the Amended and Restated Rent-A-Center, Inc. Long-Term Incentive Plan (incorporated</w:t>
              </w:r>
            </w:hyperlink>
          </w:p>
        </w:tc>
      </w:tr>
      <w:tr>
        <w:trPr>
          <w:trHeight w:val="118"/>
        </w:trPr>
        <w:tc>
          <w:tcPr>
            <w:tcW w:w="1460" w:type="dxa"/>
            <w:vAlign w:val="bottom"/>
          </w:tcPr>
          <w:p>
            <w:pPr>
              <w:spacing w:after="0"/>
              <w:rPr>
                <w:sz w:val="10"/>
                <w:szCs w:val="10"/>
                <w:color w:val="auto"/>
              </w:rPr>
            </w:pPr>
          </w:p>
        </w:tc>
        <w:tc>
          <w:tcPr>
            <w:tcW w:w="1006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herein by reference to Exhibit 10.16 to the registrant's Annual Report on Form 10-K for the year ended December 31, 2005.)</w:t>
              </w:r>
            </w:hyperlink>
          </w:p>
        </w:tc>
        <w:tc>
          <w:tcPr>
            <w:tcW w:w="40" w:type="dxa"/>
            <w:vAlign w:val="bottom"/>
            <w:gridSpan w:val="2"/>
          </w:tcPr>
          <w:p>
            <w:pPr>
              <w:spacing w:after="0"/>
              <w:rPr>
                <w:sz w:val="10"/>
                <w:szCs w:val="10"/>
                <w:color w:val="auto"/>
              </w:rPr>
            </w:pPr>
          </w:p>
        </w:tc>
      </w:tr>
      <w:tr>
        <w:trPr>
          <w:trHeight w:val="287"/>
        </w:trPr>
        <w:tc>
          <w:tcPr>
            <w:tcW w:w="1460" w:type="dxa"/>
            <w:vAlign w:val="bottom"/>
          </w:tcPr>
          <w:p>
            <w:pPr>
              <w:spacing w:after="0"/>
              <w:rPr>
                <w:sz w:val="24"/>
                <w:szCs w:val="24"/>
                <w:color w:val="auto"/>
              </w:rPr>
            </w:pPr>
          </w:p>
        </w:tc>
        <w:tc>
          <w:tcPr>
            <w:tcW w:w="70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i w:val="1"/>
                <w:iCs w:val="1"/>
                <w:color w:val="auto"/>
              </w:rPr>
              <w:t>2006 Long-Term Incentive Plan</w:t>
            </w:r>
          </w:p>
        </w:tc>
        <w:tc>
          <w:tcPr>
            <w:tcW w:w="3060" w:type="dxa"/>
            <w:vAlign w:val="bottom"/>
            <w:gridSpan w:val="16"/>
          </w:tcPr>
          <w:p>
            <w:pPr>
              <w:spacing w:after="0"/>
              <w:rPr>
                <w:sz w:val="24"/>
                <w:szCs w:val="24"/>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Rent-A-Center, Inc. 2006 Long-Term Incentive Plan (incorporated herein by reference to Exhibit 10.17 to the registrant's Quarterly Report on Form 10-Q for the quarter</w:t>
              </w:r>
            </w:hyperlink>
          </w:p>
        </w:tc>
      </w:tr>
      <w:tr>
        <w:trPr>
          <w:trHeight w:val="118"/>
        </w:trPr>
        <w:tc>
          <w:tcPr>
            <w:tcW w:w="146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ended June 30, 2006.)</w:t>
              </w:r>
            </w:hyperlink>
          </w:p>
        </w:tc>
        <w:tc>
          <w:tcPr>
            <w:tcW w:w="878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of Stock Option Agreement issuable to management pursuant to the Rent-A-Center, Inc. 2006 Long-Term Incentive Plan (incorporated herein by reference to</w:t>
              </w:r>
            </w:hyperlink>
          </w:p>
        </w:tc>
      </w:tr>
      <w:tr>
        <w:trPr>
          <w:trHeight w:val="118"/>
        </w:trPr>
        <w:tc>
          <w:tcPr>
            <w:tcW w:w="1460" w:type="dxa"/>
            <w:vAlign w:val="bottom"/>
          </w:tcPr>
          <w:p>
            <w:pPr>
              <w:spacing w:after="0"/>
              <w:rPr>
                <w:sz w:val="10"/>
                <w:szCs w:val="10"/>
                <w:color w:val="auto"/>
              </w:rPr>
            </w:pPr>
          </w:p>
        </w:tc>
        <w:tc>
          <w:tcPr>
            <w:tcW w:w="574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Exhibit 10.18 to the registrant's Quarterly Report on Form 10-Q for the quarter ended June 30, 2006.)</w:t>
              </w:r>
            </w:hyperlink>
          </w:p>
        </w:tc>
        <w:tc>
          <w:tcPr>
            <w:tcW w:w="414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10.28</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Form of Long-Term Incentive Cash Award issuable to management pursuant to the Rent-A-Center, Inc. 2006 Long-Term Incentive Plan (incorporated herein by reference to</w:t>
              </w:r>
            </w:hyperlink>
          </w:p>
        </w:tc>
      </w:tr>
      <w:tr>
        <w:trPr>
          <w:trHeight w:val="118"/>
        </w:trPr>
        <w:tc>
          <w:tcPr>
            <w:tcW w:w="1460" w:type="dxa"/>
            <w:vAlign w:val="bottom"/>
          </w:tcPr>
          <w:p>
            <w:pPr>
              <w:spacing w:after="0"/>
              <w:rPr>
                <w:sz w:val="10"/>
                <w:szCs w:val="10"/>
                <w:color w:val="auto"/>
              </w:rPr>
            </w:pPr>
          </w:p>
        </w:tc>
        <w:tc>
          <w:tcPr>
            <w:tcW w:w="578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Exhibit 10.20 to the registrant's Annual Report on Form 10-K for the year ended December 31, 2006.)</w:t>
              </w:r>
            </w:hyperlink>
          </w:p>
        </w:tc>
        <w:tc>
          <w:tcPr>
            <w:tcW w:w="4260" w:type="dxa"/>
            <w:vAlign w:val="bottom"/>
            <w:tcBorders>
              <w:top w:val="single" w:sz="8" w:color="0000FF"/>
            </w:tcBorders>
            <w:gridSpan w:val="16"/>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Form of Stock Compensation Agreement issuable to management pursuant to the Rent-A-Center, Inc. 2006 Long-Term Incentive Plan (incorporated herein by reference to</w:t>
              </w:r>
            </w:hyperlink>
          </w:p>
        </w:tc>
      </w:tr>
      <w:tr>
        <w:trPr>
          <w:trHeight w:val="118"/>
        </w:trPr>
        <w:tc>
          <w:tcPr>
            <w:tcW w:w="1460" w:type="dxa"/>
            <w:vAlign w:val="bottom"/>
          </w:tcPr>
          <w:p>
            <w:pPr>
              <w:spacing w:after="0"/>
              <w:rPr>
                <w:sz w:val="10"/>
                <w:szCs w:val="10"/>
                <w:color w:val="auto"/>
              </w:rPr>
            </w:pPr>
          </w:p>
        </w:tc>
        <w:tc>
          <w:tcPr>
            <w:tcW w:w="578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Exhibit 10.23 to the registrant's Annual Report on Form 10-K for the year ended December 31, 2006.)</w:t>
              </w:r>
            </w:hyperlink>
          </w:p>
        </w:tc>
        <w:tc>
          <w:tcPr>
            <w:tcW w:w="408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gridSpan w:val="10"/>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Form of Stock Option Agreement issuable to Directors pursuant to the Rent-A-Center, Inc. 2006 Long-Term Incentive Plan (incorporated herein by reference to Exhibit</w:t>
              </w:r>
            </w:hyperlink>
          </w:p>
        </w:tc>
      </w:tr>
      <w:tr>
        <w:trPr>
          <w:trHeight w:val="118"/>
        </w:trPr>
        <w:tc>
          <w:tcPr>
            <w:tcW w:w="1460" w:type="dxa"/>
            <w:vAlign w:val="bottom"/>
          </w:tcPr>
          <w:p>
            <w:pPr>
              <w:spacing w:after="0"/>
              <w:rPr>
                <w:sz w:val="10"/>
                <w:szCs w:val="10"/>
                <w:color w:val="auto"/>
              </w:rPr>
            </w:pPr>
          </w:p>
        </w:tc>
        <w:tc>
          <w:tcPr>
            <w:tcW w:w="990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24</w:t>
              </w:r>
              <w:r>
                <w:rPr>
                  <w:rFonts w:ascii="Times New Roman" w:cs="Times New Roman" w:eastAsia="Times New Roman" w:hAnsi="Times New Roman"/>
                  <w:sz w:val="13"/>
                  <w:szCs w:val="13"/>
                  <w:color w:val="0000FF"/>
                </w:rPr>
                <w:t xml:space="preserve"> to the registrant's Annual Report on Form 10-K for the year ended December 31, 2006.)</w:t>
              </w:r>
            </w:hyperlink>
          </w:p>
        </w:tc>
        <w:tc>
          <w:tcPr>
            <w:tcW w:w="200" w:type="dxa"/>
            <w:vAlign w:val="bottom"/>
            <w:gridSpan w:val="10"/>
          </w:tcPr>
          <w:p>
            <w:pPr>
              <w:spacing w:after="0"/>
              <w:rPr>
                <w:sz w:val="10"/>
                <w:szCs w:val="10"/>
                <w:color w:val="auto"/>
              </w:rPr>
            </w:pPr>
          </w:p>
        </w:tc>
      </w:tr>
      <w:tr>
        <w:trPr>
          <w:trHeight w:val="881"/>
        </w:trPr>
        <w:tc>
          <w:tcPr>
            <w:tcW w:w="1460" w:type="dxa"/>
            <w:vAlign w:val="bottom"/>
          </w:tcPr>
          <w:p>
            <w:pPr>
              <w:spacing w:after="0"/>
              <w:rPr>
                <w:sz w:val="24"/>
                <w:szCs w:val="24"/>
                <w:color w:val="auto"/>
              </w:rPr>
            </w:pPr>
          </w:p>
        </w:tc>
        <w:tc>
          <w:tcPr>
            <w:tcW w:w="4480" w:type="dxa"/>
            <w:vAlign w:val="bottom"/>
            <w:tcBorders>
              <w:top w:val="single" w:sz="8" w:color="0000FF"/>
            </w:tcBorders>
            <w:gridSpan w:val="9"/>
          </w:tcPr>
          <w:p>
            <w:pPr>
              <w:ind w:left="4120"/>
              <w:spacing w:after="0"/>
              <w:rPr>
                <w:sz w:val="20"/>
                <w:szCs w:val="20"/>
                <w:color w:val="auto"/>
              </w:rPr>
            </w:pPr>
            <w:r>
              <w:rPr>
                <w:rFonts w:ascii="Times New Roman" w:cs="Times New Roman" w:eastAsia="Times New Roman" w:hAnsi="Times New Roman"/>
                <w:sz w:val="14"/>
                <w:szCs w:val="14"/>
                <w:color w:val="auto"/>
              </w:rPr>
              <w:t>97</w:t>
            </w:r>
          </w:p>
        </w:tc>
        <w:tc>
          <w:tcPr>
            <w:tcW w:w="8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4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7"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10.31</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Deferred Stock Unit Award Agreement issuable to Directors pursuant to the Rent-A-Center, Inc. 2006 Long-Term Incentive Plan (incorporated herein by reference</w:t>
              </w:r>
            </w:hyperlink>
          </w:p>
        </w:tc>
      </w:tr>
      <w:tr>
        <w:trPr>
          <w:trHeight w:val="118"/>
        </w:trPr>
        <w:tc>
          <w:tcPr>
            <w:tcW w:w="1460" w:type="dxa"/>
            <w:vAlign w:val="bottom"/>
          </w:tcPr>
          <w:p>
            <w:pPr>
              <w:spacing w:after="0"/>
              <w:rPr>
                <w:sz w:val="10"/>
                <w:szCs w:val="10"/>
                <w:color w:val="auto"/>
              </w:rPr>
            </w:pPr>
          </w:p>
        </w:tc>
        <w:tc>
          <w:tcPr>
            <w:tcW w:w="592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to Exhibit 10.23 to the registrant's Annual Report on Form 10-K for the year ended December 31, 2010.)</w:t>
              </w:r>
            </w:hyperlink>
          </w:p>
        </w:tc>
        <w:tc>
          <w:tcPr>
            <w:tcW w:w="40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7"/>
        </w:trPr>
        <w:tc>
          <w:tcPr>
            <w:tcW w:w="1460" w:type="dxa"/>
            <w:vAlign w:val="bottom"/>
          </w:tcPr>
          <w:p>
            <w:pPr>
              <w:spacing w:after="0"/>
              <w:rPr>
                <w:sz w:val="24"/>
                <w:szCs w:val="24"/>
                <w:color w:val="auto"/>
              </w:rPr>
            </w:pP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i w:val="1"/>
                <w:iCs w:val="1"/>
                <w:color w:val="auto"/>
              </w:rPr>
              <w:t>2006 Equity Incentive Plan</w:t>
            </w:r>
          </w:p>
        </w:tc>
      </w:tr>
      <w:tr>
        <w:trPr>
          <w:trHeight w:val="234"/>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10.32</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Form of Stock Compensation Agreement issuable to management pursuant to the Rent-A-Center, Inc. 2006 Equity Incentive Plan (incorporated herein by reference to</w:t>
              </w:r>
            </w:hyperlink>
          </w:p>
        </w:tc>
      </w:tr>
      <w:tr>
        <w:trPr>
          <w:trHeight w:val="118"/>
        </w:trPr>
        <w:tc>
          <w:tcPr>
            <w:tcW w:w="1460" w:type="dxa"/>
            <w:vAlign w:val="bottom"/>
          </w:tcPr>
          <w:p>
            <w:pPr>
              <w:spacing w:after="0"/>
              <w:rPr>
                <w:sz w:val="10"/>
                <w:szCs w:val="10"/>
                <w:color w:val="auto"/>
              </w:rPr>
            </w:pPr>
          </w:p>
        </w:tc>
        <w:tc>
          <w:tcPr>
            <w:tcW w:w="578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Exhibit 10.19 to the registrant's Annual Report on Form 10-K for the year ended December 31, 2006.)</w:t>
              </w:r>
            </w:hyperlink>
          </w:p>
        </w:tc>
        <w:tc>
          <w:tcPr>
            <w:tcW w:w="404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10.33</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Form of Stock Option Agreement issuable to management pursuant to the Rent-A-Center, Inc. 2006 Equity Incentive Plan (incorporated herein by reference to Exhibit 10.22</w:t>
              </w:r>
            </w:hyperlink>
          </w:p>
        </w:tc>
      </w:tr>
      <w:tr>
        <w:trPr>
          <w:trHeight w:val="118"/>
        </w:trPr>
        <w:tc>
          <w:tcPr>
            <w:tcW w:w="1460" w:type="dxa"/>
            <w:vAlign w:val="bottom"/>
          </w:tcPr>
          <w:p>
            <w:pPr>
              <w:spacing w:after="0"/>
              <w:rPr>
                <w:sz w:val="10"/>
                <w:szCs w:val="10"/>
                <w:color w:val="auto"/>
              </w:rPr>
            </w:pPr>
          </w:p>
        </w:tc>
        <w:tc>
          <w:tcPr>
            <w:tcW w:w="980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to the registrant's Annual Report on Form 10-K for the year ended December 31, 2006.)</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10.34</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Rent-A-Center, Inc. 2006 Equity Incentive Plan and Amendment (incorporated herein by reference to Exhibit 4.5 to the registrant's Registration Statement on Form S-8</w:t>
              </w:r>
            </w:hyperlink>
          </w:p>
        </w:tc>
      </w:tr>
      <w:tr>
        <w:trPr>
          <w:trHeight w:val="118"/>
        </w:trPr>
        <w:tc>
          <w:tcPr>
            <w:tcW w:w="1460" w:type="dxa"/>
            <w:vAlign w:val="bottom"/>
          </w:tcPr>
          <w:p>
            <w:pPr>
              <w:spacing w:after="0"/>
              <w:rPr>
                <w:sz w:val="10"/>
                <w:szCs w:val="10"/>
                <w:color w:val="auto"/>
              </w:rPr>
            </w:pPr>
          </w:p>
        </w:tc>
        <w:tc>
          <w:tcPr>
            <w:tcW w:w="1004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dated as of January 4, 2007.)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60" w:type="dxa"/>
            <w:vAlign w:val="bottom"/>
          </w:tcPr>
          <w:p>
            <w:pPr>
              <w:spacing w:after="0"/>
              <w:rPr>
                <w:sz w:val="24"/>
                <w:szCs w:val="24"/>
                <w:color w:val="auto"/>
              </w:rPr>
            </w:pP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i w:val="1"/>
                <w:iCs w:val="1"/>
                <w:color w:val="auto"/>
              </w:rPr>
              <w:t>2016 Long-Term Incentive Plan</w:t>
            </w:r>
          </w:p>
        </w:tc>
      </w:tr>
      <w:tr>
        <w:trPr>
          <w:trHeight w:val="234"/>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10.35</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Rent-A-Center, Inc. 2016 Long-Term Incentive Plan (incorporated herein by reference to Exhibit 10.36 to the registrant's Quarterly Report on Form 10-Q for the quarter</w:t>
              </w:r>
            </w:hyperlink>
          </w:p>
        </w:tc>
      </w:tr>
      <w:tr>
        <w:trPr>
          <w:trHeight w:val="118"/>
        </w:trPr>
        <w:tc>
          <w:tcPr>
            <w:tcW w:w="1460" w:type="dxa"/>
            <w:vAlign w:val="bottom"/>
          </w:tcPr>
          <w:p>
            <w:pPr>
              <w:spacing w:after="0"/>
              <w:rPr>
                <w:sz w:val="10"/>
                <w:szCs w:val="10"/>
                <w:color w:val="auto"/>
              </w:rPr>
            </w:pPr>
          </w:p>
        </w:tc>
        <w:tc>
          <w:tcPr>
            <w:tcW w:w="99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ended March 31, 2016.)</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10.36</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Form of Stock Option Agreement issuable to management pursuant to the Rent-A-Center, Inc. 2016 Long-Term Incentive Plan (incorporated herein by reference to Exhibit</w:t>
              </w:r>
            </w:hyperlink>
          </w:p>
        </w:tc>
      </w:tr>
      <w:tr>
        <w:trPr>
          <w:trHeight w:val="118"/>
        </w:trPr>
        <w:tc>
          <w:tcPr>
            <w:tcW w:w="1460" w:type="dxa"/>
            <w:vAlign w:val="bottom"/>
          </w:tcPr>
          <w:p>
            <w:pPr>
              <w:spacing w:after="0"/>
              <w:rPr>
                <w:sz w:val="10"/>
                <w:szCs w:val="10"/>
                <w:color w:val="auto"/>
              </w:rPr>
            </w:pPr>
          </w:p>
        </w:tc>
        <w:tc>
          <w:tcPr>
            <w:tcW w:w="1000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37</w:t>
              </w:r>
              <w:r>
                <w:rPr>
                  <w:rFonts w:ascii="Times New Roman" w:cs="Times New Roman" w:eastAsia="Times New Roman" w:hAnsi="Times New Roman"/>
                  <w:sz w:val="13"/>
                  <w:szCs w:val="13"/>
                  <w:color w:val="0000FF"/>
                </w:rPr>
                <w:t xml:space="preserve"> to the registrant's Quarterly Report on Form 10-Q for the quarter ended March 31, 2016.)</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10.37</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Form of Stock Compensation Agreement (RSU) issuable to management pursuant to the Rent-A-Center, Inc. 2016 Long-Term Incentive Plan (incorporated herein by</w:t>
              </w:r>
            </w:hyperlink>
          </w:p>
        </w:tc>
      </w:tr>
      <w:tr>
        <w:trPr>
          <w:trHeight w:val="118"/>
        </w:trPr>
        <w:tc>
          <w:tcPr>
            <w:tcW w:w="1460" w:type="dxa"/>
            <w:vAlign w:val="bottom"/>
          </w:tcPr>
          <w:p>
            <w:pPr>
              <w:spacing w:after="0"/>
              <w:rPr>
                <w:sz w:val="10"/>
                <w:szCs w:val="10"/>
                <w:color w:val="auto"/>
              </w:rPr>
            </w:pPr>
          </w:p>
        </w:tc>
        <w:tc>
          <w:tcPr>
            <w:tcW w:w="65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reference to Exhibit 10.38 to the registrant's Quarterly Report on Form 10-Q for the quarter ended March 31, 2016.)</w:t>
              </w:r>
            </w:hyperlink>
          </w:p>
        </w:tc>
        <w:tc>
          <w:tcPr>
            <w:tcW w:w="3400" w:type="dxa"/>
            <w:vAlign w:val="bottom"/>
            <w:tcBorders>
              <w:top w:val="single" w:sz="8" w:color="0000FF"/>
            </w:tcBorders>
            <w:gridSpan w:val="10"/>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10.38</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Form of Stock Compensation Agreement (PSU) issuable to management pursuant to the Rent-A-Center, Inc. 2016 Long-Term Incentive Plan (incorporated herein by</w:t>
              </w:r>
            </w:hyperlink>
          </w:p>
        </w:tc>
      </w:tr>
      <w:tr>
        <w:trPr>
          <w:trHeight w:val="118"/>
        </w:trPr>
        <w:tc>
          <w:tcPr>
            <w:tcW w:w="1460" w:type="dxa"/>
            <w:vAlign w:val="bottom"/>
          </w:tcPr>
          <w:p>
            <w:pPr>
              <w:spacing w:after="0"/>
              <w:rPr>
                <w:sz w:val="10"/>
                <w:szCs w:val="10"/>
                <w:color w:val="auto"/>
              </w:rPr>
            </w:pPr>
          </w:p>
        </w:tc>
        <w:tc>
          <w:tcPr>
            <w:tcW w:w="984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reference to Exhibit 10.39 to the registrant's Quarterly Report on Form 10-Q for the quarter ended March 31,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1460" w:type="dxa"/>
            <w:vAlign w:val="bottom"/>
          </w:tcPr>
          <w:p>
            <w:pPr>
              <w:spacing w:after="0"/>
              <w:rPr>
                <w:sz w:val="24"/>
                <w:szCs w:val="24"/>
                <w:color w:val="auto"/>
              </w:rPr>
            </w:pPr>
          </w:p>
        </w:tc>
        <w:tc>
          <w:tcPr>
            <w:tcW w:w="65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i w:val="1"/>
                <w:iCs w:val="1"/>
                <w:color w:val="auto"/>
              </w:rPr>
              <w:t>2021 Long-Term Incentive Plan</w:t>
            </w:r>
          </w:p>
        </w:tc>
        <w:tc>
          <w:tcPr>
            <w:tcW w:w="3540" w:type="dxa"/>
            <w:vAlign w:val="bottom"/>
            <w:gridSpan w:val="17"/>
          </w:tcPr>
          <w:p>
            <w:pPr>
              <w:spacing w:after="0"/>
              <w:rPr>
                <w:sz w:val="24"/>
                <w:szCs w:val="24"/>
                <w:color w:val="auto"/>
              </w:rPr>
            </w:pPr>
          </w:p>
        </w:tc>
      </w:tr>
      <w:tr>
        <w:trPr>
          <w:trHeight w:val="234"/>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10.39</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Form of Rent-A-Center, Inc. 2021 Long-Term Incentive Plan Restricted Stock Unit Award Agreement (incorporated herein by reference to Exhibit 10.2 to the registrant's</w:t>
              </w:r>
            </w:hyperlink>
          </w:p>
        </w:tc>
      </w:tr>
      <w:tr>
        <w:trPr>
          <w:trHeight w:val="118"/>
        </w:trPr>
        <w:tc>
          <w:tcPr>
            <w:tcW w:w="1460" w:type="dxa"/>
            <w:vAlign w:val="bottom"/>
          </w:tcPr>
          <w:p>
            <w:pPr>
              <w:spacing w:after="0"/>
              <w:rPr>
                <w:sz w:val="10"/>
                <w:szCs w:val="10"/>
                <w:color w:val="auto"/>
              </w:rPr>
            </w:pPr>
          </w:p>
        </w:tc>
        <w:tc>
          <w:tcPr>
            <w:tcW w:w="988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Current Report on Form 8-K dated as of June 8,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10.40</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Form of Rent-A-Center, Inc. 2021 Long-Term Incentive Plan Performance Stock Unit Award Agreement (incorporated herein by reference to Exhibit 10.3 to the registrant's</w:t>
              </w:r>
            </w:hyperlink>
          </w:p>
        </w:tc>
      </w:tr>
      <w:tr>
        <w:trPr>
          <w:trHeight w:val="118"/>
        </w:trPr>
        <w:tc>
          <w:tcPr>
            <w:tcW w:w="1460" w:type="dxa"/>
            <w:vAlign w:val="bottom"/>
          </w:tcPr>
          <w:p>
            <w:pPr>
              <w:spacing w:after="0"/>
              <w:rPr>
                <w:sz w:val="10"/>
                <w:szCs w:val="10"/>
                <w:color w:val="auto"/>
              </w:rPr>
            </w:pPr>
          </w:p>
        </w:tc>
        <w:tc>
          <w:tcPr>
            <w:tcW w:w="99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Current Report on Form 8-K dated as of June 8, 2021.)</w:t>
              </w:r>
            </w:hyperlink>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10.41</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Form of Rent-A-Center, Inc. 2021 Long-Term Incentive Plan Stock Option Award Agreement (incorporated herein by reference to Exhibit 10.4 to the registrant's Current</w:t>
              </w:r>
            </w:hyperlink>
          </w:p>
        </w:tc>
      </w:tr>
      <w:tr>
        <w:trPr>
          <w:trHeight w:val="118"/>
        </w:trPr>
        <w:tc>
          <w:tcPr>
            <w:tcW w:w="146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Report on Form 8-K dated as of June 8, 2021.)</w:t>
              </w:r>
            </w:hyperlink>
          </w:p>
        </w:tc>
        <w:tc>
          <w:tcPr>
            <w:tcW w:w="724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10.42</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Form of Rent-A-Center, Inc. 2021 Long-Term Incentive Plan Deferred Stock Unit Award Agreement (incorporated herein by reference to Exhibit 10.5 to the registrant's</w:t>
              </w:r>
            </w:hyperlink>
          </w:p>
        </w:tc>
      </w:tr>
      <w:tr>
        <w:trPr>
          <w:trHeight w:val="118"/>
        </w:trPr>
        <w:tc>
          <w:tcPr>
            <w:tcW w:w="1460" w:type="dxa"/>
            <w:vAlign w:val="bottom"/>
          </w:tcPr>
          <w:p>
            <w:pPr>
              <w:spacing w:after="0"/>
              <w:rPr>
                <w:sz w:val="10"/>
                <w:szCs w:val="10"/>
                <w:color w:val="auto"/>
              </w:rPr>
            </w:pPr>
          </w:p>
        </w:tc>
        <w:tc>
          <w:tcPr>
            <w:tcW w:w="100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Current Report on Form 8-K dated as of June 8, 2021.)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10.43</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Upbound Group, Inc. Amended 2021 Long Term Incentive Plan (incorporated herein by reference to Annex A of the registrant’s Proxy Statement on Schedule 14A dated as</w:t>
              </w:r>
            </w:hyperlink>
          </w:p>
        </w:tc>
      </w:tr>
      <w:tr>
        <w:trPr>
          <w:trHeight w:val="118"/>
        </w:trPr>
        <w:tc>
          <w:tcPr>
            <w:tcW w:w="1460" w:type="dxa"/>
            <w:vAlign w:val="bottom"/>
          </w:tcPr>
          <w:p>
            <w:pPr>
              <w:spacing w:after="0"/>
              <w:rPr>
                <w:sz w:val="10"/>
                <w:szCs w:val="10"/>
                <w:color w:val="auto"/>
              </w:rPr>
            </w:pPr>
          </w:p>
        </w:tc>
        <w:tc>
          <w:tcPr>
            <w:tcW w:w="10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of April 25, 2023.)</w:t>
              </w:r>
            </w:hyperlink>
          </w:p>
        </w:tc>
        <w:tc>
          <w:tcPr>
            <w:tcW w:w="8800" w:type="dxa"/>
            <w:vAlign w:val="bottom"/>
            <w:tcBorders>
              <w:top w:val="single" w:sz="8" w:color="0000FF"/>
            </w:tcBorders>
            <w:gridSpan w:val="17"/>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1460" w:type="dxa"/>
            <w:vAlign w:val="bottom"/>
          </w:tcPr>
          <w:p>
            <w:pPr>
              <w:spacing w:after="0"/>
              <w:rPr>
                <w:sz w:val="24"/>
                <w:szCs w:val="24"/>
                <w:color w:val="auto"/>
              </w:rPr>
            </w:pP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i w:val="1"/>
                <w:iCs w:val="1"/>
                <w:color w:val="auto"/>
              </w:rPr>
              <w:t>Deferred Compensation and 401(k) Plans</w:t>
            </w:r>
          </w:p>
        </w:tc>
      </w:tr>
      <w:tr>
        <w:trPr>
          <w:trHeight w:val="234"/>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10.44</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Rent-A-Center, Inc. Non-Qualified Deferred Compensation Plan (incorporated herein by reference to Exhibit 10.28 to the registrant's Quarterly Report on Form 10-Q for the</w:t>
              </w:r>
            </w:hyperlink>
          </w:p>
        </w:tc>
      </w:tr>
      <w:tr>
        <w:trPr>
          <w:trHeight w:val="118"/>
        </w:trPr>
        <w:tc>
          <w:tcPr>
            <w:tcW w:w="1460" w:type="dxa"/>
            <w:vAlign w:val="bottom"/>
          </w:tcPr>
          <w:p>
            <w:pPr>
              <w:spacing w:after="0"/>
              <w:rPr>
                <w:sz w:val="10"/>
                <w:szCs w:val="10"/>
                <w:color w:val="auto"/>
              </w:rPr>
            </w:pPr>
          </w:p>
        </w:tc>
        <w:tc>
          <w:tcPr>
            <w:tcW w:w="16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quarter ended June 30, 2007.)</w:t>
              </w:r>
            </w:hyperlink>
          </w:p>
        </w:tc>
        <w:tc>
          <w:tcPr>
            <w:tcW w:w="838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10.45</w:t>
            </w:r>
          </w:p>
        </w:tc>
        <w:tc>
          <w:tcPr>
            <w:tcW w:w="97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Rent-A-Center, Inc. 401(k) Plan (incorporated herein by reference to Exhibit 10.30 to the registrant's Annual Report on Form 10-K for the year ended December 31, 2008.)</w:t>
              </w:r>
            </w:hyperlink>
          </w:p>
        </w:tc>
        <w:tc>
          <w:tcPr>
            <w:tcW w:w="380" w:type="dxa"/>
            <w:vAlign w:val="bottom"/>
            <w:gridSpan w:val="15"/>
          </w:tcPr>
          <w:p>
            <w:pPr>
              <w:spacing w:after="0"/>
              <w:rPr>
                <w:sz w:val="22"/>
                <w:szCs w:val="22"/>
                <w:color w:val="auto"/>
              </w:rPr>
            </w:pPr>
          </w:p>
        </w:tc>
      </w:tr>
      <w:tr>
        <w:trPr>
          <w:trHeight w:val="245"/>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10.46</w:t>
            </w:r>
          </w:p>
        </w:tc>
        <w:tc>
          <w:tcPr>
            <w:tcW w:w="10080" w:type="dxa"/>
            <w:vAlign w:val="bottom"/>
            <w:gridSpan w:val="29"/>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Rent-A-Center East, Inc. Retirement Savings Plan for Puerto Rico Employees (Incorporated herein by reference to Exhibit 99.1 to the registrant's Registration Statement on</w:t>
              </w:r>
            </w:hyperlink>
          </w:p>
        </w:tc>
      </w:tr>
      <w:tr>
        <w:trPr>
          <w:trHeight w:val="118"/>
        </w:trPr>
        <w:tc>
          <w:tcPr>
            <w:tcW w:w="146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77">
              <w:r>
                <w:rPr>
                  <w:rFonts w:ascii="Times New Roman" w:cs="Times New Roman" w:eastAsia="Times New Roman" w:hAnsi="Times New Roman"/>
                  <w:sz w:val="13"/>
                  <w:szCs w:val="13"/>
                  <w:color w:val="0000FF"/>
                </w:rPr>
                <w:t>Form S-8 dated as of January 28, 2011.)</w:t>
              </w:r>
            </w:hyperlink>
          </w:p>
        </w:tc>
        <w:tc>
          <w:tcPr>
            <w:tcW w:w="7660" w:type="dxa"/>
            <w:vAlign w:val="bottom"/>
            <w:tcBorders>
              <w:top w:val="single" w:sz="8" w:color="0000FF"/>
            </w:tcBorders>
            <w:gridSpan w:val="16"/>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881"/>
        </w:trPr>
        <w:tc>
          <w:tcPr>
            <w:tcW w:w="1460" w:type="dxa"/>
            <w:vAlign w:val="bottom"/>
          </w:tcPr>
          <w:p>
            <w:pPr>
              <w:spacing w:after="0"/>
              <w:rPr>
                <w:sz w:val="24"/>
                <w:szCs w:val="24"/>
                <w:color w:val="auto"/>
              </w:rPr>
            </w:pPr>
          </w:p>
        </w:tc>
        <w:tc>
          <w:tcPr>
            <w:tcW w:w="4960" w:type="dxa"/>
            <w:vAlign w:val="bottom"/>
            <w:gridSpan w:val="8"/>
          </w:tcPr>
          <w:p>
            <w:pPr>
              <w:ind w:left="4120"/>
              <w:spacing w:after="0"/>
              <w:rPr>
                <w:sz w:val="20"/>
                <w:szCs w:val="20"/>
                <w:color w:val="auto"/>
              </w:rPr>
            </w:pPr>
            <w:r>
              <w:rPr>
                <w:rFonts w:ascii="Times New Roman" w:cs="Times New Roman" w:eastAsia="Times New Roman" w:hAnsi="Times New Roman"/>
                <w:sz w:val="14"/>
                <w:szCs w:val="14"/>
                <w:color w:val="auto"/>
              </w:rPr>
              <w:t>98</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4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0" w:right="31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186"/>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Exhibits and Certifications</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19*</w:t>
            </w:r>
          </w:p>
        </w:tc>
        <w:tc>
          <w:tcPr>
            <w:tcW w:w="91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Upbound Group, Inc. Insider Trading Policy, dated as of September 18, 2024.</w:t>
            </w:r>
          </w:p>
        </w:tc>
      </w:tr>
      <w:tr>
        <w:trPr>
          <w:trHeight w:val="24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43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Subsidiaries of Upbound Group, Inc.</w:t>
            </w:r>
          </w:p>
        </w:tc>
        <w:tc>
          <w:tcPr>
            <w:tcW w:w="4720" w:type="dxa"/>
            <w:vAlign w:val="bottom"/>
            <w:gridSpan w:val="4"/>
          </w:tcPr>
          <w:p>
            <w:pPr>
              <w:spacing w:after="0"/>
              <w:rPr>
                <w:sz w:val="21"/>
                <w:szCs w:val="21"/>
                <w:color w:val="auto"/>
              </w:rPr>
            </w:pPr>
          </w:p>
        </w:tc>
      </w:tr>
      <w:tr>
        <w:trPr>
          <w:trHeight w:val="24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18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Consent of Ernst &amp; Young LLP.</w:t>
            </w:r>
          </w:p>
        </w:tc>
        <w:tc>
          <w:tcPr>
            <w:tcW w:w="280" w:type="dxa"/>
            <w:vAlign w:val="bottom"/>
            <w:tcBorders>
              <w:top w:val="single" w:sz="8" w:color="0000FF"/>
            </w:tcBorders>
          </w:tcPr>
          <w:p>
            <w:pPr>
              <w:spacing w:after="0"/>
              <w:rPr>
                <w:sz w:val="21"/>
                <w:szCs w:val="21"/>
                <w:color w:val="auto"/>
              </w:rPr>
            </w:pPr>
          </w:p>
        </w:tc>
        <w:tc>
          <w:tcPr>
            <w:tcW w:w="7020" w:type="dxa"/>
            <w:vAlign w:val="bottom"/>
            <w:gridSpan w:val="5"/>
          </w:tcPr>
          <w:p>
            <w:pPr>
              <w:spacing w:after="0"/>
              <w:rPr>
                <w:sz w:val="21"/>
                <w:szCs w:val="21"/>
                <w:color w:val="auto"/>
              </w:rPr>
            </w:pPr>
          </w:p>
        </w:tc>
      </w:tr>
      <w:tr>
        <w:trPr>
          <w:trHeight w:val="24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9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pursuant to Rule 13a-14(a) of the Securities Exchange Act of 1934 implementing Section 302 of the Sarbanes-Oxley Act of 2002 by Mitchell Fadel</w:t>
            </w:r>
          </w:p>
        </w:tc>
      </w:tr>
      <w:tr>
        <w:trPr>
          <w:trHeight w:val="24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9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pursuant to Rule 13a-14(a) of the Securities Exchange Act of 1934 implementing Section 302 of the Sarbanes-Oxley Act of 2002 by Fahmi Karam</w:t>
            </w:r>
          </w:p>
        </w:tc>
        <w:tc>
          <w:tcPr>
            <w:tcW w:w="40" w:type="dxa"/>
            <w:vAlign w:val="bottom"/>
          </w:tcPr>
          <w:p>
            <w:pPr>
              <w:spacing w:after="0"/>
              <w:rPr>
                <w:sz w:val="21"/>
                <w:szCs w:val="21"/>
                <w:color w:val="auto"/>
              </w:rPr>
            </w:pPr>
          </w:p>
        </w:tc>
      </w:tr>
      <w:tr>
        <w:trPr>
          <w:trHeight w:val="24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1560" w:type="dxa"/>
            <w:vAlign w:val="bottom"/>
          </w:tcPr>
          <w:p>
            <w:pPr>
              <w:spacing w:after="0"/>
              <w:rPr>
                <w:sz w:val="20"/>
                <w:szCs w:val="20"/>
                <w:color w:val="auto"/>
              </w:rPr>
            </w:pPr>
            <w:r>
              <w:rPr>
                <w:rFonts w:ascii="Times New Roman" w:cs="Times New Roman" w:eastAsia="Times New Roman" w:hAnsi="Times New Roman"/>
                <w:sz w:val="14"/>
                <w:szCs w:val="14"/>
                <w:color w:val="0000FF"/>
                <w:w w:val="99"/>
              </w:rPr>
              <w:t>Certification pursuant to 18</w:t>
            </w:r>
          </w:p>
        </w:tc>
        <w:tc>
          <w:tcPr>
            <w:tcW w:w="754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0000FF"/>
              </w:rPr>
              <w:t>U.S.C. Section 1350 as adopted pursuant to Section 906 of the Sarbanes-Oxley Act of 2002 by Mitchell Fadel</w:t>
            </w:r>
          </w:p>
        </w:tc>
      </w:tr>
      <w:tr>
        <w:trPr>
          <w:trHeight w:val="24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15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Certification pursuant to 18</w:t>
            </w:r>
          </w:p>
        </w:tc>
        <w:tc>
          <w:tcPr>
            <w:tcW w:w="620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4"/>
                <w:szCs w:val="14"/>
                <w:color w:val="0000FF"/>
              </w:rPr>
              <w:t>U.S.C. Section 1350 as adopted pursuant to Section 906 of the Sarbanes-Oxley Act of 2002 by Fahmi Karam</w:t>
            </w:r>
          </w:p>
        </w:tc>
        <w:tc>
          <w:tcPr>
            <w:tcW w:w="40" w:type="dxa"/>
            <w:vAlign w:val="bottom"/>
            <w:tcBorders>
              <w:top w:val="single" w:sz="8" w:color="0000FF"/>
            </w:tcBorders>
          </w:tcPr>
          <w:p>
            <w:pPr>
              <w:spacing w:after="0"/>
              <w:rPr>
                <w:sz w:val="21"/>
                <w:szCs w:val="21"/>
                <w:color w:val="auto"/>
              </w:rPr>
            </w:pPr>
          </w:p>
        </w:tc>
        <w:tc>
          <w:tcPr>
            <w:tcW w:w="1300" w:type="dxa"/>
            <w:vAlign w:val="bottom"/>
            <w:gridSpan w:val="2"/>
          </w:tcPr>
          <w:p>
            <w:pPr>
              <w:spacing w:after="0"/>
              <w:rPr>
                <w:sz w:val="21"/>
                <w:szCs w:val="21"/>
                <w:color w:val="auto"/>
              </w:rPr>
            </w:pPr>
          </w:p>
        </w:tc>
      </w:tr>
    </w:tbl>
    <w:p>
      <w:pPr>
        <w:spacing w:after="0" w:line="102" w:lineRule="exact"/>
        <w:rPr>
          <w:sz w:val="20"/>
          <w:szCs w:val="20"/>
          <w:color w:val="auto"/>
        </w:rPr>
      </w:pPr>
    </w:p>
    <w:p>
      <w:pPr>
        <w:ind w:left="1460" w:hanging="810"/>
        <w:spacing w:after="0" w:line="239" w:lineRule="auto"/>
        <w:tabs>
          <w:tab w:leader="none" w:pos="1460" w:val="left"/>
        </w:tabs>
        <w:numPr>
          <w:ilvl w:val="0"/>
          <w:numId w:val="38"/>
        </w:numPr>
        <w:rPr>
          <w:rFonts w:ascii="Times New Roman" w:cs="Times New Roman" w:eastAsia="Times New Roman" w:hAnsi="Times New Roman"/>
          <w:sz w:val="14"/>
          <w:szCs w:val="14"/>
          <w:u w:val="single" w:color="auto"/>
          <w:color w:val="0000FF"/>
        </w:rPr>
      </w:pPr>
      <w:hyperlink r:id="rId180">
        <w:r>
          <w:rPr>
            <w:rFonts w:ascii="Times New Roman" w:cs="Times New Roman" w:eastAsia="Times New Roman" w:hAnsi="Times New Roman"/>
            <w:sz w:val="14"/>
            <w:szCs w:val="14"/>
            <w:u w:val="single" w:color="auto"/>
            <w:color w:val="0000FF"/>
          </w:rPr>
          <w:t>Clawback Policy for Recovery of Erroneously Awarded Incentive Base Compensation (incorporated herein by reference to Exhibit 97 to the registrant's Annual Report on</w:t>
        </w:r>
      </w:hyperlink>
      <w:r>
        <w:rPr>
          <w:rFonts w:ascii="Times New Roman" w:cs="Times New Roman" w:eastAsia="Times New Roman" w:hAnsi="Times New Roman"/>
          <w:sz w:val="14"/>
          <w:szCs w:val="14"/>
          <w:u w:val="single" w:color="auto"/>
          <w:color w:val="0000FF"/>
        </w:rPr>
        <w:t xml:space="preserve"> </w:t>
      </w:r>
      <w:hyperlink r:id="rId180">
        <w:r>
          <w:rPr>
            <w:rFonts w:ascii="Times New Roman" w:cs="Times New Roman" w:eastAsia="Times New Roman" w:hAnsi="Times New Roman"/>
            <w:sz w:val="14"/>
            <w:szCs w:val="14"/>
            <w:u w:val="single" w:color="auto"/>
            <w:color w:val="0000FF"/>
          </w:rPr>
          <w:t>Form 10-K for the year ended December 31, 2023.)</w:t>
        </w:r>
      </w:hyperlink>
    </w:p>
    <w:p>
      <w:pPr>
        <w:spacing w:after="0" w:line="93" w:lineRule="exact"/>
        <w:rPr>
          <w:rFonts w:ascii="Times New Roman" w:cs="Times New Roman" w:eastAsia="Times New Roman" w:hAnsi="Times New Roman"/>
          <w:sz w:val="14"/>
          <w:szCs w:val="14"/>
          <w:color w:val="auto"/>
        </w:rPr>
      </w:pPr>
    </w:p>
    <w:tbl>
      <w:tblPr>
        <w:tblLayout w:type="fixed"/>
        <w:tblInd w:w="420" w:type="dxa"/>
        <w:tblCellMar>
          <w:top w:w="0" w:type="dxa"/>
          <w:left w:w="0" w:type="dxa"/>
          <w:bottom w:w="0" w:type="dxa"/>
          <w:right w:w="0" w:type="dxa"/>
        </w:tblCellMar>
      </w:tblPr>
      <w:tr>
        <w:trPr>
          <w:trHeight w:val="184"/>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101.INS*</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files because its XBRL tags are embedded within the inline XBRL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101.SCH*</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101.CAL*</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101.DEF*</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101.LAB*</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101.PRE*</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104*</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 contained in Exhibit 101)</w:t>
            </w:r>
          </w:p>
        </w:tc>
      </w:tr>
    </w:tbl>
    <w:p>
      <w:pPr>
        <w:spacing w:after="0" w:line="89" w:lineRule="exact"/>
        <w:rPr>
          <w:rFonts w:ascii="Times New Roman" w:cs="Times New Roman" w:eastAsia="Times New Roman" w:hAnsi="Times New Roman"/>
          <w:sz w:val="14"/>
          <w:szCs w:val="14"/>
          <w:color w:val="auto"/>
        </w:rPr>
      </w:pPr>
    </w:p>
    <w:p>
      <w:pPr>
        <w:ind w:left="340" w:hanging="321"/>
        <w:spacing w:after="0"/>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200" w:lineRule="exact"/>
        <w:rPr>
          <w:rFonts w:ascii="Times New Roman" w:cs="Times New Roman" w:eastAsia="Times New Roman" w:hAnsi="Times New Roman"/>
          <w:sz w:val="14"/>
          <w:szCs w:val="14"/>
          <w:color w:val="auto"/>
        </w:rPr>
      </w:pPr>
    </w:p>
    <w:p>
      <w:pPr>
        <w:spacing w:after="0" w:line="205" w:lineRule="exact"/>
        <w:rPr>
          <w:rFonts w:ascii="Times New Roman" w:cs="Times New Roman" w:eastAsia="Times New Roman" w:hAnsi="Times New Roman"/>
          <w:sz w:val="14"/>
          <w:szCs w:val="14"/>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tab/>
        <w:t>Form 10-K Summary</w:t>
      </w:r>
      <w:r>
        <w:rPr>
          <w:rFonts w:ascii="Times New Roman" w:cs="Times New Roman" w:eastAsia="Times New Roman" w:hAnsi="Times New Roman"/>
          <w:sz w:val="14"/>
          <w:szCs w:val="14"/>
          <w:b w:val="1"/>
          <w:bCs w:val="1"/>
          <w:i w:val="1"/>
          <w:iCs w:val="1"/>
          <w:color w:val="auto"/>
        </w:rPr>
        <w:t>.</w:t>
      </w:r>
    </w:p>
    <w:p>
      <w:pPr>
        <w:spacing w:after="0" w:line="96"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rFonts w:ascii="Times New Roman" w:cs="Times New Roman" w:eastAsia="Times New Roman" w:hAnsi="Times New Roman"/>
          <w:sz w:val="14"/>
          <w:szCs w:val="14"/>
          <w:color w:val="auto"/>
        </w:rPr>
      </w:pPr>
    </w:p>
    <w:p>
      <w:pPr>
        <w:spacing w:after="0" w:line="33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7" w:right="33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UPBOUND GROUP, INC.</w:t>
      </w:r>
    </w:p>
    <w:p>
      <w:pPr>
        <w:spacing w:after="0" w:line="234" w:lineRule="exact"/>
        <w:rPr>
          <w:sz w:val="20"/>
          <w:szCs w:val="20"/>
          <w:color w:val="auto"/>
        </w:rPr>
      </w:pPr>
    </w:p>
    <w:tbl>
      <w:tblPr>
        <w:tblLayout w:type="fixed"/>
        <w:tblInd w:w="6860" w:type="dxa"/>
        <w:tblCellMar>
          <w:top w:w="0" w:type="dxa"/>
          <w:left w:w="0" w:type="dxa"/>
          <w:bottom w:w="0" w:type="dxa"/>
          <w:right w:w="0" w:type="dxa"/>
        </w:tblCellMar>
      </w:tblPr>
      <w:tr>
        <w:trPr>
          <w:trHeight w:val="19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8"/>
              </w:rPr>
              <w:t>By:</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w:t>
            </w:r>
            <w:r>
              <w:rPr>
                <w:rFonts w:ascii="Times New Roman" w:cs="Times New Roman" w:eastAsia="Times New Roman" w:hAnsi="Times New Roman"/>
                <w:sz w:val="11"/>
                <w:szCs w:val="11"/>
                <w:color w:val="auto"/>
              </w:rPr>
              <w:t>ITCHELL</w:t>
            </w:r>
            <w:r>
              <w:rPr>
                <w:rFonts w:ascii="Times New Roman" w:cs="Times New Roman" w:eastAsia="Times New Roman" w:hAnsi="Times New Roman"/>
                <w:sz w:val="14"/>
                <w:szCs w:val="14"/>
                <w:color w:val="auto"/>
              </w:rPr>
              <w:t xml:space="preserve"> E</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F</w:t>
            </w:r>
            <w:r>
              <w:rPr>
                <w:rFonts w:ascii="Times New Roman" w:cs="Times New Roman" w:eastAsia="Times New Roman" w:hAnsi="Times New Roman"/>
                <w:sz w:val="11"/>
                <w:szCs w:val="11"/>
                <w:color w:val="auto"/>
              </w:rPr>
              <w:t>ADEL</w:t>
            </w:r>
          </w:p>
        </w:tc>
      </w:tr>
      <w:tr>
        <w:trPr>
          <w:trHeight w:val="170"/>
        </w:trPr>
        <w:tc>
          <w:tcPr>
            <w:tcW w:w="220" w:type="dxa"/>
            <w:vAlign w:val="bottom"/>
          </w:tcPr>
          <w:p>
            <w:pPr>
              <w:spacing w:after="0"/>
              <w:rPr>
                <w:sz w:val="14"/>
                <w:szCs w:val="1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Mitchell E. Fadel</w:t>
            </w:r>
          </w:p>
        </w:tc>
      </w:tr>
      <w:tr>
        <w:trPr>
          <w:trHeight w:val="186"/>
        </w:trPr>
        <w:tc>
          <w:tcPr>
            <w:tcW w:w="220" w:type="dxa"/>
            <w:vAlign w:val="bottom"/>
          </w:tcPr>
          <w:p>
            <w:pPr>
              <w:spacing w:after="0"/>
              <w:rPr>
                <w:sz w:val="16"/>
                <w:szCs w:val="16"/>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25,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and in the capacities and on the date indicated.</w:t>
      </w:r>
    </w:p>
    <w:p>
      <w:pPr>
        <w:spacing w:after="0" w:line="121" w:lineRule="exact"/>
        <w:rPr>
          <w:sz w:val="20"/>
          <w:szCs w:val="20"/>
          <w:color w:val="auto"/>
        </w:rPr>
      </w:pPr>
    </w:p>
    <w:p>
      <w:pPr>
        <w:ind w:left="2120"/>
        <w:spacing w:after="0"/>
        <w:tabs>
          <w:tab w:leader="none" w:pos="6800" w:val="left"/>
          <w:tab w:leader="none" w:pos="10080" w:val="left"/>
        </w:tabs>
        <w:rPr>
          <w:sz w:val="20"/>
          <w:szCs w:val="20"/>
          <w:color w:val="auto"/>
        </w:rPr>
      </w:pP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11"/>
          <w:szCs w:val="11"/>
          <w:b w:val="1"/>
          <w:bCs w:val="1"/>
          <w:color w:val="auto"/>
        </w:rPr>
        <w:t>Date</w:t>
      </w:r>
    </w:p>
    <w:p>
      <w:pPr>
        <w:sectPr>
          <w:pgSz w:w="11900" w:h="16838" w:orient="portrait"/>
          <w:cols w:equalWidth="0" w:num="1">
            <w:col w:w="11240"/>
          </w:cols>
          <w:pgMar w:left="300" w:top="1269" w:right="359"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/s/</w:t>
            </w:r>
          </w:p>
        </w:tc>
        <w:tc>
          <w:tcPr>
            <w:tcW w:w="2840" w:type="dxa"/>
            <w:vAlign w:val="bottom"/>
            <w:tcBorders>
              <w:bottom w:val="single" w:sz="8" w:color="auto"/>
            </w:tcBorders>
            <w:gridSpan w:val="2"/>
          </w:tcPr>
          <w:p>
            <w:pPr>
              <w:jc w:val="center"/>
              <w:ind w:right="1519"/>
              <w:spacing w:after="0"/>
              <w:rPr>
                <w:sz w:val="20"/>
                <w:szCs w:val="20"/>
                <w:color w:val="auto"/>
              </w:rPr>
            </w:pPr>
            <w:r>
              <w:rPr>
                <w:rFonts w:ascii="Times New Roman" w:cs="Times New Roman" w:eastAsia="Times New Roman" w:hAnsi="Times New Roman"/>
                <w:sz w:val="14"/>
                <w:szCs w:val="14"/>
                <w:color w:val="auto"/>
              </w:rPr>
              <w:t>M</w:t>
            </w:r>
            <w:r>
              <w:rPr>
                <w:rFonts w:ascii="Times New Roman" w:cs="Times New Roman" w:eastAsia="Times New Roman" w:hAnsi="Times New Roman"/>
                <w:sz w:val="11"/>
                <w:szCs w:val="11"/>
                <w:color w:val="auto"/>
              </w:rPr>
              <w:t>ITCHELL</w:t>
            </w:r>
            <w:r>
              <w:rPr>
                <w:rFonts w:ascii="Times New Roman" w:cs="Times New Roman" w:eastAsia="Times New Roman" w:hAnsi="Times New Roman"/>
                <w:sz w:val="14"/>
                <w:szCs w:val="14"/>
                <w:color w:val="auto"/>
              </w:rPr>
              <w:t xml:space="preserve"> E</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F</w:t>
            </w:r>
            <w:r>
              <w:rPr>
                <w:rFonts w:ascii="Times New Roman" w:cs="Times New Roman" w:eastAsia="Times New Roman" w:hAnsi="Times New Roman"/>
                <w:sz w:val="11"/>
                <w:szCs w:val="11"/>
                <w:color w:val="auto"/>
              </w:rPr>
              <w:t>ADEL</w:t>
            </w:r>
          </w:p>
        </w:tc>
      </w:tr>
      <w:tr>
        <w:trPr>
          <w:trHeight w:val="180"/>
        </w:trPr>
        <w:tc>
          <w:tcPr>
            <w:tcW w:w="47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Mitchell E. Fadel</w:t>
            </w:r>
          </w:p>
        </w:tc>
      </w:tr>
      <w:tr>
        <w:trPr>
          <w:trHeight w:val="479"/>
        </w:trPr>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2840" w:type="dxa"/>
            <w:vAlign w:val="bottom"/>
            <w:tcBorders>
              <w:bottom w:val="single" w:sz="8" w:color="auto"/>
            </w:tcBorders>
            <w:gridSpan w:val="2"/>
          </w:tcPr>
          <w:p>
            <w:pPr>
              <w:jc w:val="center"/>
              <w:ind w:right="1539"/>
              <w:spacing w:after="0"/>
              <w:rPr>
                <w:sz w:val="20"/>
                <w:szCs w:val="20"/>
                <w:color w:val="auto"/>
              </w:rPr>
            </w:pPr>
            <w:r>
              <w:rPr>
                <w:rFonts w:ascii="Times New Roman" w:cs="Times New Roman" w:eastAsia="Times New Roman" w:hAnsi="Times New Roman"/>
                <w:sz w:val="11"/>
                <w:szCs w:val="11"/>
                <w:color w:val="auto"/>
              </w:rPr>
              <w:t>FAHMI W. KARAM</w:t>
            </w:r>
          </w:p>
        </w:tc>
      </w:tr>
      <w:tr>
        <w:trPr>
          <w:trHeight w:val="187"/>
        </w:trPr>
        <w:tc>
          <w:tcPr>
            <w:tcW w:w="47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Fahmi W. Karam</w:t>
            </w:r>
          </w:p>
        </w:tc>
      </w:tr>
      <w:tr>
        <w:trPr>
          <w:trHeight w:val="472"/>
        </w:trPr>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2840" w:type="dxa"/>
            <w:vAlign w:val="bottom"/>
            <w:tcBorders>
              <w:bottom w:val="single" w:sz="8" w:color="auto"/>
            </w:tcBorders>
            <w:gridSpan w:val="2"/>
          </w:tcPr>
          <w:p>
            <w:pPr>
              <w:jc w:val="center"/>
              <w:ind w:right="1519"/>
              <w:spacing w:after="0"/>
              <w:rPr>
                <w:sz w:val="20"/>
                <w:szCs w:val="20"/>
                <w:color w:val="auto"/>
              </w:rPr>
            </w:pPr>
            <w:r>
              <w:rPr>
                <w:rFonts w:ascii="Times New Roman" w:cs="Times New Roman" w:eastAsia="Times New Roman" w:hAnsi="Times New Roman"/>
                <w:sz w:val="14"/>
                <w:szCs w:val="14"/>
                <w:color w:val="auto"/>
              </w:rPr>
              <w:t>J</w:t>
            </w:r>
            <w:r>
              <w:rPr>
                <w:rFonts w:ascii="Times New Roman" w:cs="Times New Roman" w:eastAsia="Times New Roman" w:hAnsi="Times New Roman"/>
                <w:sz w:val="11"/>
                <w:szCs w:val="11"/>
                <w:color w:val="auto"/>
              </w:rPr>
              <w:t>EFFREY</w:t>
            </w:r>
            <w:r>
              <w:rPr>
                <w:rFonts w:ascii="Times New Roman" w:cs="Times New Roman" w:eastAsia="Times New Roman" w:hAnsi="Times New Roman"/>
                <w:sz w:val="14"/>
                <w:szCs w:val="14"/>
                <w:color w:val="auto"/>
              </w:rPr>
              <w:t xml:space="preserve"> J</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11"/>
                <w:szCs w:val="11"/>
                <w:color w:val="auto"/>
              </w:rPr>
              <w:t>ROWN</w:t>
            </w:r>
          </w:p>
        </w:tc>
      </w:tr>
      <w:tr>
        <w:trPr>
          <w:trHeight w:val="180"/>
        </w:trPr>
        <w:tc>
          <w:tcPr>
            <w:tcW w:w="1860" w:type="dxa"/>
            <w:vAlign w:val="bottom"/>
          </w:tcPr>
          <w:p>
            <w:pPr>
              <w:spacing w:after="0"/>
              <w:rPr>
                <w:sz w:val="15"/>
                <w:szCs w:val="15"/>
                <w:color w:val="auto"/>
              </w:rPr>
            </w:pPr>
          </w:p>
        </w:tc>
        <w:tc>
          <w:tcPr>
            <w:tcW w:w="2840" w:type="dxa"/>
            <w:vAlign w:val="bottom"/>
            <w:gridSpan w:val="2"/>
          </w:tcPr>
          <w:p>
            <w:pPr>
              <w:jc w:val="center"/>
              <w:ind w:right="1799"/>
              <w:spacing w:after="0"/>
              <w:rPr>
                <w:sz w:val="20"/>
                <w:szCs w:val="20"/>
                <w:color w:val="auto"/>
              </w:rPr>
            </w:pPr>
            <w:r>
              <w:rPr>
                <w:rFonts w:ascii="Times New Roman" w:cs="Times New Roman" w:eastAsia="Times New Roman" w:hAnsi="Times New Roman"/>
                <w:sz w:val="14"/>
                <w:szCs w:val="14"/>
                <w:color w:val="auto"/>
              </w:rPr>
              <w:t>Jeffrey J. Brown</w:t>
            </w:r>
          </w:p>
        </w:tc>
      </w:tr>
      <w:tr>
        <w:trPr>
          <w:trHeight w:val="352"/>
        </w:trPr>
        <w:tc>
          <w:tcPr>
            <w:tcW w:w="2040" w:type="dxa"/>
            <w:vAlign w:val="bottom"/>
            <w:tcBorders>
              <w:bottom w:val="single" w:sz="8" w:color="auto"/>
            </w:tcBorders>
            <w:gridSpan w:val="2"/>
          </w:tcPr>
          <w:p>
            <w:pPr>
              <w:ind w:left="1800"/>
              <w:spacing w:after="0"/>
              <w:rPr>
                <w:sz w:val="20"/>
                <w:szCs w:val="20"/>
                <w:color w:val="auto"/>
              </w:rPr>
            </w:pPr>
            <w:r>
              <w:rPr>
                <w:rFonts w:ascii="Times New Roman" w:cs="Times New Roman" w:eastAsia="Times New Roman" w:hAnsi="Times New Roman"/>
                <w:sz w:val="14"/>
                <w:szCs w:val="14"/>
                <w:color w:val="auto"/>
              </w:rPr>
              <w:t>/s/</w:t>
            </w:r>
          </w:p>
        </w:tc>
        <w:tc>
          <w:tcPr>
            <w:tcW w:w="2660" w:type="dxa"/>
            <w:vAlign w:val="bottom"/>
            <w:tcBorders>
              <w:bottom w:val="single" w:sz="8" w:color="auto"/>
            </w:tcBorders>
          </w:tcPr>
          <w:p>
            <w:pPr>
              <w:jc w:val="center"/>
              <w:ind w:right="1719"/>
              <w:spacing w:after="0"/>
              <w:rPr>
                <w:sz w:val="20"/>
                <w:szCs w:val="20"/>
                <w:color w:val="auto"/>
              </w:rPr>
            </w:pPr>
            <w:r>
              <w:rPr>
                <w:rFonts w:ascii="Times New Roman" w:cs="Times New Roman" w:eastAsia="Times New Roman" w:hAnsi="Times New Roman"/>
                <w:sz w:val="11"/>
                <w:szCs w:val="11"/>
                <w:color w:val="auto"/>
              </w:rPr>
              <w:t>HAROLD LEWIS</w:t>
            </w:r>
          </w:p>
        </w:tc>
      </w:tr>
      <w:tr>
        <w:trPr>
          <w:trHeight w:val="180"/>
        </w:trPr>
        <w:tc>
          <w:tcPr>
            <w:tcW w:w="1860" w:type="dxa"/>
            <w:vAlign w:val="bottom"/>
          </w:tcPr>
          <w:p>
            <w:pPr>
              <w:spacing w:after="0"/>
              <w:rPr>
                <w:sz w:val="15"/>
                <w:szCs w:val="15"/>
                <w:color w:val="auto"/>
              </w:rPr>
            </w:pPr>
          </w:p>
        </w:tc>
        <w:tc>
          <w:tcPr>
            <w:tcW w:w="2840" w:type="dxa"/>
            <w:vAlign w:val="bottom"/>
            <w:gridSpan w:val="2"/>
          </w:tcPr>
          <w:p>
            <w:pPr>
              <w:jc w:val="center"/>
              <w:ind w:right="1799"/>
              <w:spacing w:after="0"/>
              <w:rPr>
                <w:sz w:val="20"/>
                <w:szCs w:val="20"/>
                <w:color w:val="auto"/>
              </w:rPr>
            </w:pPr>
            <w:r>
              <w:rPr>
                <w:rFonts w:ascii="Times New Roman" w:cs="Times New Roman" w:eastAsia="Times New Roman" w:hAnsi="Times New Roman"/>
                <w:sz w:val="14"/>
                <w:szCs w:val="14"/>
                <w:color w:val="auto"/>
              </w:rPr>
              <w:t>Harold Lewis</w:t>
            </w:r>
          </w:p>
        </w:tc>
      </w:tr>
      <w:tr>
        <w:trPr>
          <w:trHeight w:val="352"/>
        </w:trPr>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2840" w:type="dxa"/>
            <w:vAlign w:val="bottom"/>
            <w:tcBorders>
              <w:bottom w:val="single" w:sz="8" w:color="auto"/>
            </w:tcBorders>
            <w:gridSpan w:val="2"/>
          </w:tcPr>
          <w:p>
            <w:pPr>
              <w:jc w:val="center"/>
              <w:ind w:right="1519"/>
              <w:spacing w:after="0"/>
              <w:rPr>
                <w:sz w:val="20"/>
                <w:szCs w:val="20"/>
                <w:color w:val="auto"/>
              </w:rPr>
            </w:pPr>
            <w:r>
              <w:rPr>
                <w:rFonts w:ascii="Times New Roman" w:cs="Times New Roman" w:eastAsia="Times New Roman" w:hAnsi="Times New Roman"/>
                <w:sz w:val="11"/>
                <w:szCs w:val="11"/>
                <w:color w:val="auto"/>
              </w:rPr>
              <w:t>GLENN P. MARINO</w:t>
            </w:r>
          </w:p>
        </w:tc>
      </w:tr>
      <w:tr>
        <w:trPr>
          <w:trHeight w:val="180"/>
        </w:trPr>
        <w:tc>
          <w:tcPr>
            <w:tcW w:w="1860" w:type="dxa"/>
            <w:vAlign w:val="bottom"/>
          </w:tcPr>
          <w:p>
            <w:pPr>
              <w:spacing w:after="0"/>
              <w:rPr>
                <w:sz w:val="15"/>
                <w:szCs w:val="15"/>
                <w:color w:val="auto"/>
              </w:rPr>
            </w:pPr>
          </w:p>
        </w:tc>
        <w:tc>
          <w:tcPr>
            <w:tcW w:w="2840" w:type="dxa"/>
            <w:vAlign w:val="bottom"/>
            <w:gridSpan w:val="2"/>
          </w:tcPr>
          <w:p>
            <w:pPr>
              <w:jc w:val="center"/>
              <w:ind w:right="1799"/>
              <w:spacing w:after="0"/>
              <w:rPr>
                <w:sz w:val="20"/>
                <w:szCs w:val="20"/>
                <w:color w:val="auto"/>
              </w:rPr>
            </w:pPr>
            <w:r>
              <w:rPr>
                <w:rFonts w:ascii="Times New Roman" w:cs="Times New Roman" w:eastAsia="Times New Roman" w:hAnsi="Times New Roman"/>
                <w:sz w:val="14"/>
                <w:szCs w:val="14"/>
                <w:color w:val="auto"/>
              </w:rPr>
              <w:t>Glenn P. Marino</w:t>
            </w:r>
          </w:p>
        </w:tc>
      </w:tr>
      <w:tr>
        <w:trPr>
          <w:trHeight w:val="352"/>
        </w:trPr>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2840" w:type="dxa"/>
            <w:vAlign w:val="bottom"/>
            <w:tcBorders>
              <w:bottom w:val="single" w:sz="8" w:color="auto"/>
            </w:tcBorders>
            <w:gridSpan w:val="2"/>
          </w:tcPr>
          <w:p>
            <w:pPr>
              <w:jc w:val="center"/>
              <w:ind w:right="1519"/>
              <w:spacing w:after="0"/>
              <w:rPr>
                <w:sz w:val="20"/>
                <w:szCs w:val="20"/>
                <w:color w:val="auto"/>
              </w:rPr>
            </w:pPr>
            <w:r>
              <w:rPr>
                <w:rFonts w:ascii="Times New Roman" w:cs="Times New Roman" w:eastAsia="Times New Roman" w:hAnsi="Times New Roman"/>
                <w:sz w:val="11"/>
                <w:szCs w:val="11"/>
                <w:color w:val="auto"/>
                <w:w w:val="99"/>
              </w:rPr>
              <w:t>CAROL A. MCFATE</w:t>
            </w:r>
          </w:p>
        </w:tc>
      </w:tr>
      <w:tr>
        <w:trPr>
          <w:trHeight w:val="180"/>
        </w:trPr>
        <w:tc>
          <w:tcPr>
            <w:tcW w:w="1860" w:type="dxa"/>
            <w:vAlign w:val="bottom"/>
          </w:tcPr>
          <w:p>
            <w:pPr>
              <w:spacing w:after="0"/>
              <w:rPr>
                <w:sz w:val="15"/>
                <w:szCs w:val="15"/>
                <w:color w:val="auto"/>
              </w:rPr>
            </w:pPr>
          </w:p>
        </w:tc>
        <w:tc>
          <w:tcPr>
            <w:tcW w:w="2840" w:type="dxa"/>
            <w:vAlign w:val="bottom"/>
            <w:gridSpan w:val="2"/>
          </w:tcPr>
          <w:p>
            <w:pPr>
              <w:jc w:val="center"/>
              <w:ind w:right="1799"/>
              <w:spacing w:after="0"/>
              <w:rPr>
                <w:sz w:val="20"/>
                <w:szCs w:val="20"/>
                <w:color w:val="auto"/>
              </w:rPr>
            </w:pPr>
            <w:r>
              <w:rPr>
                <w:rFonts w:ascii="Times New Roman" w:cs="Times New Roman" w:eastAsia="Times New Roman" w:hAnsi="Times New Roman"/>
                <w:sz w:val="14"/>
                <w:szCs w:val="14"/>
                <w:color w:val="auto"/>
                <w:w w:val="99"/>
              </w:rPr>
              <w:t>Carol A. McFate</w:t>
            </w:r>
          </w:p>
        </w:tc>
      </w:tr>
      <w:tr>
        <w:trPr>
          <w:trHeight w:val="352"/>
        </w:trPr>
        <w:tc>
          <w:tcPr>
            <w:tcW w:w="1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/s/</w:t>
            </w:r>
          </w:p>
        </w:tc>
        <w:tc>
          <w:tcPr>
            <w:tcW w:w="2840" w:type="dxa"/>
            <w:vAlign w:val="bottom"/>
            <w:tcBorders>
              <w:bottom w:val="single" w:sz="8" w:color="auto"/>
            </w:tcBorders>
            <w:gridSpan w:val="2"/>
          </w:tcPr>
          <w:p>
            <w:pPr>
              <w:jc w:val="center"/>
              <w:ind w:right="1559"/>
              <w:spacing w:after="0"/>
              <w:rPr>
                <w:sz w:val="20"/>
                <w:szCs w:val="20"/>
                <w:color w:val="auto"/>
              </w:rPr>
            </w:pPr>
            <w:r>
              <w:rPr>
                <w:rFonts w:ascii="Times New Roman" w:cs="Times New Roman" w:eastAsia="Times New Roman" w:hAnsi="Times New Roman"/>
                <w:sz w:val="11"/>
                <w:szCs w:val="11"/>
                <w:color w:val="auto"/>
              </w:rPr>
              <w:t>MOLLY LANGENSTEIN</w:t>
            </w:r>
          </w:p>
        </w:tc>
      </w:tr>
      <w:tr>
        <w:trPr>
          <w:trHeight w:val="180"/>
        </w:trPr>
        <w:tc>
          <w:tcPr>
            <w:tcW w:w="47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Molly Langenstein</w:t>
            </w:r>
          </w:p>
        </w:tc>
      </w:tr>
      <w:tr>
        <w:trPr>
          <w:trHeight w:val="352"/>
        </w:trPr>
        <w:tc>
          <w:tcPr>
            <w:tcW w:w="1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2660" w:type="dxa"/>
            <w:vAlign w:val="bottom"/>
            <w:tcBorders>
              <w:bottom w:val="single" w:sz="8" w:color="auto"/>
            </w:tcBorders>
          </w:tcPr>
          <w:p>
            <w:pPr>
              <w:jc w:val="center"/>
              <w:ind w:right="1719"/>
              <w:spacing w:after="0"/>
              <w:rPr>
                <w:sz w:val="20"/>
                <w:szCs w:val="20"/>
                <w:color w:val="auto"/>
              </w:rPr>
            </w:pPr>
            <w:r>
              <w:rPr>
                <w:rFonts w:ascii="Times New Roman" w:cs="Times New Roman" w:eastAsia="Times New Roman" w:hAnsi="Times New Roman"/>
                <w:sz w:val="11"/>
                <w:szCs w:val="11"/>
                <w:color w:val="auto"/>
              </w:rPr>
              <w:t>CHARU JAIN</w:t>
            </w:r>
          </w:p>
        </w:tc>
      </w:tr>
      <w:tr>
        <w:trPr>
          <w:trHeight w:val="180"/>
        </w:trPr>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tcPr>
          <w:p>
            <w:pPr>
              <w:jc w:val="center"/>
              <w:ind w:right="1979"/>
              <w:spacing w:after="0"/>
              <w:rPr>
                <w:sz w:val="20"/>
                <w:szCs w:val="20"/>
                <w:color w:val="auto"/>
              </w:rPr>
            </w:pPr>
            <w:r>
              <w:rPr>
                <w:rFonts w:ascii="Times New Roman" w:cs="Times New Roman" w:eastAsia="Times New Roman" w:hAnsi="Times New Roman"/>
                <w:sz w:val="14"/>
                <w:szCs w:val="14"/>
                <w:color w:val="auto"/>
              </w:rPr>
              <w:t>Charu Jain</w:t>
            </w: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6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184"/>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60" w:type="dxa"/>
            <w:vAlign w:val="bottom"/>
          </w:tcPr>
          <w:p>
            <w:pPr>
              <w:spacing w:after="0"/>
              <w:rPr>
                <w:sz w:val="16"/>
                <w:szCs w:val="16"/>
                <w:color w:val="auto"/>
              </w:rPr>
            </w:pPr>
          </w:p>
        </w:tc>
      </w:tr>
      <w:tr>
        <w:trPr>
          <w:trHeight w:val="495"/>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9"/>
              </w:rPr>
              <w:t>EVP, Chief Financial Officer (Principal Financial and</w:t>
            </w:r>
          </w:p>
        </w:tc>
        <w:tc>
          <w:tcPr>
            <w:tcW w:w="16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184"/>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rPr>
              <w:t>Accounting Officer)</w:t>
            </w:r>
          </w:p>
        </w:tc>
        <w:tc>
          <w:tcPr>
            <w:tcW w:w="1660" w:type="dxa"/>
            <w:vAlign w:val="bottom"/>
          </w:tcPr>
          <w:p>
            <w:pPr>
              <w:spacing w:after="0"/>
              <w:rPr>
                <w:sz w:val="16"/>
                <w:szCs w:val="16"/>
                <w:color w:val="auto"/>
              </w:rPr>
            </w:pPr>
          </w:p>
        </w:tc>
      </w:tr>
      <w:tr>
        <w:trPr>
          <w:trHeight w:val="548"/>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552"/>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552"/>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552"/>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552"/>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552"/>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8"/>
              </w:rPr>
              <w:t>February 25, 2025</w:t>
            </w:r>
          </w:p>
        </w:tc>
      </w:tr>
    </w:tbl>
    <w:p>
      <w:pPr>
        <w:spacing w:after="0" w:line="405" w:lineRule="exact"/>
        <w:rPr>
          <w:sz w:val="20"/>
          <w:szCs w:val="20"/>
          <w:color w:val="auto"/>
        </w:rPr>
      </w:pPr>
    </w:p>
    <w:p>
      <w:pPr>
        <w:sectPr>
          <w:pgSz w:w="11900" w:h="16838" w:orient="portrait"/>
          <w:cols w:equalWidth="0" w:num="2">
            <w:col w:w="4700" w:space="720"/>
            <w:col w:w="5820"/>
          </w:cols>
          <w:pgMar w:left="300" w:top="1269" w:right="35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1240"/>
          </w:cols>
          <w:pgMar w:left="300" w:top="1269" w:right="359" w:bottom="1440" w:gutter="0" w:footer="0" w:header="0"/>
          <w:type w:val="continuous"/>
        </w:sectPr>
      </w:pPr>
    </w:p>
    <w:bookmarkStart w:id="102" w:name="page103"/>
    <w:bookmarkEnd w:id="102"/>
    <w:tbl>
      <w:tblPr>
        <w:tblLayout w:type="fixed"/>
        <w:tblInd w:w="1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Exhibit 10.18</w:t>
            </w:r>
          </w:p>
        </w:tc>
      </w:tr>
      <w:tr>
        <w:trPr>
          <w:trHeight w:val="677"/>
        </w:trPr>
        <w:tc>
          <w:tcPr>
            <w:tcW w:w="4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Established December 4, 2024</w:t>
            </w:r>
          </w:p>
        </w:tc>
      </w:tr>
      <w:tr>
        <w:trPr>
          <w:trHeight w:val="435"/>
        </w:trPr>
        <w:tc>
          <w:tcPr>
            <w:tcW w:w="480" w:type="dxa"/>
            <w:vAlign w:val="bottom"/>
          </w:tcPr>
          <w:p>
            <w:pPr>
              <w:spacing w:after="0"/>
              <w:rPr>
                <w:sz w:val="24"/>
                <w:szCs w:val="24"/>
                <w:color w:val="auto"/>
              </w:rPr>
            </w:pPr>
          </w:p>
        </w:tc>
        <w:tc>
          <w:tcPr>
            <w:tcW w:w="10820" w:type="dxa"/>
            <w:vAlign w:val="bottom"/>
            <w:gridSpan w:val="4"/>
          </w:tcPr>
          <w:p>
            <w:pPr>
              <w:jc w:val="right"/>
              <w:ind w:right="3049"/>
              <w:spacing w:after="0"/>
              <w:rPr>
                <w:sz w:val="20"/>
                <w:szCs w:val="20"/>
                <w:color w:val="auto"/>
              </w:rPr>
            </w:pPr>
            <w:r>
              <w:rPr>
                <w:rFonts w:ascii="Times New Roman" w:cs="Times New Roman" w:eastAsia="Times New Roman" w:hAnsi="Times New Roman"/>
                <w:sz w:val="17"/>
                <w:szCs w:val="17"/>
                <w:b w:val="1"/>
                <w:bCs w:val="1"/>
                <w:color w:val="auto"/>
              </w:rPr>
              <w:t>Upbound Group, Inc. Board Compensation Overview – 2025 Program</w:t>
            </w:r>
          </w:p>
        </w:tc>
      </w:tr>
      <w:tr>
        <w:trPr>
          <w:trHeight w:val="226"/>
        </w:trPr>
        <w:tc>
          <w:tcPr>
            <w:tcW w:w="48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2"/>
          </w:tcPr>
          <w:p>
            <w:pPr>
              <w:spacing w:after="0"/>
              <w:rPr>
                <w:sz w:val="19"/>
                <w:szCs w:val="19"/>
                <w:color w:val="auto"/>
              </w:rPr>
            </w:pPr>
          </w:p>
        </w:tc>
      </w:tr>
      <w:tr>
        <w:trPr>
          <w:trHeight w:val="171"/>
        </w:trPr>
        <w:tc>
          <w:tcPr>
            <w:tcW w:w="480" w:type="dxa"/>
            <w:vAlign w:val="bottom"/>
            <w:tcBorders>
              <w:left w:val="single" w:sz="8" w:color="auto"/>
              <w:bottom w:val="single" w:sz="8" w:color="auto"/>
              <w:right w:val="single" w:sz="8" w:color="auto"/>
            </w:tcBorders>
          </w:tcPr>
          <w:p>
            <w:pPr>
              <w:spacing w:after="0"/>
              <w:rPr>
                <w:sz w:val="14"/>
                <w:szCs w:val="14"/>
                <w:color w:val="auto"/>
              </w:rPr>
            </w:pPr>
          </w:p>
        </w:tc>
        <w:tc>
          <w:tcPr>
            <w:tcW w:w="6620" w:type="dxa"/>
            <w:vAlign w:val="bottom"/>
            <w:tcBorders>
              <w:bottom w:val="single" w:sz="8" w:color="auto"/>
              <w:right w:val="single" w:sz="8" w:color="auto"/>
            </w:tcBorders>
          </w:tcPr>
          <w:p>
            <w:pPr>
              <w:ind w:left="3100"/>
              <w:spacing w:after="0"/>
              <w:rPr>
                <w:sz w:val="20"/>
                <w:szCs w:val="20"/>
                <w:color w:val="auto"/>
              </w:rPr>
            </w:pPr>
            <w:r>
              <w:rPr>
                <w:rFonts w:ascii="Times New Roman" w:cs="Times New Roman" w:eastAsia="Times New Roman" w:hAnsi="Times New Roman"/>
                <w:sz w:val="14"/>
                <w:szCs w:val="14"/>
                <w:b w:val="1"/>
                <w:bCs w:val="1"/>
                <w:color w:val="auto"/>
              </w:rPr>
              <w:t>ITEM</w:t>
            </w:r>
          </w:p>
        </w:tc>
        <w:tc>
          <w:tcPr>
            <w:tcW w:w="100" w:type="dxa"/>
            <w:vAlign w:val="bottom"/>
            <w:tcBorders>
              <w:bottom w:val="single" w:sz="8" w:color="auto"/>
            </w:tcBorders>
          </w:tcPr>
          <w:p>
            <w:pPr>
              <w:spacing w:after="0"/>
              <w:rPr>
                <w:sz w:val="14"/>
                <w:szCs w:val="14"/>
                <w:color w:val="auto"/>
              </w:rPr>
            </w:pPr>
          </w:p>
        </w:tc>
        <w:tc>
          <w:tcPr>
            <w:tcW w:w="4100" w:type="dxa"/>
            <w:vAlign w:val="bottom"/>
            <w:tcBorders>
              <w:bottom w:val="single" w:sz="8" w:color="auto"/>
              <w:right w:val="single" w:sz="8" w:color="auto"/>
            </w:tcBorders>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2025 AMOUNT</w:t>
            </w:r>
          </w:p>
        </w:tc>
      </w:tr>
      <w:tr>
        <w:trPr>
          <w:trHeight w:val="171"/>
        </w:trPr>
        <w:tc>
          <w:tcPr>
            <w:tcW w:w="480" w:type="dxa"/>
            <w:vAlign w:val="bottom"/>
            <w:tcBorders>
              <w:left w:val="single" w:sz="8" w:color="auto"/>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(1)</w:t>
            </w:r>
          </w:p>
        </w:tc>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Annual Retainers </w:t>
            </w:r>
            <w:r>
              <w:rPr>
                <w:rFonts w:ascii="Times New Roman" w:cs="Times New Roman" w:eastAsia="Times New Roman" w:hAnsi="Times New Roman"/>
                <w:sz w:val="14"/>
                <w:szCs w:val="14"/>
                <w:color w:val="auto"/>
              </w:rPr>
              <w:t>– Cash retainer amounts for non-employee directors, Chairman, Committee Chairs and</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Board service (all directors including Chairman) - </w:t>
            </w:r>
            <w:r>
              <w:rPr>
                <w:rFonts w:ascii="Times New Roman" w:cs="Times New Roman" w:eastAsia="Times New Roman" w:hAnsi="Times New Roman"/>
                <w:sz w:val="14"/>
                <w:szCs w:val="14"/>
                <w:b w:val="1"/>
                <w:bCs w:val="1"/>
                <w:color w:val="auto"/>
              </w:rPr>
              <w:t>$85,000</w:t>
            </w:r>
          </w:p>
        </w:tc>
      </w:tr>
      <w:tr>
        <w:trPr>
          <w:trHeight w:val="196"/>
        </w:trPr>
        <w:tc>
          <w:tcPr>
            <w:tcW w:w="480" w:type="dxa"/>
            <w:vAlign w:val="bottom"/>
            <w:tcBorders>
              <w:left w:val="single" w:sz="8" w:color="auto"/>
              <w:right w:val="single" w:sz="8" w:color="auto"/>
            </w:tcBorders>
          </w:tcPr>
          <w:p>
            <w:pPr>
              <w:spacing w:after="0"/>
              <w:rPr>
                <w:sz w:val="17"/>
                <w:szCs w:val="17"/>
                <w:color w:val="auto"/>
              </w:rPr>
            </w:pPr>
          </w:p>
        </w:tc>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Committee Members.</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Chairman - </w:t>
            </w:r>
            <w:r>
              <w:rPr>
                <w:rFonts w:ascii="Times New Roman" w:cs="Times New Roman" w:eastAsia="Times New Roman" w:hAnsi="Times New Roman"/>
                <w:sz w:val="14"/>
                <w:szCs w:val="14"/>
                <w:b w:val="1"/>
                <w:bCs w:val="1"/>
                <w:color w:val="auto"/>
              </w:rPr>
              <w:t>$200,000</w:t>
            </w:r>
          </w:p>
        </w:tc>
      </w:tr>
      <w:tr>
        <w:trPr>
          <w:trHeight w:val="170"/>
        </w:trPr>
        <w:tc>
          <w:tcPr>
            <w:tcW w:w="480" w:type="dxa"/>
            <w:vAlign w:val="bottom"/>
            <w:tcBorders>
              <w:left w:val="single" w:sz="8" w:color="auto"/>
              <w:right w:val="single" w:sz="8" w:color="auto"/>
            </w:tcBorders>
          </w:tcPr>
          <w:p>
            <w:pPr>
              <w:spacing w:after="0"/>
              <w:rPr>
                <w:sz w:val="14"/>
                <w:szCs w:val="14"/>
                <w:color w:val="auto"/>
              </w:rPr>
            </w:pPr>
          </w:p>
        </w:tc>
        <w:tc>
          <w:tcPr>
            <w:tcW w:w="6620" w:type="dxa"/>
            <w:vAlign w:val="bottom"/>
            <w:tcBorders>
              <w:right w:val="single" w:sz="8" w:color="auto"/>
            </w:tcBorders>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Audit Chair -- </w:t>
            </w:r>
            <w:r>
              <w:rPr>
                <w:rFonts w:ascii="Times New Roman" w:cs="Times New Roman" w:eastAsia="Times New Roman" w:hAnsi="Times New Roman"/>
                <w:sz w:val="14"/>
                <w:szCs w:val="14"/>
                <w:b w:val="1"/>
                <w:bCs w:val="1"/>
                <w:color w:val="auto"/>
              </w:rPr>
              <w:t>$27,500</w:t>
            </w:r>
          </w:p>
        </w:tc>
      </w:tr>
      <w:tr>
        <w:trPr>
          <w:trHeight w:val="170"/>
        </w:trPr>
        <w:tc>
          <w:tcPr>
            <w:tcW w:w="480" w:type="dxa"/>
            <w:vAlign w:val="bottom"/>
            <w:tcBorders>
              <w:left w:val="single" w:sz="8" w:color="auto"/>
              <w:right w:val="single" w:sz="8" w:color="auto"/>
            </w:tcBorders>
          </w:tcPr>
          <w:p>
            <w:pPr>
              <w:spacing w:after="0"/>
              <w:rPr>
                <w:sz w:val="14"/>
                <w:szCs w:val="14"/>
                <w:color w:val="auto"/>
              </w:rPr>
            </w:pPr>
          </w:p>
        </w:tc>
        <w:tc>
          <w:tcPr>
            <w:tcW w:w="6620" w:type="dxa"/>
            <w:vAlign w:val="bottom"/>
            <w:tcBorders>
              <w:right w:val="single" w:sz="8" w:color="auto"/>
            </w:tcBorders>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Audit Member -- </w:t>
            </w:r>
            <w:r>
              <w:rPr>
                <w:rFonts w:ascii="Times New Roman" w:cs="Times New Roman" w:eastAsia="Times New Roman" w:hAnsi="Times New Roman"/>
                <w:sz w:val="14"/>
                <w:szCs w:val="14"/>
                <w:b w:val="1"/>
                <w:bCs w:val="1"/>
                <w:color w:val="auto"/>
              </w:rPr>
              <w:t>$15,000</w:t>
            </w:r>
          </w:p>
        </w:tc>
      </w:tr>
      <w:tr>
        <w:trPr>
          <w:trHeight w:val="170"/>
        </w:trPr>
        <w:tc>
          <w:tcPr>
            <w:tcW w:w="480" w:type="dxa"/>
            <w:vAlign w:val="bottom"/>
            <w:tcBorders>
              <w:left w:val="single" w:sz="8" w:color="auto"/>
              <w:right w:val="single" w:sz="8" w:color="auto"/>
            </w:tcBorders>
          </w:tcPr>
          <w:p>
            <w:pPr>
              <w:spacing w:after="0"/>
              <w:rPr>
                <w:sz w:val="14"/>
                <w:szCs w:val="14"/>
                <w:color w:val="auto"/>
              </w:rPr>
            </w:pPr>
          </w:p>
        </w:tc>
        <w:tc>
          <w:tcPr>
            <w:tcW w:w="6620" w:type="dxa"/>
            <w:vAlign w:val="bottom"/>
            <w:tcBorders>
              <w:right w:val="single" w:sz="8" w:color="auto"/>
            </w:tcBorders>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Compensation Chair -- </w:t>
            </w:r>
            <w:r>
              <w:rPr>
                <w:rFonts w:ascii="Times New Roman" w:cs="Times New Roman" w:eastAsia="Times New Roman" w:hAnsi="Times New Roman"/>
                <w:sz w:val="14"/>
                <w:szCs w:val="14"/>
                <w:b w:val="1"/>
                <w:bCs w:val="1"/>
                <w:color w:val="auto"/>
              </w:rPr>
              <w:t>$25,000</w:t>
            </w:r>
          </w:p>
        </w:tc>
      </w:tr>
      <w:tr>
        <w:trPr>
          <w:trHeight w:val="170"/>
        </w:trPr>
        <w:tc>
          <w:tcPr>
            <w:tcW w:w="480" w:type="dxa"/>
            <w:vAlign w:val="bottom"/>
            <w:tcBorders>
              <w:left w:val="single" w:sz="8" w:color="auto"/>
              <w:right w:val="single" w:sz="8" w:color="auto"/>
            </w:tcBorders>
          </w:tcPr>
          <w:p>
            <w:pPr>
              <w:spacing w:after="0"/>
              <w:rPr>
                <w:sz w:val="14"/>
                <w:szCs w:val="14"/>
                <w:color w:val="auto"/>
              </w:rPr>
            </w:pPr>
          </w:p>
        </w:tc>
        <w:tc>
          <w:tcPr>
            <w:tcW w:w="6620" w:type="dxa"/>
            <w:vAlign w:val="bottom"/>
            <w:tcBorders>
              <w:right w:val="single" w:sz="8" w:color="auto"/>
            </w:tcBorders>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Compensation Member – </w:t>
            </w:r>
            <w:r>
              <w:rPr>
                <w:rFonts w:ascii="Times New Roman" w:cs="Times New Roman" w:eastAsia="Times New Roman" w:hAnsi="Times New Roman"/>
                <w:sz w:val="14"/>
                <w:szCs w:val="14"/>
                <w:b w:val="1"/>
                <w:bCs w:val="1"/>
                <w:color w:val="auto"/>
              </w:rPr>
              <w:t>$10,500</w:t>
            </w:r>
          </w:p>
        </w:tc>
      </w:tr>
      <w:tr>
        <w:trPr>
          <w:trHeight w:val="170"/>
        </w:trPr>
        <w:tc>
          <w:tcPr>
            <w:tcW w:w="480" w:type="dxa"/>
            <w:vAlign w:val="bottom"/>
            <w:tcBorders>
              <w:left w:val="single" w:sz="8" w:color="auto"/>
              <w:right w:val="single" w:sz="8" w:color="auto"/>
            </w:tcBorders>
          </w:tcPr>
          <w:p>
            <w:pPr>
              <w:spacing w:after="0"/>
              <w:rPr>
                <w:sz w:val="14"/>
                <w:szCs w:val="14"/>
                <w:color w:val="auto"/>
              </w:rPr>
            </w:pPr>
          </w:p>
        </w:tc>
        <w:tc>
          <w:tcPr>
            <w:tcW w:w="6620" w:type="dxa"/>
            <w:vAlign w:val="bottom"/>
            <w:tcBorders>
              <w:right w:val="single" w:sz="8" w:color="auto"/>
            </w:tcBorders>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Governance Chair -- </w:t>
            </w:r>
            <w:r>
              <w:rPr>
                <w:rFonts w:ascii="Times New Roman" w:cs="Times New Roman" w:eastAsia="Times New Roman" w:hAnsi="Times New Roman"/>
                <w:sz w:val="14"/>
                <w:szCs w:val="14"/>
                <w:b w:val="1"/>
                <w:bCs w:val="1"/>
                <w:color w:val="auto"/>
              </w:rPr>
              <w:t>$20,000</w:t>
            </w:r>
          </w:p>
        </w:tc>
      </w:tr>
      <w:tr>
        <w:trPr>
          <w:trHeight w:val="170"/>
        </w:trPr>
        <w:tc>
          <w:tcPr>
            <w:tcW w:w="480" w:type="dxa"/>
            <w:vAlign w:val="bottom"/>
            <w:tcBorders>
              <w:left w:val="single" w:sz="8" w:color="auto"/>
              <w:right w:val="single" w:sz="8" w:color="auto"/>
            </w:tcBorders>
          </w:tcPr>
          <w:p>
            <w:pPr>
              <w:spacing w:after="0"/>
              <w:rPr>
                <w:sz w:val="14"/>
                <w:szCs w:val="14"/>
                <w:color w:val="auto"/>
              </w:rPr>
            </w:pPr>
          </w:p>
        </w:tc>
        <w:tc>
          <w:tcPr>
            <w:tcW w:w="6620" w:type="dxa"/>
            <w:vAlign w:val="bottom"/>
            <w:tcBorders>
              <w:right w:val="single" w:sz="8" w:color="auto"/>
            </w:tcBorders>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Governance Member -- </w:t>
            </w:r>
            <w:r>
              <w:rPr>
                <w:rFonts w:ascii="Times New Roman" w:cs="Times New Roman" w:eastAsia="Times New Roman" w:hAnsi="Times New Roman"/>
                <w:sz w:val="14"/>
                <w:szCs w:val="14"/>
                <w:b w:val="1"/>
                <w:bCs w:val="1"/>
                <w:color w:val="auto"/>
              </w:rPr>
              <w:t>$10,000</w:t>
            </w:r>
          </w:p>
        </w:tc>
      </w:tr>
      <w:tr>
        <w:trPr>
          <w:trHeight w:val="170"/>
        </w:trPr>
        <w:tc>
          <w:tcPr>
            <w:tcW w:w="480" w:type="dxa"/>
            <w:vAlign w:val="bottom"/>
            <w:tcBorders>
              <w:left w:val="single" w:sz="8" w:color="auto"/>
              <w:right w:val="single" w:sz="8" w:color="auto"/>
            </w:tcBorders>
          </w:tcPr>
          <w:p>
            <w:pPr>
              <w:spacing w:after="0"/>
              <w:rPr>
                <w:sz w:val="14"/>
                <w:szCs w:val="14"/>
                <w:color w:val="auto"/>
              </w:rPr>
            </w:pPr>
          </w:p>
        </w:tc>
        <w:tc>
          <w:tcPr>
            <w:tcW w:w="6620" w:type="dxa"/>
            <w:vAlign w:val="bottom"/>
            <w:tcBorders>
              <w:right w:val="single" w:sz="8" w:color="auto"/>
            </w:tcBorders>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Cybersecurity Chair -- </w:t>
            </w:r>
            <w:r>
              <w:rPr>
                <w:rFonts w:ascii="Times New Roman" w:cs="Times New Roman" w:eastAsia="Times New Roman" w:hAnsi="Times New Roman"/>
                <w:sz w:val="14"/>
                <w:szCs w:val="14"/>
                <w:b w:val="1"/>
                <w:bCs w:val="1"/>
                <w:color w:val="auto"/>
              </w:rPr>
              <w:t>$20,000</w:t>
            </w:r>
          </w:p>
        </w:tc>
      </w:tr>
      <w:tr>
        <w:trPr>
          <w:trHeight w:val="186"/>
        </w:trPr>
        <w:tc>
          <w:tcPr>
            <w:tcW w:w="480" w:type="dxa"/>
            <w:vAlign w:val="bottom"/>
            <w:tcBorders>
              <w:left w:val="single" w:sz="8" w:color="auto"/>
              <w:right w:val="single" w:sz="8" w:color="auto"/>
            </w:tcBorders>
          </w:tcPr>
          <w:p>
            <w:pPr>
              <w:spacing w:after="0"/>
              <w:rPr>
                <w:sz w:val="16"/>
                <w:szCs w:val="16"/>
                <w:color w:val="auto"/>
              </w:rPr>
            </w:pPr>
          </w:p>
        </w:tc>
        <w:tc>
          <w:tcPr>
            <w:tcW w:w="6620" w:type="dxa"/>
            <w:vAlign w:val="bottom"/>
            <w:tcBorders>
              <w:right w:val="single" w:sz="8" w:color="auto"/>
            </w:tcBorders>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Cybersecurity Member -- </w:t>
            </w:r>
            <w:r>
              <w:rPr>
                <w:rFonts w:ascii="Times New Roman" w:cs="Times New Roman" w:eastAsia="Times New Roman" w:hAnsi="Times New Roman"/>
                <w:sz w:val="14"/>
                <w:szCs w:val="14"/>
                <w:b w:val="1"/>
                <w:bCs w:val="1"/>
                <w:color w:val="auto"/>
              </w:rPr>
              <w:t>$10,000</w:t>
            </w: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100" w:type="dxa"/>
            <w:vAlign w:val="bottom"/>
            <w:tcBorders>
              <w:bottom w:val="single" w:sz="8" w:color="auto"/>
              <w:right w:val="single" w:sz="8" w:color="auto"/>
            </w:tcBorders>
            <w:gridSpan w:val="2"/>
          </w:tcPr>
          <w:p>
            <w:pPr>
              <w:spacing w:after="0"/>
              <w:rPr>
                <w:sz w:val="2"/>
                <w:szCs w:val="2"/>
                <w:color w:val="auto"/>
              </w:rPr>
            </w:pPr>
          </w:p>
        </w:tc>
      </w:tr>
      <w:tr>
        <w:trPr>
          <w:trHeight w:val="167"/>
        </w:trPr>
        <w:tc>
          <w:tcPr>
            <w:tcW w:w="480" w:type="dxa"/>
            <w:vAlign w:val="bottom"/>
            <w:tcBorders>
              <w:left w:val="single" w:sz="8" w:color="auto"/>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w:t>
            </w:r>
          </w:p>
        </w:tc>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Special Board Committee Fees </w:t>
            </w:r>
            <w:r>
              <w:rPr>
                <w:rFonts w:ascii="Times New Roman" w:cs="Times New Roman" w:eastAsia="Times New Roman" w:hAnsi="Times New Roman"/>
                <w:sz w:val="14"/>
                <w:szCs w:val="14"/>
                <w:color w:val="auto"/>
              </w:rPr>
              <w:t>– If a non-employee Director serves on a special committee of the Board, the</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TBD</w:t>
            </w:r>
          </w:p>
        </w:tc>
      </w:tr>
      <w:tr>
        <w:trPr>
          <w:trHeight w:val="142"/>
        </w:trPr>
        <w:tc>
          <w:tcPr>
            <w:tcW w:w="480" w:type="dxa"/>
            <w:vAlign w:val="bottom"/>
            <w:tcBorders>
              <w:left w:val="single" w:sz="8" w:color="auto"/>
              <w:right w:val="single" w:sz="8" w:color="auto"/>
            </w:tcBorders>
          </w:tcPr>
          <w:p>
            <w:pPr>
              <w:spacing w:after="0"/>
              <w:rPr>
                <w:sz w:val="12"/>
                <w:szCs w:val="12"/>
                <w:color w:val="auto"/>
              </w:rPr>
            </w:pPr>
          </w:p>
        </w:tc>
        <w:tc>
          <w:tcPr>
            <w:tcW w:w="662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Compensation Committee will determine whether to provide supplemental fees to such Director and the amount of</w:t>
            </w:r>
          </w:p>
        </w:tc>
        <w:tc>
          <w:tcPr>
            <w:tcW w:w="1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87"/>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such fees, provided no fees in excess of $30,000/year per Director shall be paid without approval from the Board.</w:t>
            </w: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206"/>
        </w:trPr>
        <w:tc>
          <w:tcPr>
            <w:tcW w:w="480" w:type="dxa"/>
            <w:vAlign w:val="bottom"/>
            <w:tcBorders>
              <w:left w:val="single" w:sz="8" w:color="auto"/>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(3)</w:t>
            </w:r>
          </w:p>
        </w:tc>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Annual DSU Award </w:t>
            </w:r>
            <w:r>
              <w:rPr>
                <w:rFonts w:ascii="Times New Roman" w:cs="Times New Roman" w:eastAsia="Times New Roman" w:hAnsi="Times New Roman"/>
                <w:sz w:val="14"/>
                <w:szCs w:val="14"/>
                <w:color w:val="auto"/>
              </w:rPr>
              <w:t>– Annual equity award to each non-employee director in the form of Deferred Stock Units</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4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$145,000 in value</w:t>
            </w:r>
          </w:p>
        </w:tc>
      </w:tr>
      <w:tr>
        <w:trPr>
          <w:trHeight w:val="106"/>
        </w:trPr>
        <w:tc>
          <w:tcPr>
            <w:tcW w:w="480" w:type="dxa"/>
            <w:vAlign w:val="bottom"/>
            <w:tcBorders>
              <w:left w:val="single" w:sz="8" w:color="auto"/>
              <w:right w:val="single" w:sz="8" w:color="auto"/>
            </w:tcBorders>
          </w:tcPr>
          <w:p>
            <w:pPr>
              <w:spacing w:after="0"/>
              <w:rPr>
                <w:sz w:val="9"/>
                <w:szCs w:val="9"/>
                <w:color w:val="auto"/>
              </w:rPr>
            </w:pPr>
          </w:p>
        </w:tc>
        <w:tc>
          <w:tcPr>
            <w:tcW w:w="6620" w:type="dxa"/>
            <w:vAlign w:val="bottom"/>
            <w:tcBorders>
              <w:right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pursuant to the LTIP. Each DSU represents the right to receive one share of Upbound Group, Inc. common stock.</w:t>
            </w:r>
          </w:p>
        </w:tc>
        <w:tc>
          <w:tcPr>
            <w:tcW w:w="1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r>
      <w:tr>
        <w:trPr>
          <w:trHeight w:val="138"/>
        </w:trPr>
        <w:tc>
          <w:tcPr>
            <w:tcW w:w="480" w:type="dxa"/>
            <w:vAlign w:val="bottom"/>
            <w:tcBorders>
              <w:left w:val="single" w:sz="8" w:color="auto"/>
              <w:right w:val="single" w:sz="8" w:color="auto"/>
            </w:tcBorders>
          </w:tcPr>
          <w:p>
            <w:pPr>
              <w:spacing w:after="0"/>
              <w:rPr>
                <w:sz w:val="11"/>
                <w:szCs w:val="11"/>
                <w:color w:val="auto"/>
              </w:rPr>
            </w:pPr>
          </w:p>
        </w:tc>
        <w:tc>
          <w:tcPr>
            <w:tcW w:w="66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The award is fully vested upon grant and the shares covered by the award are issued upon the termination of the</w:t>
            </w:r>
          </w:p>
        </w:tc>
        <w:tc>
          <w:tcPr>
            <w:tcW w:w="1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87"/>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director’s service as a member of the Board. DSUs do not have voting rights.</w:t>
            </w: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70"/>
        </w:trPr>
        <w:tc>
          <w:tcPr>
            <w:tcW w:w="480" w:type="dxa"/>
            <w:vAlign w:val="bottom"/>
            <w:tcBorders>
              <w:left w:val="single" w:sz="8" w:color="auto"/>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(4)</w:t>
            </w:r>
          </w:p>
        </w:tc>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Optional DSU Deferral Awards </w:t>
            </w:r>
            <w:r>
              <w:rPr>
                <w:rFonts w:ascii="Times New Roman" w:cs="Times New Roman" w:eastAsia="Times New Roman" w:hAnsi="Times New Roman"/>
                <w:sz w:val="14"/>
                <w:szCs w:val="14"/>
                <w:color w:val="auto"/>
              </w:rPr>
              <w:t>– Ability to elect each year to defer all/some of the following year’s (1) cash</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Based on amount of cash retainers and cash dividends deferred, plus</w:t>
            </w:r>
          </w:p>
        </w:tc>
      </w:tr>
      <w:tr>
        <w:trPr>
          <w:trHeight w:val="142"/>
        </w:trPr>
        <w:tc>
          <w:tcPr>
            <w:tcW w:w="480" w:type="dxa"/>
            <w:vAlign w:val="bottom"/>
            <w:tcBorders>
              <w:left w:val="single" w:sz="8" w:color="auto"/>
              <w:right w:val="single" w:sz="8" w:color="auto"/>
            </w:tcBorders>
          </w:tcPr>
          <w:p>
            <w:pPr>
              <w:spacing w:after="0"/>
              <w:rPr>
                <w:sz w:val="12"/>
                <w:szCs w:val="12"/>
                <w:color w:val="auto"/>
              </w:rPr>
            </w:pPr>
          </w:p>
        </w:tc>
        <w:tc>
          <w:tcPr>
            <w:tcW w:w="662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retainers and (2) cash dividends payable on outstanding record date DSUs, into additional DSUs. (based on the</w:t>
            </w:r>
          </w:p>
        </w:tc>
        <w:tc>
          <w:tcPr>
            <w:tcW w:w="100" w:type="dxa"/>
            <w:vAlign w:val="bottom"/>
          </w:tcPr>
          <w:p>
            <w:pPr>
              <w:spacing w:after="0"/>
              <w:rPr>
                <w:sz w:val="12"/>
                <w:szCs w:val="12"/>
                <w:color w:val="auto"/>
              </w:rPr>
            </w:pPr>
          </w:p>
        </w:tc>
        <w:tc>
          <w:tcPr>
            <w:tcW w:w="4100" w:type="dxa"/>
            <w:vAlign w:val="bottom"/>
            <w:tcBorders>
              <w:right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25% match</w:t>
            </w:r>
          </w:p>
        </w:tc>
      </w:tr>
      <w:tr>
        <w:trPr>
          <w:trHeight w:val="138"/>
        </w:trPr>
        <w:tc>
          <w:tcPr>
            <w:tcW w:w="480" w:type="dxa"/>
            <w:vAlign w:val="bottom"/>
            <w:tcBorders>
              <w:left w:val="single" w:sz="8" w:color="auto"/>
              <w:right w:val="single" w:sz="8" w:color="auto"/>
            </w:tcBorders>
          </w:tcPr>
          <w:p>
            <w:pPr>
              <w:spacing w:after="0"/>
              <w:rPr>
                <w:sz w:val="11"/>
                <w:szCs w:val="11"/>
                <w:color w:val="auto"/>
              </w:rPr>
            </w:pPr>
          </w:p>
        </w:tc>
        <w:tc>
          <w:tcPr>
            <w:tcW w:w="66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closing price of Upbound Group, Inc. stock immediately preceding the date the cash retainers and deferred cash</w:t>
            </w:r>
          </w:p>
        </w:tc>
        <w:tc>
          <w:tcPr>
            <w:tcW w:w="1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44"/>
        </w:trPr>
        <w:tc>
          <w:tcPr>
            <w:tcW w:w="480" w:type="dxa"/>
            <w:vAlign w:val="bottom"/>
            <w:tcBorders>
              <w:left w:val="single" w:sz="8" w:color="auto"/>
              <w:right w:val="single" w:sz="8" w:color="auto"/>
            </w:tcBorders>
          </w:tcPr>
          <w:p>
            <w:pPr>
              <w:spacing w:after="0"/>
              <w:rPr>
                <w:sz w:val="12"/>
                <w:szCs w:val="12"/>
                <w:color w:val="auto"/>
              </w:rPr>
            </w:pPr>
          </w:p>
        </w:tc>
        <w:tc>
          <w:tcPr>
            <w:tcW w:w="6620" w:type="dxa"/>
            <w:vAlign w:val="bottom"/>
            <w:tcBorders>
              <w:right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dividends are payable). A company match of 25% is applied to deferred cash retainers and deferred cash dividends</w:t>
            </w:r>
          </w:p>
        </w:tc>
        <w:tc>
          <w:tcPr>
            <w:tcW w:w="1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84"/>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when calculating the DSUs.</w:t>
            </w: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67"/>
        </w:trPr>
        <w:tc>
          <w:tcPr>
            <w:tcW w:w="480" w:type="dxa"/>
            <w:vAlign w:val="bottom"/>
            <w:tcBorders>
              <w:left w:val="single" w:sz="8" w:color="auto"/>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(5)</w:t>
            </w:r>
          </w:p>
        </w:tc>
        <w:tc>
          <w:tcPr>
            <w:tcW w:w="6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Cash Dividend Equivalents on DSUs </w:t>
            </w:r>
            <w:r>
              <w:rPr>
                <w:rFonts w:ascii="Times New Roman" w:cs="Times New Roman" w:eastAsia="Times New Roman" w:hAnsi="Times New Roman"/>
                <w:sz w:val="14"/>
                <w:szCs w:val="14"/>
                <w:color w:val="auto"/>
              </w:rPr>
              <w:t>– Unless deferred as described above, the number of DSUs held by a</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Based on the number of DSUs held as of the dividend record date and</w:t>
            </w:r>
          </w:p>
        </w:tc>
      </w:tr>
      <w:tr>
        <w:trPr>
          <w:trHeight w:val="142"/>
        </w:trPr>
        <w:tc>
          <w:tcPr>
            <w:tcW w:w="480" w:type="dxa"/>
            <w:vAlign w:val="bottom"/>
            <w:tcBorders>
              <w:left w:val="single" w:sz="8" w:color="auto"/>
              <w:right w:val="single" w:sz="8" w:color="auto"/>
            </w:tcBorders>
          </w:tcPr>
          <w:p>
            <w:pPr>
              <w:spacing w:after="0"/>
              <w:rPr>
                <w:sz w:val="12"/>
                <w:szCs w:val="12"/>
                <w:color w:val="auto"/>
              </w:rPr>
            </w:pPr>
          </w:p>
        </w:tc>
        <w:tc>
          <w:tcPr>
            <w:tcW w:w="662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director as of the dividend record date are entitled to receive cash dividends, if and when declared by the Board, as</w:t>
            </w:r>
          </w:p>
        </w:tc>
        <w:tc>
          <w:tcPr>
            <w:tcW w:w="100" w:type="dxa"/>
            <w:vAlign w:val="bottom"/>
          </w:tcPr>
          <w:p>
            <w:pPr>
              <w:spacing w:after="0"/>
              <w:rPr>
                <w:sz w:val="12"/>
                <w:szCs w:val="12"/>
                <w:color w:val="auto"/>
              </w:rPr>
            </w:pPr>
          </w:p>
        </w:tc>
        <w:tc>
          <w:tcPr>
            <w:tcW w:w="4100" w:type="dxa"/>
            <w:vAlign w:val="bottom"/>
            <w:tcBorders>
              <w:right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dividend per share</w:t>
            </w:r>
          </w:p>
        </w:tc>
      </w:tr>
      <w:tr>
        <w:trPr>
          <w:trHeight w:val="187"/>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if the DSUs were issued/outstanding shares of Upbound Group, Inc. common stock. Not entitled to any 25% match.</w:t>
            </w: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300"/>
          </w:cols>
          <w:pgMar w:left="300" w:top="127" w:right="299" w:bottom="1440"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SUBSIDIARIES OF UPBOUND GROUP,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OF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Credit Solutions HoldCo, LLC, a Delaware limited liability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Credit Solutions,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Digital, LLC, a Utah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Holdings, LLC, a Utah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Leasing Canada, Ltd., an Ontario Canada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Braveheart Acquisition,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Fortuna Merger Sub, Inc., a Delaware corporation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Get It Now,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Legacy Insurance Co., Ltd., a Bermuda limited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RAC Acceptance East,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RAC Mexico Holdings I,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RAC Mexico Holdings II,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RAC Mexico Operaciones, S. de R.L. de C.V., a México S. de R.L. de C.V.</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East, Inc., a Delaware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Franchising International, Inc., a Texas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International, Inc., a Delaware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Texas, L.L.C., a Nevada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Texas, L.P., a Texas limited partnership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West, Inc., a Delaware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Upbound Mexico, S. de R.L. de C.V., a México S. de R.L. de C.V.</w:t>
      </w:r>
    </w:p>
    <w:p>
      <w:pPr>
        <w:sectPr>
          <w:pgSz w:w="11900" w:h="16838" w:orient="portrait"/>
          <w:cols w:equalWidth="0" w:num="1">
            <w:col w:w="11280"/>
          </w:cols>
          <w:pgMar w:left="300" w:top="359"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incorporation by reference in the following Registration Statements:</w:t>
      </w:r>
    </w:p>
    <w:p>
      <w:pPr>
        <w:spacing w:after="0" w:line="147" w:lineRule="exact"/>
        <w:rPr>
          <w:sz w:val="20"/>
          <w:szCs w:val="20"/>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 333-32296) pertaining to the Rent-A-Center, Inc. 401(k) Retirement Savings Plan,</w:t>
      </w:r>
    </w:p>
    <w:p>
      <w:pPr>
        <w:spacing w:after="0" w:line="93" w:lineRule="exact"/>
        <w:rPr>
          <w:rFonts w:ascii="Arial" w:cs="Arial" w:eastAsia="Arial" w:hAnsi="Arial"/>
          <w:sz w:val="14"/>
          <w:szCs w:val="14"/>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 333-40958) pertaining to Amended and Restated Rent-A-Center, Inc. Long-Term Incentive Plan,</w:t>
      </w:r>
    </w:p>
    <w:p>
      <w:pPr>
        <w:spacing w:after="0" w:line="93" w:lineRule="exact"/>
        <w:rPr>
          <w:rFonts w:ascii="Arial" w:cs="Arial" w:eastAsia="Arial" w:hAnsi="Arial"/>
          <w:sz w:val="14"/>
          <w:szCs w:val="14"/>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 333-62582) pertaining to Amended and Restated Rent-A-Center, Inc. Long-Term Incentive Plan,</w:t>
      </w:r>
    </w:p>
    <w:p>
      <w:pPr>
        <w:spacing w:after="0" w:line="93" w:lineRule="exact"/>
        <w:rPr>
          <w:rFonts w:ascii="Arial" w:cs="Arial" w:eastAsia="Arial" w:hAnsi="Arial"/>
          <w:sz w:val="14"/>
          <w:szCs w:val="14"/>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 333-136615) pertaining to Rent-A-Center, Inc. 2006 Long-Term Incentive Plan,</w:t>
      </w:r>
    </w:p>
    <w:p>
      <w:pPr>
        <w:spacing w:after="0" w:line="93" w:lineRule="exact"/>
        <w:rPr>
          <w:rFonts w:ascii="Arial" w:cs="Arial" w:eastAsia="Arial" w:hAnsi="Arial"/>
          <w:sz w:val="14"/>
          <w:szCs w:val="14"/>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 333-139792) pertaining to Rent-A-Center, Inc. 2006 Equity Incentive Plan,</w:t>
      </w:r>
    </w:p>
    <w:p>
      <w:pPr>
        <w:spacing w:after="0" w:line="93" w:lineRule="exact"/>
        <w:rPr>
          <w:rFonts w:ascii="Arial" w:cs="Arial" w:eastAsia="Arial" w:hAnsi="Arial"/>
          <w:sz w:val="14"/>
          <w:szCs w:val="14"/>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 333-145121) pertaining to Rent-A-Center, Inc. Deferred Compensation Plan,</w:t>
      </w:r>
    </w:p>
    <w:p>
      <w:pPr>
        <w:spacing w:after="0" w:line="93" w:lineRule="exact"/>
        <w:rPr>
          <w:rFonts w:ascii="Arial" w:cs="Arial" w:eastAsia="Arial" w:hAnsi="Arial"/>
          <w:sz w:val="14"/>
          <w:szCs w:val="14"/>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 333-171926) pertaining to Rent-A-Center East, Inc. Retirement Savings Plan for Puerto Rico Employees,</w:t>
      </w:r>
    </w:p>
    <w:p>
      <w:pPr>
        <w:spacing w:after="0" w:line="93" w:lineRule="exact"/>
        <w:rPr>
          <w:rFonts w:ascii="Arial" w:cs="Arial" w:eastAsia="Arial" w:hAnsi="Arial"/>
          <w:sz w:val="14"/>
          <w:szCs w:val="14"/>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 333-211859) pertaining to Rent-A-Center, Inc. 2016 Long-Term Incentive Plan,</w:t>
      </w:r>
    </w:p>
    <w:p>
      <w:pPr>
        <w:spacing w:after="0" w:line="93" w:lineRule="exact"/>
        <w:rPr>
          <w:rFonts w:ascii="Arial" w:cs="Arial" w:eastAsia="Arial" w:hAnsi="Arial"/>
          <w:sz w:val="14"/>
          <w:szCs w:val="14"/>
          <w:color w:val="auto"/>
        </w:rPr>
      </w:pPr>
    </w:p>
    <w:p>
      <w:pPr>
        <w:ind w:left="500" w:hanging="368"/>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No.333-256927) pertaining to Rent-A-Center, Inc. 2021 Long-Term Incentive Plan,</w:t>
      </w:r>
    </w:p>
    <w:p>
      <w:pPr>
        <w:spacing w:after="0" w:line="93" w:lineRule="exact"/>
        <w:rPr>
          <w:rFonts w:ascii="Arial" w:cs="Arial" w:eastAsia="Arial" w:hAnsi="Arial"/>
          <w:sz w:val="14"/>
          <w:szCs w:val="14"/>
          <w:color w:val="auto"/>
        </w:rPr>
      </w:pPr>
    </w:p>
    <w:p>
      <w:pPr>
        <w:ind w:left="580" w:hanging="448"/>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S-8 No.333-272494) pertaining to Upbound Group, Inc. Amended 2021 Long-Term Incentive Plan, and</w:t>
      </w:r>
    </w:p>
    <w:p>
      <w:pPr>
        <w:spacing w:after="0" w:line="93" w:lineRule="exact"/>
        <w:rPr>
          <w:rFonts w:ascii="Arial" w:cs="Arial" w:eastAsia="Arial" w:hAnsi="Arial"/>
          <w:sz w:val="14"/>
          <w:szCs w:val="14"/>
          <w:color w:val="auto"/>
        </w:rPr>
      </w:pPr>
    </w:p>
    <w:p>
      <w:pPr>
        <w:ind w:left="560" w:hanging="428"/>
        <w:spacing w:after="0"/>
        <w:tabs>
          <w:tab w:leader="none" w:pos="5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Registration Statement (Form S-3 No. 333-285081) pertaining to Upbound Group, Inc.</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of our reports dated February 25, 2025, with respect to the consolidated financial statements of Upbound Group, Inc. and the effectiveness of internal control over financial reporting of Upbound Group, Inc. included in this Annual Report (Form 10-K) of Upbound Group, Inc. for the year ended December 31, 2024.</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2025</w:t>
      </w:r>
    </w:p>
    <w:p>
      <w:pPr>
        <w:sectPr>
          <w:pgSz w:w="11900" w:h="16838" w:orient="portrait"/>
          <w:cols w:equalWidth="0" w:num="1">
            <w:col w:w="11280"/>
          </w:cols>
          <w:pgMar w:left="300" w:top="320"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31.1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Mitchell E. Fadel, certify that:</w:t>
      </w:r>
    </w:p>
    <w:p>
      <w:pPr>
        <w:spacing w:after="0" w:line="179" w:lineRule="exact"/>
        <w:rPr>
          <w:sz w:val="20"/>
          <w:szCs w:val="20"/>
          <w:color w:val="auto"/>
        </w:rPr>
      </w:pPr>
    </w:p>
    <w:p>
      <w:pPr>
        <w:ind w:left="1020" w:hanging="506"/>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Upbound Group,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25, 2025</w:t>
      </w:r>
    </w:p>
    <w:p>
      <w:pPr>
        <w:spacing w:after="0" w:line="1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u w:val="single" w:color="auto"/>
          <w:color w:val="auto"/>
        </w:rPr>
        <w:t>/s/ Mitchell E. Fadel</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Mitchell E. Fadel</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29"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31.2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Fahmi W. Karam, certify that:</w:t>
      </w:r>
    </w:p>
    <w:p>
      <w:pPr>
        <w:spacing w:after="0" w:line="179" w:lineRule="exact"/>
        <w:rPr>
          <w:sz w:val="20"/>
          <w:szCs w:val="20"/>
          <w:color w:val="auto"/>
        </w:rPr>
      </w:pPr>
    </w:p>
    <w:p>
      <w:pPr>
        <w:ind w:left="1020" w:hanging="506"/>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Upbound Group,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25, 2025</w:t>
      </w:r>
    </w:p>
    <w:p>
      <w:pPr>
        <w:spacing w:after="0" w:line="1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u w:val="single" w:color="auto"/>
          <w:color w:val="auto"/>
        </w:rPr>
        <w:t>/s/ Fahmi W. Karam</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Fahmi W. Karam</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Executive Vice President - Chief Financial Officer</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129"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86" w:lineRule="exact"/>
        <w:rPr>
          <w:sz w:val="20"/>
          <w:szCs w:val="20"/>
          <w:color w:val="auto"/>
        </w:rPr>
      </w:pPr>
    </w:p>
    <w:p>
      <w:pPr>
        <w:jc w:val="both"/>
        <w:ind w:firstLine="237"/>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Upbound Group,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for the period ended December 31, 2024, as filed with the Securities and Exchange Commission on the date hereof (the "</w:t>
      </w:r>
      <w:r>
        <w:rPr>
          <w:rFonts w:ascii="Times New Roman" w:cs="Times New Roman" w:eastAsia="Times New Roman" w:hAnsi="Times New Roman"/>
          <w:sz w:val="17"/>
          <w:szCs w:val="17"/>
          <w:b w:val="1"/>
          <w:bCs w:val="1"/>
          <w:i w:val="1"/>
          <w:iCs w:val="1"/>
          <w:color w:val="auto"/>
        </w:rPr>
        <w:t>Report</w:t>
      </w:r>
      <w:r>
        <w:rPr>
          <w:rFonts w:ascii="Times New Roman" w:cs="Times New Roman" w:eastAsia="Times New Roman" w:hAnsi="Times New Roman"/>
          <w:sz w:val="17"/>
          <w:szCs w:val="17"/>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155" w:lineRule="exact"/>
        <w:rPr>
          <w:sz w:val="20"/>
          <w:szCs w:val="20"/>
          <w:color w:val="auto"/>
        </w:rPr>
      </w:pPr>
    </w:p>
    <w:p>
      <w:pPr>
        <w:ind w:left="380" w:hanging="375"/>
        <w:spacing w:after="0"/>
        <w:tabs>
          <w:tab w:leader="none" w:pos="3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u w:val="single" w:color="auto"/>
          <w:color w:val="auto"/>
        </w:rPr>
        <w:t>/s/ Mitchell E. Fadel</w:t>
      </w:r>
    </w:p>
    <w:p>
      <w:pPr>
        <w:spacing w:after="0" w:line="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Mitchell E. Fadel</w:t>
      </w:r>
    </w:p>
    <w:p>
      <w:pPr>
        <w:spacing w:after="0" w:line="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25, 2025</w:t>
      </w:r>
    </w:p>
    <w:p>
      <w:pPr>
        <w:spacing w:after="0" w:line="3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29"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32.2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86" w:lineRule="exact"/>
        <w:rPr>
          <w:sz w:val="20"/>
          <w:szCs w:val="20"/>
          <w:color w:val="auto"/>
        </w:rPr>
      </w:pPr>
    </w:p>
    <w:p>
      <w:pPr>
        <w:jc w:val="both"/>
        <w:ind w:firstLine="237"/>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Upbound Group,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for the period ended December 31, 2024, as filed with the Securities and Exchange Commission on the date hereof (the "</w:t>
      </w:r>
      <w:r>
        <w:rPr>
          <w:rFonts w:ascii="Times New Roman" w:cs="Times New Roman" w:eastAsia="Times New Roman" w:hAnsi="Times New Roman"/>
          <w:sz w:val="17"/>
          <w:szCs w:val="17"/>
          <w:b w:val="1"/>
          <w:bCs w:val="1"/>
          <w:i w:val="1"/>
          <w:iCs w:val="1"/>
          <w:color w:val="auto"/>
        </w:rPr>
        <w:t>Report</w:t>
      </w:r>
      <w:r>
        <w:rPr>
          <w:rFonts w:ascii="Times New Roman" w:cs="Times New Roman" w:eastAsia="Times New Roman" w:hAnsi="Times New Roman"/>
          <w:sz w:val="17"/>
          <w:szCs w:val="17"/>
          <w:color w:val="auto"/>
        </w:rPr>
        <w:t>"), I, Fahmi W. Karam, Chief Financial Officer of the Company, hereby certify, pursuant to 18 U.S.C. Section 1350, as adopted pursuant to Section 906 of the Sarbanes-Oxley Act of 2002, that, to the best of my knowledge:</w:t>
      </w:r>
    </w:p>
    <w:p>
      <w:pPr>
        <w:spacing w:after="0" w:line="155" w:lineRule="exact"/>
        <w:rPr>
          <w:sz w:val="20"/>
          <w:szCs w:val="20"/>
          <w:color w:val="auto"/>
        </w:rPr>
      </w:pPr>
    </w:p>
    <w:p>
      <w:pPr>
        <w:ind w:left="380" w:hanging="375"/>
        <w:spacing w:after="0"/>
        <w:tabs>
          <w:tab w:leader="none" w:pos="3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u w:val="single" w:color="auto"/>
          <w:color w:val="auto"/>
        </w:rPr>
        <w:t>/s/ Fahmi W. Karam</w:t>
      </w:r>
    </w:p>
    <w:p>
      <w:pPr>
        <w:spacing w:after="0" w:line="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Fahmi W. Karam</w:t>
      </w:r>
    </w:p>
    <w:p>
      <w:pPr>
        <w:spacing w:after="0" w:line="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Executive Vice President,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25, 2025</w:t>
      </w:r>
    </w:p>
    <w:p>
      <w:pPr>
        <w:spacing w:after="0" w:line="3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2"/>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97"/>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45"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58" Type="http://schemas.openxmlformats.org/officeDocument/2006/relationships/hyperlink" Target="https://www.sec.gov/ix?doc=/Archives/edgar/data/933036/000093303624000048/upbd-20231231.htm" TargetMode="External"/><Relationship Id="rId121" Type="http://schemas.openxmlformats.org/officeDocument/2006/relationships/hyperlink" Target="https://www.sec.gov/Archives/edgar/data/933036/000110465924128068/tm2430553d1_ex2-1.htm" TargetMode="External"/><Relationship Id="rId122" Type="http://schemas.openxmlformats.org/officeDocument/2006/relationships/hyperlink" Target="https://www.sec.gov/Archives/edgar/data/933036/000110465925015482/tm256884d2_ex3-1.htm" TargetMode="External"/><Relationship Id="rId123" Type="http://schemas.openxmlformats.org/officeDocument/2006/relationships/hyperlink" Target="https://www.sec.gov/Archives/edgar/data/933036/000110465924068516/tm2415591d1_10-3.htm" TargetMode="External"/><Relationship Id="rId124" Type="http://schemas.openxmlformats.org/officeDocument/2006/relationships/hyperlink" Target="https://www.sec.gov/Archives/edgar/data/933036/000093303617000022/exhibit31march282017america.htm" TargetMode="External"/><Relationship Id="rId125" Type="http://schemas.openxmlformats.org/officeDocument/2006/relationships/hyperlink" Target="https://www.sec.gov/Archives/edgar/data/933036/000110465924068516/tm2415591d1_10-2.htm" TargetMode="External"/><Relationship Id="rId126" Type="http://schemas.openxmlformats.org/officeDocument/2006/relationships/hyperlink" Target="https://www.sec.gov/Archives/edgar/data/933036/000110465925015482/tm256884d2_ex4-1.htm" TargetMode="External"/><Relationship Id="rId127" Type="http://schemas.openxmlformats.org/officeDocument/2006/relationships/hyperlink" Target="https://www.sec.gov/Archives/edgar/data/933036/000093303617000033/ex-41_q12017.htm" TargetMode="External"/><Relationship Id="rId128" Type="http://schemas.openxmlformats.org/officeDocument/2006/relationships/hyperlink" Target="https://www.sec.gov/Archives/edgar/data/933036/000110465921024846/tm216741d1_ex4-1.htm" TargetMode="External"/><Relationship Id="rId129" Type="http://schemas.openxmlformats.org/officeDocument/2006/relationships/hyperlink" Target="https://www.sec.gov/Archives/edgar/data/933036/000093303619000039/exhibit1044tlbguaranteea.htm" TargetMode="External"/><Relationship Id="rId130" Type="http://schemas.openxmlformats.org/officeDocument/2006/relationships/hyperlink" Target="https://www.sec.gov/Archives/edgar/data/933036/000093303619000039/exhibit1045ablguaranteea.htm" TargetMode="External"/><Relationship Id="rId133" Type="http://schemas.openxmlformats.org/officeDocument/2006/relationships/hyperlink" Target="https://www.sec.gov/Archives/edgar/data/933036/000110465921024846/tm216741d1_ex10-3.htm" TargetMode="External"/><Relationship Id="rId134" Type="http://schemas.openxmlformats.org/officeDocument/2006/relationships/hyperlink" Target="https://www.sec.gov/Archives/edgar/data/0000933036/000110465921117907/tm2128048d1_10-1.htm" TargetMode="External"/><Relationship Id="rId135" Type="http://schemas.openxmlformats.org/officeDocument/2006/relationships/hyperlink" Target="https://www.sec.gov/Archives/edgar/data/933036/000093303623000141/rcii-secondamendmentexec.htm" TargetMode="External"/><Relationship Id="rId136" Type="http://schemas.openxmlformats.org/officeDocument/2006/relationships/hyperlink" Target="https://www.sec.gov/Archives/edgar/data/933036/000110465924065830/tm2415723d1_ex10-1.htm" TargetMode="External"/><Relationship Id="rId137" Type="http://schemas.openxmlformats.org/officeDocument/2006/relationships/hyperlink" Target="https://www.sec.gov/Archives/edgar/data/933036/000110465921024846/tm216741d1_ex10-2.htm" TargetMode="External"/><Relationship Id="rId138" Type="http://schemas.openxmlformats.org/officeDocument/2006/relationships/hyperlink" Target="https://www.sec.gov/Archives/edgar/data/933036/000093303622000178/rac-firstamendmenttoablc.htm" TargetMode="External"/><Relationship Id="rId139" Type="http://schemas.openxmlformats.org/officeDocument/2006/relationships/hyperlink" Target="https://www.sec.gov/Archives/edgar/data/933036/000110465924069873/tm2416761d1_ex10-1.htm" TargetMode="External"/><Relationship Id="rId140" Type="http://schemas.openxmlformats.org/officeDocument/2006/relationships/hyperlink" Target="https://www.sec.gov/Archives/edgar/data/933036/000110465913036953/a13-11511_1ex10d1.htm" TargetMode="External"/><Relationship Id="rId141" Type="http://schemas.openxmlformats.org/officeDocument/2006/relationships/hyperlink" Target="https://www.sec.gov/Archives/edgar/data/933036/000119312518176911/d591864dex101.htm" TargetMode="External"/><Relationship Id="rId142" Type="http://schemas.openxmlformats.org/officeDocument/2006/relationships/hyperlink" Target="https://www.sec.gov/Archives/edgar/data/933036/000093303620000006/a101consentagreementdate.htm" TargetMode="External"/><Relationship Id="rId143" Type="http://schemas.openxmlformats.org/officeDocument/2006/relationships/hyperlink" Target="https://www.sec.gov/Archives/edgar/data/933036/000110465921024846/tm216741d1_ex10-1.htm" TargetMode="External"/><Relationship Id="rId144" Type="http://schemas.openxmlformats.org/officeDocument/2006/relationships/hyperlink" Target="https://www.sec.gov/Archives/edgar/data/933036/000110465925015439/tm256882d1_ex10-1.htm" TargetMode="External"/><Relationship Id="rId146" Type="http://schemas.openxmlformats.org/officeDocument/2006/relationships/hyperlink" Target="https://www.sec.gov/Archives/edgar/data/933036/000093303624000048/ex-1013_q4x2024.htm" TargetMode="External"/><Relationship Id="rId147" Type="http://schemas.openxmlformats.org/officeDocument/2006/relationships/hyperlink" Target="https://www.sec.gov/Archives/edgar/data/933036/000119312518106335/d563036dex101.htm" TargetMode="External"/><Relationship Id="rId148" Type="http://schemas.openxmlformats.org/officeDocument/2006/relationships/hyperlink" Target="https://www.sec.gov/Archives/edgar/data/933036/000093303619000011/ex-101_20198xkfadelamend.htm" TargetMode="External"/><Relationship Id="rId149" Type="http://schemas.openxmlformats.org/officeDocument/2006/relationships/hyperlink" Target="https://www.sec.gov/Archives/edgar/data/933036/000093303624000101/ex-101_q1x2024.htm" TargetMode="External"/><Relationship Id="rId150" Type="http://schemas.openxmlformats.org/officeDocument/2006/relationships/hyperlink" Target="https://www.sec.gov/Archives/edgar/data/0000933036/000110465925015439/tm256882d1_ex10-1.htm" TargetMode="External"/><Relationship Id="rId151" Type="http://schemas.openxmlformats.org/officeDocument/2006/relationships/hyperlink" Target="https://www.sec.gov/Archives/edgar/data/933036/000095013403014447/d10151exv10w1.txt" TargetMode="External"/><Relationship Id="rId152" Type="http://schemas.openxmlformats.org/officeDocument/2006/relationships/hyperlink" Target="https://www.sec.gov/Archives/edgar/data/933036/000095013405004635/d23167exv10w20.htm" TargetMode="External"/><Relationship Id="rId153" Type="http://schemas.openxmlformats.org/officeDocument/2006/relationships/hyperlink" Target="https://www.sec.gov/Archives/edgar/data/933036/000095013406004738/d32968exv10w15.htm" TargetMode="External"/><Relationship Id="rId154" Type="http://schemas.openxmlformats.org/officeDocument/2006/relationships/hyperlink" Target="https://www.sec.gov/Archives/edgar/data/933036/000095013406004738/d32968exv10w16.htm" TargetMode="External"/><Relationship Id="rId155" Type="http://schemas.openxmlformats.org/officeDocument/2006/relationships/hyperlink" Target="https://www.sec.gov/Archives/edgar/data/933036/000095013406014316/d38165exv10w17.htm" TargetMode="External"/><Relationship Id="rId156" Type="http://schemas.openxmlformats.org/officeDocument/2006/relationships/hyperlink" Target="https://www.sec.gov/Archives/edgar/data/933036/000095013406014316/d38165exv10w18.htm" TargetMode="External"/><Relationship Id="rId157" Type="http://schemas.openxmlformats.org/officeDocument/2006/relationships/hyperlink" Target="https://www.sec.gov/Archives/edgar/data/933036/000095013407004543/d43717exv10w20.htm" TargetMode="External"/><Relationship Id="rId158" Type="http://schemas.openxmlformats.org/officeDocument/2006/relationships/hyperlink" Target="https://www.sec.gov/Archives/edgar/data/933036/000095013407004543/d43717exv10w23.htm" TargetMode="External"/><Relationship Id="rId159" Type="http://schemas.openxmlformats.org/officeDocument/2006/relationships/hyperlink" Target="https://www.sec.gov/Archives/edgar/data/933036/000095013407004543/d43717exv10w24.htm" TargetMode="External"/><Relationship Id="rId162" Type="http://schemas.openxmlformats.org/officeDocument/2006/relationships/hyperlink" Target="https://www.sec.gov/Archives/edgar/data/933036/000095012311018066/d78805exv10w23.htm" TargetMode="External"/><Relationship Id="rId163" Type="http://schemas.openxmlformats.org/officeDocument/2006/relationships/hyperlink" Target="https://www.sec.gov/Archives/edgar/data/933036/000095013407004543/d43717exv10w19.htm" TargetMode="External"/><Relationship Id="rId164" Type="http://schemas.openxmlformats.org/officeDocument/2006/relationships/hyperlink" Target="https://www.sec.gov/Archives/edgar/data/933036/000095013407004543/d43717exv10w22.htm" TargetMode="External"/><Relationship Id="rId165" Type="http://schemas.openxmlformats.org/officeDocument/2006/relationships/hyperlink" Target="https://www.sec.gov/Archives/edgar/data/933036/000095013407000078/d42373exv4w5.htm" TargetMode="External"/><Relationship Id="rId166" Type="http://schemas.openxmlformats.org/officeDocument/2006/relationships/hyperlink" Target="https://www.sec.gov/Archives/edgar/data/933036/000093303616000050/ex1036rac2016long-termince.htm" TargetMode="External"/><Relationship Id="rId167" Type="http://schemas.openxmlformats.org/officeDocument/2006/relationships/hyperlink" Target="https://www.sec.gov/Archives/edgar/data/933036/000093303616000050/ex1037optionagreement-2016.htm" TargetMode="External"/><Relationship Id="rId168" Type="http://schemas.openxmlformats.org/officeDocument/2006/relationships/hyperlink" Target="https://www.sec.gov/Archives/edgar/data/933036/000093303616000050/ex1038rsuagreement-2016ltip.htm" TargetMode="External"/><Relationship Id="rId169" Type="http://schemas.openxmlformats.org/officeDocument/2006/relationships/hyperlink" Target="https://www.sec.gov/Archives/edgar/data/933036/000093303616000050/ex1039psuagreement-2016ltip.htm" TargetMode="External"/><Relationship Id="rId170" Type="http://schemas.openxmlformats.org/officeDocument/2006/relationships/hyperlink" Target="https://www.sec.gov/Archives/edgar/data/0000933036/000110465921078652/tm2119045d1_ex10-2.htm" TargetMode="External"/><Relationship Id="rId171" Type="http://schemas.openxmlformats.org/officeDocument/2006/relationships/hyperlink" Target="https://www.sec.gov/Archives/edgar/data/0000933036/000110465921078652/tm2119045d1_ex10-3.htm" TargetMode="External"/><Relationship Id="rId172" Type="http://schemas.openxmlformats.org/officeDocument/2006/relationships/hyperlink" Target="https://www.sec.gov/Archives/edgar/data/0000933036/000110465921078652/tm2119045d1_ex10-4.htm" TargetMode="External"/><Relationship Id="rId173" Type="http://schemas.openxmlformats.org/officeDocument/2006/relationships/hyperlink" Target="https://www.sec.gov/Archives/edgar/data/0000933036/000110465921078652/tm2119045d1_ex10-5.htm" TargetMode="External"/><Relationship Id="rId174" Type="http://schemas.openxmlformats.org/officeDocument/2006/relationships/hyperlink" Target="https://www.sec.gov/Archives/edgar/data/933036/000110465923049300/tm237684d2_def14a.htm" TargetMode="External"/><Relationship Id="rId175" Type="http://schemas.openxmlformats.org/officeDocument/2006/relationships/hyperlink" Target="https://www.sec.gov/Archives/edgar/data/933036/000095013407016769/d48725exv10w28.htm" TargetMode="External"/><Relationship Id="rId176" Type="http://schemas.openxmlformats.org/officeDocument/2006/relationships/hyperlink" Target="https://www.sec.gov/Archives/edgar/data/933036/000095013409003883/d66311exv10w30.htm" TargetMode="External"/><Relationship Id="rId177" Type="http://schemas.openxmlformats.org/officeDocument/2006/relationships/hyperlink" Target="https://www.sec.gov/Archives/edgar/data/933036/000095012311006540/d79301exv99w1.htm" TargetMode="External"/><Relationship Id="rId180" Type="http://schemas.openxmlformats.org/officeDocument/2006/relationships/hyperlink" Target="https://www.sec.gov/Archives/edgar/data/933036/000093303624000048/ex-97_q4x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2025-02-25T17:31:54Z</dcterms:created>
  <dcterms:modified xsi:type="dcterms:W3CDTF">2025-02-25T17:31:54Z</dcterms:modified>
</cp:coreProperties>
</file>