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001-38047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Rent-A-Center,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84" w:right="33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45-0491516</w:t>
      </w:r>
    </w:p>
    <w:p>
      <w:pPr>
        <w:spacing w:after="0" w:line="50" w:lineRule="exact"/>
        <w:rPr>
          <w:sz w:val="24"/>
          <w:szCs w:val="24"/>
          <w:color w:val="auto"/>
        </w:rPr>
      </w:pPr>
    </w:p>
    <w:p>
      <w:pPr>
        <w:sectPr>
          <w:pgSz w:w="11900" w:h="16838" w:orient="portrait"/>
          <w:cols w:equalWidth="0" w:num="2">
            <w:col w:w="7280" w:space="720"/>
            <w:col w:w="3240"/>
          </w:cols>
          <w:pgMar w:left="320" w:top="1084" w:right="339" w:bottom="1440" w:gutter="0" w:footer="0" w:header="0"/>
          <w:type w:val="continuous"/>
        </w:sect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spacing w:after="0" w:line="30"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38" w:lineRule="exact"/>
        <w:rPr>
          <w:sz w:val="24"/>
          <w:szCs w:val="24"/>
          <w:color w:val="auto"/>
        </w:rPr>
      </w:pPr>
    </w:p>
    <w:p>
      <w:pPr>
        <w:sectPr>
          <w:pgSz w:w="11900" w:h="16838" w:orient="portrait"/>
          <w:cols w:equalWidth="0" w:num="2">
            <w:col w:w="7140" w:space="720"/>
            <w:col w:w="3380"/>
          </w:cols>
          <w:pgMar w:left="320" w:top="1084"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972-801-1100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84" w:right="339" w:bottom="1440" w:gutter="0" w:footer="0" w:header="0"/>
          <w:type w:val="continuous"/>
        </w:sectPr>
      </w:pPr>
    </w:p>
    <w:p>
      <w:pPr>
        <w:spacing w:after="0" w:line="50"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RCII</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The Nasdaq Stock Market</w:t>
      </w:r>
    </w:p>
    <w:p>
      <w:pPr>
        <w:spacing w:after="0" w:line="121" w:lineRule="exact"/>
        <w:rPr>
          <w:sz w:val="24"/>
          <w:szCs w:val="24"/>
          <w:color w:val="auto"/>
        </w:rPr>
      </w:pPr>
    </w:p>
    <w:p>
      <w:pPr>
        <w:sectPr>
          <w:pgSz w:w="11900" w:h="16838" w:orient="portrait"/>
          <w:cols w:equalWidth="0" w:num="3">
            <w:col w:w="4260" w:space="720"/>
            <w:col w:w="1620" w:space="720"/>
            <w:col w:w="3920"/>
          </w:cols>
          <w:pgMar w:left="320" w:top="1084" w:right="339" w:bottom="1440" w:gutter="0" w:footer="0" w:header="0"/>
          <w:type w:val="continuous"/>
        </w:sectPr>
      </w:pPr>
    </w:p>
    <w:p>
      <w:pPr>
        <w:jc w:val="center"/>
        <w:ind w:left="340" w:right="1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4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tbl>
      <w:tblPr>
        <w:tblLayout w:type="fixed"/>
        <w:tblInd w:w="0" w:type="dxa"/>
        <w:tblCellMar>
          <w:top w:w="0" w:type="dxa"/>
          <w:left w:w="0" w:type="dxa"/>
          <w:bottom w:w="0" w:type="dxa"/>
          <w:right w:w="0" w:type="dxa"/>
        </w:tblCellMar>
      </w:tblPr>
      <w:tr>
        <w:trPr>
          <w:trHeight w:val="254"/>
        </w:trPr>
        <w:tc>
          <w:tcPr>
            <w:tcW w:w="7740" w:type="dxa"/>
            <w:vAlign w:val="bottom"/>
          </w:tcPr>
          <w:p>
            <w:pPr>
              <w:ind w:left="2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500" w:type="dxa"/>
            <w:vAlign w:val="bottom"/>
          </w:tcPr>
          <w:p>
            <w:pPr>
              <w:ind w:left="3080"/>
              <w:spacing w:after="0" w:line="161" w:lineRule="exact"/>
              <w:rPr>
                <w:sz w:val="20"/>
                <w:szCs w:val="20"/>
                <w:color w:val="auto"/>
              </w:rPr>
            </w:pPr>
            <w:r>
              <w:rPr>
                <w:rFonts w:ascii="MS PGothic" w:cs="MS PGothic" w:eastAsia="MS PGothic" w:hAnsi="MS PGothic"/>
                <w:sz w:val="16"/>
                <w:szCs w:val="16"/>
                <w:color w:val="auto"/>
              </w:rPr>
              <w:t>☐</w:t>
            </w:r>
          </w:p>
        </w:tc>
      </w:tr>
      <w:tr>
        <w:trPr>
          <w:trHeight w:val="207"/>
        </w:trPr>
        <w:tc>
          <w:tcPr>
            <w:tcW w:w="7740" w:type="dxa"/>
            <w:vAlign w:val="bottom"/>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3500" w:type="dxa"/>
            <w:vAlign w:val="bottom"/>
          </w:tcPr>
          <w:p>
            <w:pPr>
              <w:spacing w:after="0"/>
              <w:rPr>
                <w:sz w:val="18"/>
                <w:szCs w:val="18"/>
                <w:color w:val="auto"/>
              </w:rPr>
            </w:pPr>
          </w:p>
        </w:tc>
      </w:tr>
      <w:tr>
        <w:trPr>
          <w:trHeight w:val="254"/>
        </w:trPr>
        <w:tc>
          <w:tcPr>
            <w:tcW w:w="774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500" w:type="dxa"/>
            <w:vAlign w:val="bottom"/>
          </w:tcPr>
          <w:p>
            <w:pPr>
              <w:spacing w:after="0"/>
              <w:rPr>
                <w:sz w:val="22"/>
                <w:szCs w:val="22"/>
                <w:color w:val="auto"/>
              </w:rPr>
            </w:pPr>
          </w:p>
        </w:tc>
      </w:tr>
      <w:tr>
        <w:trPr>
          <w:trHeight w:val="279"/>
        </w:trPr>
        <w:tc>
          <w:tcPr>
            <w:tcW w:w="7740" w:type="dxa"/>
            <w:vAlign w:val="bottom"/>
          </w:tcPr>
          <w:p>
            <w:pPr>
              <w:spacing w:after="0"/>
              <w:rPr>
                <w:sz w:val="20"/>
                <w:szCs w:val="20"/>
                <w:color w:val="auto"/>
              </w:rPr>
            </w:pPr>
            <w:r>
              <w:rPr>
                <w:rFonts w:ascii="Arial" w:cs="Arial" w:eastAsia="Arial" w:hAnsi="Arial"/>
                <w:sz w:val="16"/>
                <w:szCs w:val="16"/>
                <w:color w:val="auto"/>
                <w:w w:val="94"/>
              </w:rPr>
              <w:t>Indicate the number of shares outstanding of each of the issuer’s classes of common stock, as of October 22, 2020:</w:t>
            </w:r>
          </w:p>
        </w:tc>
        <w:tc>
          <w:tcPr>
            <w:tcW w:w="3500" w:type="dxa"/>
            <w:vAlign w:val="bottom"/>
          </w:tcPr>
          <w:p>
            <w:pPr>
              <w:spacing w:after="0"/>
              <w:rPr>
                <w:sz w:val="24"/>
                <w:szCs w:val="24"/>
                <w:color w:val="auto"/>
              </w:rPr>
            </w:pPr>
          </w:p>
        </w:tc>
      </w:tr>
      <w:tr>
        <w:trPr>
          <w:trHeight w:val="230"/>
        </w:trPr>
        <w:tc>
          <w:tcPr>
            <w:tcW w:w="7740" w:type="dxa"/>
            <w:vAlign w:val="bottom"/>
          </w:tcPr>
          <w:p>
            <w:pPr>
              <w:ind w:left="2600"/>
              <w:spacing w:after="0"/>
              <w:rPr>
                <w:sz w:val="20"/>
                <w:szCs w:val="20"/>
                <w:color w:val="auto"/>
              </w:rPr>
            </w:pPr>
            <w:r>
              <w:rPr>
                <w:rFonts w:ascii="Arial" w:cs="Arial" w:eastAsia="Arial" w:hAnsi="Arial"/>
                <w:sz w:val="16"/>
                <w:szCs w:val="16"/>
                <w:color w:val="auto"/>
              </w:rPr>
              <w:t>Class</w:t>
            </w:r>
          </w:p>
        </w:tc>
        <w:tc>
          <w:tcPr>
            <w:tcW w:w="3500" w:type="dxa"/>
            <w:vAlign w:val="bottom"/>
          </w:tcPr>
          <w:p>
            <w:pPr>
              <w:jc w:val="center"/>
              <w:ind w:right="2019"/>
              <w:spacing w:after="0"/>
              <w:rPr>
                <w:sz w:val="20"/>
                <w:szCs w:val="20"/>
                <w:color w:val="auto"/>
              </w:rPr>
            </w:pPr>
            <w:r>
              <w:rPr>
                <w:rFonts w:ascii="Arial" w:cs="Arial" w:eastAsia="Arial" w:hAnsi="Arial"/>
                <w:sz w:val="16"/>
                <w:szCs w:val="16"/>
                <w:color w:val="auto"/>
                <w:w w:val="92"/>
              </w:rPr>
              <w:t>Outstanding</w:t>
            </w:r>
          </w:p>
        </w:tc>
      </w:tr>
      <w:tr>
        <w:trPr>
          <w:trHeight w:val="216"/>
        </w:trPr>
        <w:tc>
          <w:tcPr>
            <w:tcW w:w="7740" w:type="dxa"/>
            <w:vAlign w:val="bottom"/>
          </w:tcPr>
          <w:p>
            <w:pPr>
              <w:ind w:left="1780"/>
              <w:spacing w:after="0"/>
              <w:rPr>
                <w:sz w:val="20"/>
                <w:szCs w:val="20"/>
                <w:color w:val="auto"/>
              </w:rPr>
            </w:pPr>
            <w:r>
              <w:rPr>
                <w:rFonts w:ascii="Arial" w:cs="Arial" w:eastAsia="Arial" w:hAnsi="Arial"/>
                <w:sz w:val="16"/>
                <w:szCs w:val="16"/>
                <w:color w:val="auto"/>
              </w:rPr>
              <w:t>Common stock, $.01 par value</w:t>
            </w:r>
          </w:p>
        </w:tc>
        <w:tc>
          <w:tcPr>
            <w:tcW w:w="3500" w:type="dxa"/>
            <w:vAlign w:val="bottom"/>
          </w:tcPr>
          <w:p>
            <w:pPr>
              <w:jc w:val="right"/>
              <w:ind w:right="2359"/>
              <w:spacing w:after="0"/>
              <w:rPr>
                <w:sz w:val="20"/>
                <w:szCs w:val="20"/>
                <w:color w:val="auto"/>
              </w:rPr>
            </w:pPr>
            <w:r>
              <w:rPr>
                <w:rFonts w:ascii="Arial" w:cs="Arial" w:eastAsia="Arial" w:hAnsi="Arial"/>
                <w:sz w:val="16"/>
                <w:szCs w:val="16"/>
                <w:color w:val="auto"/>
              </w:rPr>
              <w:t>54,170,466</w:t>
            </w:r>
          </w:p>
        </w:tc>
      </w:tr>
      <w:tr>
        <w:trPr>
          <w:trHeight w:val="136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9440" w:type="dxa"/>
            <w:vAlign w:val="bottom"/>
            <w:gridSpan w:val="3"/>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9"/>
        </w:trPr>
        <w:tc>
          <w:tcPr>
            <w:tcW w:w="9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6"/>
        </w:trPr>
        <w:tc>
          <w:tcPr>
            <w:tcW w:w="900" w:type="dxa"/>
            <w:vAlign w:val="bottom"/>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440" w:type="dxa"/>
            <w:vAlign w:val="bottom"/>
            <w:gridSpan w:val="3"/>
          </w:tcPr>
          <w:p>
            <w:pPr>
              <w:ind w:left="20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
              <w:r>
                <w:rPr>
                  <w:rFonts w:ascii="Arial" w:cs="Arial" w:eastAsia="Arial" w:hAnsi="Arial"/>
                  <w:sz w:val="18"/>
                  <w:szCs w:val="18"/>
                  <w:color w:val="auto"/>
                </w:rPr>
                <w:t>Item 1.</w:t>
              </w:r>
            </w:hyperlink>
          </w:p>
        </w:tc>
        <w:tc>
          <w:tcPr>
            <w:tcW w:w="9440" w:type="dxa"/>
            <w:vAlign w:val="bottom"/>
            <w:gridSpan w:val="3"/>
          </w:tcPr>
          <w:p>
            <w:pPr>
              <w:ind w:left="20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Financial Statements</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440" w:type="dxa"/>
            <w:vAlign w:val="bottom"/>
            <w:gridSpan w:val="3"/>
          </w:tcPr>
          <w:p>
            <w:pPr>
              <w:ind w:left="200"/>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 xml:space="preserve">Condensed Consolidated Statements of Operations for the three-month and </w:t>
              </w:r>
            </w:hyperlink>
            <w:r>
              <w:rPr>
                <w:rFonts w:ascii="Arial" w:cs="Arial" w:eastAsia="Arial" w:hAnsi="Arial"/>
                <w:sz w:val="18"/>
                <w:szCs w:val="18"/>
                <w:color w:val="auto"/>
                <w:w w:val="90"/>
              </w:rPr>
              <w:t xml:space="preserve">nine-month </w:t>
            </w:r>
            <w:hyperlink w:anchor="page3">
              <w:r>
                <w:rPr>
                  <w:rFonts w:ascii="Arial" w:cs="Arial" w:eastAsia="Arial" w:hAnsi="Arial"/>
                  <w:sz w:val="18"/>
                  <w:szCs w:val="18"/>
                  <w:color w:val="auto"/>
                  <w:w w:val="90"/>
                </w:rPr>
                <w:t xml:space="preserve">periods ended </w:t>
              </w:r>
            </w:hyperlink>
            <w:r>
              <w:rPr>
                <w:rFonts w:ascii="Arial" w:cs="Arial" w:eastAsia="Arial" w:hAnsi="Arial"/>
                <w:sz w:val="18"/>
                <w:szCs w:val="18"/>
                <w:color w:val="auto"/>
                <w:w w:val="90"/>
              </w:rPr>
              <w:t xml:space="preserve">September 30, 2020 </w:t>
            </w:r>
            <w:hyperlink w:anchor="page3">
              <w:r>
                <w:rPr>
                  <w:rFonts w:ascii="Arial" w:cs="Arial" w:eastAsia="Arial" w:hAnsi="Arial"/>
                  <w:sz w:val="18"/>
                  <w:szCs w:val="18"/>
                  <w:color w:val="auto"/>
                  <w:w w:val="90"/>
                </w:rPr>
                <w:t>and</w:t>
              </w:r>
            </w:hyperlink>
          </w:p>
        </w:tc>
        <w:tc>
          <w:tcPr>
            <w:tcW w:w="8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2019</w:t>
            </w:r>
          </w:p>
        </w:tc>
        <w:tc>
          <w:tcPr>
            <w:tcW w:w="19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440" w:type="dxa"/>
            <w:vAlign w:val="bottom"/>
            <w:gridSpan w:val="3"/>
          </w:tcPr>
          <w:p>
            <w:pPr>
              <w:ind w:left="200"/>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 xml:space="preserve">Condensed Consolidated Statements of Comprehensive Income for the three-month and </w:t>
              </w:r>
            </w:hyperlink>
            <w:r>
              <w:rPr>
                <w:rFonts w:ascii="Arial" w:cs="Arial" w:eastAsia="Arial" w:hAnsi="Arial"/>
                <w:sz w:val="18"/>
                <w:szCs w:val="18"/>
                <w:color w:val="auto"/>
                <w:w w:val="90"/>
              </w:rPr>
              <w:t xml:space="preserve">nine-month </w:t>
            </w:r>
            <w:hyperlink w:anchor="page3">
              <w:r>
                <w:rPr>
                  <w:rFonts w:ascii="Arial" w:cs="Arial" w:eastAsia="Arial" w:hAnsi="Arial"/>
                  <w:sz w:val="18"/>
                  <w:szCs w:val="18"/>
                  <w:color w:val="auto"/>
                  <w:w w:val="90"/>
                </w:rPr>
                <w:t xml:space="preserve">periods ended </w:t>
              </w:r>
            </w:hyperlink>
            <w:r>
              <w:rPr>
                <w:rFonts w:ascii="Arial" w:cs="Arial" w:eastAsia="Arial" w:hAnsi="Arial"/>
                <w:sz w:val="18"/>
                <w:szCs w:val="18"/>
                <w:color w:val="auto"/>
                <w:w w:val="90"/>
              </w:rPr>
              <w:t>September</w:t>
            </w:r>
          </w:p>
        </w:tc>
        <w:tc>
          <w:tcPr>
            <w:tcW w:w="8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440" w:type="dxa"/>
            <w:vAlign w:val="bottom"/>
            <w:gridSpan w:val="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30, 2020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September 30, 2020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2019</w:t>
            </w: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rFonts w:ascii="Arial" w:cs="Arial" w:eastAsia="Arial" w:hAnsi="Arial"/>
                <w:sz w:val="18"/>
                <w:szCs w:val="18"/>
                <w:color w:val="auto"/>
                <w:w w:val="92"/>
              </w:rPr>
            </w:pPr>
            <w:hyperlink w:anchor="page5">
              <w:r>
                <w:rPr>
                  <w:rFonts w:ascii="Arial" w:cs="Arial" w:eastAsia="Arial" w:hAnsi="Arial"/>
                  <w:sz w:val="18"/>
                  <w:szCs w:val="18"/>
                  <w:color w:val="auto"/>
                  <w:w w:val="92"/>
                </w:rPr>
                <w:t xml:space="preserve">Condensed Consolidated Statement of Stockholders' Equity for the </w:t>
              </w:r>
            </w:hyperlink>
            <w:r>
              <w:rPr>
                <w:rFonts w:ascii="Arial" w:cs="Arial" w:eastAsia="Arial" w:hAnsi="Arial"/>
                <w:sz w:val="18"/>
                <w:szCs w:val="18"/>
                <w:color w:val="auto"/>
                <w:w w:val="92"/>
              </w:rPr>
              <w:t xml:space="preserve">nine-month </w:t>
            </w:r>
            <w:hyperlink w:anchor="page5">
              <w:r>
                <w:rPr>
                  <w:rFonts w:ascii="Arial" w:cs="Arial" w:eastAsia="Arial" w:hAnsi="Arial"/>
                  <w:sz w:val="18"/>
                  <w:szCs w:val="18"/>
                  <w:color w:val="auto"/>
                  <w:w w:val="92"/>
                </w:rPr>
                <w:t xml:space="preserve">periods ending </w:t>
              </w:r>
            </w:hyperlink>
            <w:r>
              <w:rPr>
                <w:rFonts w:ascii="Arial" w:cs="Arial" w:eastAsia="Arial" w:hAnsi="Arial"/>
                <w:sz w:val="18"/>
                <w:szCs w:val="18"/>
                <w:color w:val="auto"/>
                <w:w w:val="92"/>
              </w:rPr>
              <w:t xml:space="preserve">September 30, 2020 </w:t>
            </w:r>
            <w:hyperlink w:anchor="page5">
              <w:r>
                <w:rPr>
                  <w:rFonts w:ascii="Arial" w:cs="Arial" w:eastAsia="Arial" w:hAnsi="Arial"/>
                  <w:sz w:val="18"/>
                  <w:szCs w:val="18"/>
                  <w:color w:val="auto"/>
                  <w:w w:val="92"/>
                </w:rPr>
                <w:t xml:space="preserve">and </w:t>
              </w:r>
            </w:hyperlink>
            <w:r>
              <w:rPr>
                <w:rFonts w:ascii="Arial" w:cs="Arial" w:eastAsia="Arial" w:hAnsi="Arial"/>
                <w:sz w:val="18"/>
                <w:szCs w:val="18"/>
                <w:color w:val="auto"/>
                <w:w w:val="92"/>
              </w:rPr>
              <w:t>2019</w:t>
            </w:r>
          </w:p>
        </w:tc>
        <w:tc>
          <w:tcPr>
            <w:tcW w:w="8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rFonts w:ascii="Arial" w:cs="Arial" w:eastAsia="Arial" w:hAnsi="Arial"/>
                <w:sz w:val="18"/>
                <w:szCs w:val="18"/>
                <w:color w:val="auto"/>
                <w:w w:val="98"/>
              </w:rPr>
            </w:pPr>
            <w:hyperlink w:anchor="page7">
              <w:r>
                <w:rPr>
                  <w:rFonts w:ascii="Arial" w:cs="Arial" w:eastAsia="Arial" w:hAnsi="Arial"/>
                  <w:sz w:val="18"/>
                  <w:szCs w:val="18"/>
                  <w:color w:val="auto"/>
                  <w:w w:val="98"/>
                </w:rPr>
                <w:t xml:space="preserve">Condensed Consolidated Statements of Cash Flows for the </w:t>
              </w:r>
            </w:hyperlink>
            <w:r>
              <w:rPr>
                <w:rFonts w:ascii="Arial" w:cs="Arial" w:eastAsia="Arial" w:hAnsi="Arial"/>
                <w:sz w:val="18"/>
                <w:szCs w:val="18"/>
                <w:color w:val="auto"/>
                <w:w w:val="98"/>
              </w:rPr>
              <w:t xml:space="preserve">nine-month </w:t>
            </w:r>
            <w:hyperlink w:anchor="page7">
              <w:r>
                <w:rPr>
                  <w:rFonts w:ascii="Arial" w:cs="Arial" w:eastAsia="Arial" w:hAnsi="Arial"/>
                  <w:sz w:val="18"/>
                  <w:szCs w:val="18"/>
                  <w:color w:val="auto"/>
                  <w:w w:val="98"/>
                </w:rPr>
                <w:t xml:space="preserve">periods ended </w:t>
              </w:r>
            </w:hyperlink>
            <w:r>
              <w:rPr>
                <w:rFonts w:ascii="Arial" w:cs="Arial" w:eastAsia="Arial" w:hAnsi="Arial"/>
                <w:sz w:val="18"/>
                <w:szCs w:val="18"/>
                <w:color w:val="auto"/>
                <w:w w:val="98"/>
              </w:rPr>
              <w:t xml:space="preserve">September 30, 2020 </w:t>
            </w:r>
            <w:hyperlink w:anchor="page7">
              <w:r>
                <w:rPr>
                  <w:rFonts w:ascii="Arial" w:cs="Arial" w:eastAsia="Arial" w:hAnsi="Arial"/>
                  <w:sz w:val="18"/>
                  <w:szCs w:val="18"/>
                  <w:color w:val="auto"/>
                  <w:w w:val="98"/>
                </w:rPr>
                <w:t xml:space="preserve">and </w:t>
              </w:r>
            </w:hyperlink>
            <w:r>
              <w:rPr>
                <w:rFonts w:ascii="Arial" w:cs="Arial" w:eastAsia="Arial" w:hAnsi="Arial"/>
                <w:sz w:val="18"/>
                <w:szCs w:val="18"/>
                <w:color w:val="auto"/>
                <w:w w:val="98"/>
              </w:rPr>
              <w:t>2019</w:t>
            </w:r>
          </w:p>
        </w:tc>
        <w:tc>
          <w:tcPr>
            <w:tcW w:w="8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w:t>
              </w:r>
            </w:hyperlink>
          </w:p>
        </w:tc>
        <w:tc>
          <w:tcPr>
            <w:tcW w:w="8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9440" w:type="dxa"/>
            <w:vAlign w:val="bottom"/>
            <w:gridSpan w:val="3"/>
          </w:tcPr>
          <w:p>
            <w:pPr>
              <w:ind w:left="20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3.</w:t>
              </w:r>
            </w:hyperlink>
          </w:p>
        </w:tc>
        <w:tc>
          <w:tcPr>
            <w:tcW w:w="9440" w:type="dxa"/>
            <w:vAlign w:val="bottom"/>
            <w:gridSpan w:val="3"/>
          </w:tcPr>
          <w:p>
            <w:pPr>
              <w:ind w:left="200"/>
              <w:spacing w:after="0"/>
              <w:rPr>
                <w:rFonts w:ascii="Arial" w:cs="Arial" w:eastAsia="Arial" w:hAnsi="Arial"/>
                <w:sz w:val="18"/>
                <w:szCs w:val="18"/>
                <w:color w:val="auto"/>
              </w:rPr>
            </w:pPr>
            <w:hyperlink w:anchor="page34">
              <w:r>
                <w:rPr>
                  <w:rFonts w:ascii="Arial" w:cs="Arial" w:eastAsia="Arial" w:hAnsi="Arial"/>
                  <w:sz w:val="18"/>
                  <w:szCs w:val="18"/>
                  <w:color w:val="auto"/>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9440" w:type="dxa"/>
            <w:vAlign w:val="bottom"/>
            <w:gridSpan w:val="3"/>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w:t>
              </w:r>
            </w:hyperlink>
          </w:p>
        </w:tc>
        <w:tc>
          <w:tcPr>
            <w:tcW w:w="9440" w:type="dxa"/>
            <w:vAlign w:val="bottom"/>
            <w:gridSpan w:val="3"/>
          </w:tcPr>
          <w:p>
            <w:pPr>
              <w:ind w:left="20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OTHER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w:t>
              </w:r>
            </w:hyperlink>
          </w:p>
        </w:tc>
        <w:tc>
          <w:tcPr>
            <w:tcW w:w="9440" w:type="dxa"/>
            <w:vAlign w:val="bottom"/>
            <w:gridSpan w:val="3"/>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Legal Proceedings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1A.</w:t>
              </w:r>
            </w:hyperlink>
          </w:p>
        </w:tc>
        <w:tc>
          <w:tcPr>
            <w:tcW w:w="9440" w:type="dxa"/>
            <w:vAlign w:val="bottom"/>
            <w:gridSpan w:val="3"/>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Risk Factors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2.</w:t>
              </w:r>
            </w:hyperlink>
          </w:p>
        </w:tc>
        <w:tc>
          <w:tcPr>
            <w:tcW w:w="9440" w:type="dxa"/>
            <w:vAlign w:val="bottom"/>
            <w:gridSpan w:val="3"/>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9440" w:type="dxa"/>
            <w:vAlign w:val="bottom"/>
            <w:gridSpan w:val="3"/>
            <w:vMerge w:val="restart"/>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Defaults Upon Senior Securities</w:t>
              </w:r>
            </w:hyperlink>
          </w:p>
        </w:tc>
        <w:tc>
          <w:tcPr>
            <w:tcW w:w="880" w:type="dxa"/>
            <w:vAlign w:val="bottom"/>
            <w:vMerge w:val="restart"/>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44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9440" w:type="dxa"/>
            <w:vAlign w:val="bottom"/>
            <w:gridSpan w:val="3"/>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5.</w:t>
              </w:r>
            </w:hyperlink>
          </w:p>
        </w:tc>
        <w:tc>
          <w:tcPr>
            <w:tcW w:w="9440" w:type="dxa"/>
            <w:vAlign w:val="bottom"/>
            <w:gridSpan w:val="3"/>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Other Information</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6.</w:t>
              </w:r>
            </w:hyperlink>
          </w:p>
        </w:tc>
        <w:tc>
          <w:tcPr>
            <w:tcW w:w="9440" w:type="dxa"/>
            <w:vAlign w:val="bottom"/>
            <w:gridSpan w:val="3"/>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Exhibits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RENT-A-CENTER,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31" w:right="339" w:bottom="1440" w:gutter="0" w:footer="0" w:header="0"/>
        </w:sectPr>
      </w:pPr>
    </w:p>
    <w:p>
      <w:pPr>
        <w:spacing w:after="0" w:line="234" w:lineRule="exact"/>
        <w:rPr>
          <w:sz w:val="20"/>
          <w:szCs w:val="20"/>
          <w:color w:val="auto"/>
        </w:rPr>
      </w:pPr>
    </w:p>
    <w:p>
      <w:pPr>
        <w:jc w:val="center"/>
        <w:ind w:left="486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ind w:left="5460"/>
        <w:spacing w:after="0"/>
        <w:tabs>
          <w:tab w:leader="none" w:pos="70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31115</wp:posOffset>
            </wp:positionV>
            <wp:extent cx="1937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3"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5" w:lineRule="exact"/>
        <w:rPr>
          <w:sz w:val="20"/>
          <w:szCs w:val="20"/>
          <w:color w:val="auto"/>
        </w:rPr>
      </w:pPr>
    </w:p>
    <w:p>
      <w:pPr>
        <w:sectPr>
          <w:pgSz w:w="11900" w:h="16838" w:orient="portrait"/>
          <w:cols w:equalWidth="0" w:num="2">
            <w:col w:w="7920" w:space="720"/>
            <w:col w:w="260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48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40"/>
              <w:spacing w:after="0"/>
              <w:rPr>
                <w:sz w:val="20"/>
                <w:szCs w:val="20"/>
                <w:color w:val="auto"/>
              </w:rPr>
            </w:pPr>
            <w:r>
              <w:rPr>
                <w:rFonts w:ascii="Arial" w:cs="Arial" w:eastAsia="Arial" w:hAnsi="Arial"/>
                <w:sz w:val="18"/>
                <w:szCs w:val="18"/>
                <w:color w:val="auto"/>
              </w:rPr>
              <w:t>Store</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Rentals and fees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550,795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1,665,829</w:t>
            </w:r>
          </w:p>
        </w:tc>
        <w:tc>
          <w:tcPr>
            <w:tcW w:w="0" w:type="dxa"/>
            <w:vAlign w:val="bottom"/>
          </w:tcPr>
          <w:p>
            <w:pPr>
              <w:spacing w:after="0"/>
              <w:rPr>
                <w:sz w:val="1"/>
                <w:szCs w:val="1"/>
                <w:color w:val="auto"/>
              </w:rPr>
            </w:pPr>
          </w:p>
        </w:tc>
      </w:tr>
      <w:tr>
        <w:trPr>
          <w:trHeight w:val="229"/>
        </w:trPr>
        <w:tc>
          <w:tcPr>
            <w:tcW w:w="4880" w:type="dxa"/>
            <w:vAlign w:val="bottom"/>
          </w:tcPr>
          <w:p>
            <w:pPr>
              <w:ind w:left="660"/>
              <w:spacing w:after="0"/>
              <w:rPr>
                <w:sz w:val="20"/>
                <w:szCs w:val="20"/>
                <w:color w:val="auto"/>
              </w:rPr>
            </w:pPr>
            <w:r>
              <w:rPr>
                <w:rFonts w:ascii="Arial" w:cs="Arial" w:eastAsia="Arial" w:hAnsi="Arial"/>
                <w:sz w:val="18"/>
                <w:szCs w:val="18"/>
                <w:color w:val="auto"/>
              </w:rPr>
              <w:t>Merchandise sales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65,552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300,693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240,864</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Installment sales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49,658</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 store revenues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634,353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1,959,313</w:t>
            </w:r>
          </w:p>
        </w:tc>
        <w:tc>
          <w:tcPr>
            <w:tcW w:w="0" w:type="dxa"/>
            <w:vAlign w:val="bottom"/>
          </w:tcPr>
          <w:p>
            <w:pPr>
              <w:spacing w:after="0"/>
              <w:rPr>
                <w:sz w:val="1"/>
                <w:szCs w:val="1"/>
                <w:color w:val="auto"/>
              </w:rPr>
            </w:pPr>
          </w:p>
        </w:tc>
      </w:tr>
      <w:tr>
        <w:trPr>
          <w:trHeight w:val="230"/>
        </w:trPr>
        <w:tc>
          <w:tcPr>
            <w:tcW w:w="4880" w:type="dxa"/>
            <w:vAlign w:val="bottom"/>
          </w:tcPr>
          <w:p>
            <w:pPr>
              <w:ind w:left="340"/>
              <w:spacing w:after="0"/>
              <w:rPr>
                <w:sz w:val="20"/>
                <w:szCs w:val="20"/>
                <w:color w:val="auto"/>
              </w:rPr>
            </w:pPr>
            <w:r>
              <w:rPr>
                <w:rFonts w:ascii="Arial" w:cs="Arial" w:eastAsia="Arial" w:hAnsi="Arial"/>
                <w:sz w:val="18"/>
                <w:szCs w:val="18"/>
                <w:color w:val="auto"/>
              </w:rPr>
              <w:t>Franchise</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Merchandise sales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30,307</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Royalty income and fees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649,371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2,001,990</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660"/>
              <w:spacing w:after="0"/>
              <w:rPr>
                <w:sz w:val="20"/>
                <w:szCs w:val="20"/>
                <w:color w:val="auto"/>
              </w:rPr>
            </w:pPr>
            <w:r>
              <w:rPr>
                <w:rFonts w:ascii="Arial" w:cs="Arial" w:eastAsia="Arial" w:hAnsi="Arial"/>
                <w:sz w:val="18"/>
                <w:szCs w:val="18"/>
                <w:color w:val="auto"/>
              </w:rPr>
              <w:t>Cost of rentals and fees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167,027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161,971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489,606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473,001</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 of merchandise sold</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Cost of installment sales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 cost of store revenues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238,073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739,134</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Franchise cost of merchandise sold</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29,923</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cost of revenues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249,375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769,057</w:t>
            </w:r>
          </w:p>
        </w:tc>
        <w:tc>
          <w:tcPr>
            <w:tcW w:w="0" w:type="dxa"/>
            <w:vAlign w:val="bottom"/>
          </w:tcPr>
          <w:p>
            <w:pPr>
              <w:spacing w:after="0"/>
              <w:rPr>
                <w:sz w:val="1"/>
                <w:szCs w:val="1"/>
                <w:color w:val="auto"/>
              </w:rPr>
            </w:pPr>
          </w:p>
        </w:tc>
      </w:tr>
      <w:tr>
        <w:trPr>
          <w:trHeight w:val="223"/>
        </w:trPr>
        <w:tc>
          <w:tcPr>
            <w:tcW w:w="48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425,028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399,996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1,244,738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1,232,933</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40"/>
              <w:spacing w:after="0"/>
              <w:rPr>
                <w:sz w:val="20"/>
                <w:szCs w:val="20"/>
                <w:color w:val="auto"/>
              </w:rPr>
            </w:pPr>
            <w:r>
              <w:rPr>
                <w:rFonts w:ascii="Arial" w:cs="Arial" w:eastAsia="Arial" w:hAnsi="Arial"/>
                <w:sz w:val="18"/>
                <w:szCs w:val="18"/>
                <w:color w:val="auto"/>
              </w:rPr>
              <w:t>Store expenses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Labor</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158,666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473,221</w:t>
            </w:r>
          </w:p>
        </w:tc>
        <w:tc>
          <w:tcPr>
            <w:tcW w:w="0" w:type="dxa"/>
            <w:vAlign w:val="bottom"/>
          </w:tcPr>
          <w:p>
            <w:pPr>
              <w:spacing w:after="0"/>
              <w:rPr>
                <w:sz w:val="1"/>
                <w:szCs w:val="1"/>
                <w:color w:val="auto"/>
              </w:rPr>
            </w:pPr>
          </w:p>
        </w:tc>
      </w:tr>
      <w:tr>
        <w:trPr>
          <w:trHeight w:val="230"/>
        </w:trPr>
        <w:tc>
          <w:tcPr>
            <w:tcW w:w="4880" w:type="dxa"/>
            <w:vAlign w:val="bottom"/>
          </w:tcPr>
          <w:p>
            <w:pPr>
              <w:ind w:left="660"/>
              <w:spacing w:after="0"/>
              <w:rPr>
                <w:sz w:val="20"/>
                <w:szCs w:val="20"/>
                <w:color w:val="auto"/>
              </w:rPr>
            </w:pPr>
            <w:r>
              <w:rPr>
                <w:rFonts w:ascii="Arial" w:cs="Arial" w:eastAsia="Arial" w:hAnsi="Arial"/>
                <w:sz w:val="18"/>
                <w:szCs w:val="18"/>
                <w:color w:val="auto"/>
              </w:rPr>
              <w:t>Other store expenses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150,366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463,292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463,385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105,822</w:t>
            </w: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14,894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45,788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 and charges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(41,308)</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361,149</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1,046,908</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profit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186,025</w:t>
            </w:r>
          </w:p>
        </w:tc>
        <w:tc>
          <w:tcPr>
            <w:tcW w:w="0" w:type="dxa"/>
            <w:vAlign w:val="bottom"/>
          </w:tcPr>
          <w:p>
            <w:pPr>
              <w:spacing w:after="0"/>
              <w:rPr>
                <w:sz w:val="1"/>
                <w:szCs w:val="1"/>
                <w:color w:val="auto"/>
              </w:rPr>
            </w:pPr>
          </w:p>
        </w:tc>
      </w:tr>
      <w:tr>
        <w:trPr>
          <w:trHeight w:val="230"/>
        </w:trPr>
        <w:tc>
          <w:tcPr>
            <w:tcW w:w="4880" w:type="dxa"/>
            <w:vAlign w:val="bottom"/>
          </w:tcPr>
          <w:p>
            <w:pPr>
              <w:ind w:left="340"/>
              <w:spacing w:after="0"/>
              <w:rPr>
                <w:sz w:val="20"/>
                <w:szCs w:val="20"/>
                <w:color w:val="auto"/>
              </w:rPr>
            </w:pPr>
            <w:r>
              <w:rPr>
                <w:rFonts w:ascii="Arial" w:cs="Arial" w:eastAsia="Arial" w:hAnsi="Arial"/>
                <w:sz w:val="18"/>
                <w:szCs w:val="18"/>
                <w:color w:val="auto"/>
              </w:rPr>
              <w:t>Debt refinancing charges</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26,214</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income</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Earnings before income taxes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160,599</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27,544</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earnings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common share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0.57</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364" w:right="339" w:bottom="1440" w:gutter="0" w:footer="0" w:header="0"/>
        </w:sectPr>
      </w:pPr>
    </w:p>
    <w:p>
      <w:pPr>
        <w:spacing w:after="0" w:line="216" w:lineRule="exact"/>
        <w:rPr>
          <w:sz w:val="20"/>
          <w:szCs w:val="20"/>
          <w:color w:val="auto"/>
        </w:rPr>
      </w:pPr>
    </w:p>
    <w:p>
      <w:pPr>
        <w:jc w:val="center"/>
        <w:ind w:left="49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31115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ind w:left="5500"/>
        <w:spacing w:after="0"/>
        <w:tabs>
          <w:tab w:leader="none" w:pos="70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31115</wp:posOffset>
            </wp:positionV>
            <wp:extent cx="1920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5" w:lineRule="exact"/>
        <w:rPr>
          <w:sz w:val="20"/>
          <w:szCs w:val="20"/>
          <w:color w:val="auto"/>
        </w:rPr>
      </w:pPr>
    </w:p>
    <w:p>
      <w:pPr>
        <w:sectPr>
          <w:pgSz w:w="11900" w:h="16838" w:orient="portrait"/>
          <w:cols w:equalWidth="0" w:num="2">
            <w:col w:w="7940" w:space="720"/>
            <w:col w:w="258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Foreign currency translation adjustments, net of tax of $162</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and $(91), $(872) and $(11) for the three and nine</w:t>
            </w: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months ended September 30, 2020 and 2019, respectively</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w:t>
            </w: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133,015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8"/>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par value data)</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7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227,398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70,494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Receivables, net of allowance for doubtful accounts of $7,916 and $5,601 in 2020 and 2019, respectively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84,123</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40,172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46,043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On 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680,955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697,270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Held for 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Merchandise held for installment sale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Property assets, net of accumulated depreciation of $550,958 and $522,826 in 2020 and 2019, respectively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166,138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280,845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281,566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23"/>
        </w:trPr>
        <w:tc>
          <w:tcPr>
            <w:tcW w:w="778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1,667,565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1,582,798</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176,304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168,120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275,777</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283,784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285,041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163,984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debt, net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230,913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1,123,835</w:t>
            </w:r>
          </w:p>
        </w:tc>
        <w:tc>
          <w:tcPr>
            <w:tcW w:w="0" w:type="dxa"/>
            <w:vAlign w:val="bottom"/>
          </w:tcPr>
          <w:p>
            <w:pPr>
              <w:spacing w:after="0"/>
              <w:rPr>
                <w:sz w:val="1"/>
                <w:szCs w:val="1"/>
                <w:color w:val="auto"/>
              </w:rPr>
            </w:pPr>
          </w:p>
        </w:tc>
      </w:tr>
      <w:tr>
        <w:trPr>
          <w:trHeight w:val="230"/>
        </w:trPr>
        <w:tc>
          <w:tcPr>
            <w:tcW w:w="7780" w:type="dxa"/>
            <w:vAlign w:val="bottom"/>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Common stock, $0.01 par value; 250,000,000 shares authorized; 112,023,559 and 111,166,229 shares</w:t>
            </w: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in September 30, 2020 and December 31, 2019, respectively</w:t>
            </w:r>
          </w:p>
        </w:tc>
        <w:tc>
          <w:tcPr>
            <w:tcW w:w="18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878,965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869,617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947,875</w:t>
            </w: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line="176" w:lineRule="exact"/>
              <w:rPr>
                <w:sz w:val="20"/>
                <w:szCs w:val="20"/>
                <w:color w:val="auto"/>
              </w:rPr>
            </w:pPr>
            <w:r>
              <w:rPr>
                <w:rFonts w:ascii="Arial" w:cs="Arial" w:eastAsia="Arial" w:hAnsi="Arial"/>
                <w:sz w:val="18"/>
                <w:szCs w:val="18"/>
                <w:color w:val="auto"/>
                <w:w w:val="90"/>
              </w:rPr>
              <w:t>Treasury stock at cost, 57,889,659 and 56,428,482 shares in September 30, 2020 and December 31, 2019,</w:t>
            </w: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(1,375,541)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(1,348,969)</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458,963</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1,582,798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60" w:type="dxa"/>
            <w:vAlign w:val="bottom"/>
          </w:tcPr>
          <w:p>
            <w:pPr>
              <w:spacing w:after="0"/>
              <w:rPr>
                <w:sz w:val="17"/>
                <w:szCs w:val="17"/>
                <w:color w:val="auto"/>
              </w:rPr>
            </w:pPr>
          </w:p>
        </w:tc>
        <w:tc>
          <w:tcPr>
            <w:tcW w:w="19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96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98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0"/>
                <w:szCs w:val="10"/>
                <w:color w:val="auto"/>
              </w:rPr>
            </w:pPr>
          </w:p>
        </w:tc>
        <w:tc>
          <w:tcPr>
            <w:tcW w:w="1040" w:type="dxa"/>
            <w:vAlign w:val="bottom"/>
            <w:gridSpan w:val="2"/>
          </w:tcPr>
          <w:p>
            <w:pPr>
              <w:ind w:left="80"/>
              <w:spacing w:after="0" w:line="115" w:lineRule="exact"/>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0"/>
                <w:szCs w:val="10"/>
                <w:color w:val="auto"/>
              </w:rPr>
            </w:pPr>
          </w:p>
        </w:tc>
        <w:tc>
          <w:tcPr>
            <w:tcW w:w="130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240" w:type="dxa"/>
            <w:vAlign w:val="bottom"/>
          </w:tcPr>
          <w:p>
            <w:pPr>
              <w:spacing w:after="0"/>
              <w:rPr>
                <w:sz w:val="10"/>
                <w:szCs w:val="10"/>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(Loss) Income</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458,963</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Adoption of ASU 2016-13</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49,292</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treasury stock</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(26,525)</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Vesting of restricted share units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960" w:type="dxa"/>
            <w:vAlign w:val="bottom"/>
          </w:tcPr>
          <w:p>
            <w:pPr>
              <w:ind w:left="120"/>
              <w:spacing w:after="0" w:line="166" w:lineRule="exact"/>
              <w:rPr>
                <w:sz w:val="20"/>
                <w:szCs w:val="20"/>
                <w:color w:val="auto"/>
              </w:rPr>
            </w:pPr>
            <w:r>
              <w:rPr>
                <w:rFonts w:ascii="Arial" w:cs="Arial" w:eastAsia="Arial" w:hAnsi="Arial"/>
                <w:sz w:val="16"/>
                <w:szCs w:val="16"/>
                <w:color w:val="auto"/>
              </w:rPr>
              <w:t>Tax effect of stock awards vested and</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209"/>
        </w:trPr>
        <w:tc>
          <w:tcPr>
            <w:tcW w:w="2960" w:type="dxa"/>
            <w:vAlign w:val="bottom"/>
          </w:tcPr>
          <w:p>
            <w:pPr>
              <w:ind w:left="12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111,669</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868,580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996,398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(1,375,480)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(14,576)</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476,023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38,493</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(31,292)</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111,711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871,915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1,003,599</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(1,375,480)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486,576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64,030</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treasury stock</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4,055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MP Acquisition Share Release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(15,869)</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112,024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878,965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1,051,760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(1,375,541)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(13,950)</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542,337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364" w:right="3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RENT-A-CENTER, INC. AND SUBSIDIARIES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06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96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3"/>
                <w:szCs w:val="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142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1"/>
                <w:szCs w:val="11"/>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(1,347,677)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286,517</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ASC 842 adoption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7,323</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Vesting of restricted share units</w:t>
            </w:r>
          </w:p>
        </w:tc>
        <w:tc>
          <w:tcPr>
            <w:tcW w:w="92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Tax effect of stock awards vested and</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1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110,412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840,298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811,271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92"/>
              </w:rPr>
              <w:t>(1,347,677)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294,252</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94,455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94,455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Vesting of restricted share units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1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843,697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905,726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92"/>
              </w:rPr>
              <w:t>(1,347,677)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391,890</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31,277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213"/>
        </w:trPr>
        <w:tc>
          <w:tcPr>
            <w:tcW w:w="2960" w:type="dxa"/>
            <w:vAlign w:val="bottom"/>
          </w:tcPr>
          <w:p>
            <w:pPr>
              <w:ind w:left="12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(13,707)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MP Acquisition</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19,169</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September 30,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111,106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866,316</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923,296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w w:val="92"/>
              </w:rPr>
              <w:t>(1,347,677)</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(11,305)</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431,740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364"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6"/>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167"/>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60" w:type="dxa"/>
            <w:vAlign w:val="bottom"/>
          </w:tcPr>
          <w:p>
            <w:pPr>
              <w:ind w:left="3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151,815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133,055</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60"/>
              <w:spacing w:after="0"/>
              <w:rPr>
                <w:sz w:val="20"/>
                <w:szCs w:val="20"/>
                <w:color w:val="auto"/>
              </w:rPr>
            </w:pPr>
            <w:r>
              <w:rPr>
                <w:rFonts w:ascii="Arial" w:cs="Arial" w:eastAsia="Arial" w:hAnsi="Arial"/>
                <w:sz w:val="18"/>
                <w:szCs w:val="18"/>
                <w:color w:val="auto"/>
              </w:rPr>
              <w:t>Depreciation of rental merchandise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471,530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455,143</w:t>
            </w:r>
          </w:p>
        </w:tc>
      </w:tr>
      <w:tr>
        <w:trPr>
          <w:trHeight w:val="230"/>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w:t>
            </w:r>
          </w:p>
        </w:tc>
      </w:tr>
      <w:tr>
        <w:trPr>
          <w:trHeight w:val="229"/>
        </w:trPr>
        <w:tc>
          <w:tcPr>
            <w:tcW w:w="816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4,644</w:t>
            </w:r>
          </w:p>
        </w:tc>
      </w:tr>
      <w:tr>
        <w:trPr>
          <w:trHeight w:val="230"/>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of property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45,551</w:t>
            </w:r>
          </w:p>
        </w:tc>
      </w:tr>
      <w:tr>
        <w:trPr>
          <w:trHeight w:val="229"/>
        </w:trPr>
        <w:tc>
          <w:tcPr>
            <w:tcW w:w="8160" w:type="dxa"/>
            <w:vAlign w:val="bottom"/>
          </w:tcPr>
          <w:p>
            <w:pPr>
              <w:ind w:left="660"/>
              <w:spacing w:after="0"/>
              <w:rPr>
                <w:sz w:val="20"/>
                <w:szCs w:val="20"/>
                <w:color w:val="auto"/>
              </w:rPr>
            </w:pPr>
            <w:r>
              <w:rPr>
                <w:rFonts w:ascii="Arial" w:cs="Arial" w:eastAsia="Arial" w:hAnsi="Arial"/>
                <w:sz w:val="18"/>
                <w:szCs w:val="18"/>
                <w:color w:val="auto"/>
              </w:rPr>
              <w:t>Loss on sale or disposal of property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8160" w:type="dxa"/>
            <w:vAlign w:val="bottom"/>
          </w:tcPr>
          <w:p>
            <w:pPr>
              <w:ind w:left="660"/>
              <w:spacing w:after="0"/>
              <w:rPr>
                <w:sz w:val="20"/>
                <w:szCs w:val="20"/>
                <w:color w:val="auto"/>
              </w:rPr>
            </w:pPr>
            <w:r>
              <w:rPr>
                <w:rFonts w:ascii="Arial" w:cs="Arial" w:eastAsia="Arial" w:hAnsi="Arial"/>
                <w:sz w:val="18"/>
                <w:szCs w:val="18"/>
                <w:color w:val="auto"/>
              </w:rPr>
              <w:t>Amortization of financing fees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2,574</w:t>
            </w:r>
          </w:p>
        </w:tc>
      </w:tr>
      <w:tr>
        <w:trPr>
          <w:trHeight w:val="229"/>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Write-off of debt financing fees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r>
      <w:tr>
        <w:trPr>
          <w:trHeight w:val="229"/>
        </w:trPr>
        <w:tc>
          <w:tcPr>
            <w:tcW w:w="816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16,629</w:t>
            </w:r>
          </w:p>
        </w:tc>
      </w:tr>
      <w:tr>
        <w:trPr>
          <w:trHeight w:val="230"/>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net of acquired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60"/>
              <w:spacing w:after="0"/>
              <w:rPr>
                <w:sz w:val="20"/>
                <w:szCs w:val="20"/>
                <w:color w:val="auto"/>
              </w:rPr>
            </w:pPr>
            <w:r>
              <w:rPr>
                <w:rFonts w:ascii="Arial" w:cs="Arial" w:eastAsia="Arial" w:hAnsi="Arial"/>
                <w:sz w:val="18"/>
                <w:szCs w:val="18"/>
                <w:color w:val="auto"/>
              </w:rPr>
              <w:t>Rental merchandise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(387,098)</w:t>
            </w:r>
          </w:p>
        </w:tc>
      </w:tr>
      <w:tr>
        <w:trPr>
          <w:trHeight w:val="230"/>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w:t>
            </w:r>
          </w:p>
        </w:tc>
      </w:tr>
      <w:tr>
        <w:trPr>
          <w:trHeight w:val="229"/>
        </w:trPr>
        <w:tc>
          <w:tcPr>
            <w:tcW w:w="816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10,080</w:t>
            </w:r>
          </w:p>
        </w:tc>
      </w:tr>
      <w:tr>
        <w:trPr>
          <w:trHeight w:val="229"/>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right-of-use assets and lease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r>
      <w:tr>
        <w:trPr>
          <w:trHeight w:val="230"/>
        </w:trPr>
        <w:tc>
          <w:tcPr>
            <w:tcW w:w="8160" w:type="dxa"/>
            <w:vAlign w:val="bottom"/>
          </w:tcPr>
          <w:p>
            <w:pPr>
              <w:ind w:left="660"/>
              <w:spacing w:after="0"/>
              <w:rPr>
                <w:sz w:val="20"/>
                <w:szCs w:val="20"/>
                <w:color w:val="auto"/>
              </w:rPr>
            </w:pPr>
            <w:r>
              <w:rPr>
                <w:rFonts w:ascii="Arial" w:cs="Arial" w:eastAsia="Arial" w:hAnsi="Arial"/>
                <w:sz w:val="18"/>
                <w:szCs w:val="18"/>
                <w:color w:val="auto"/>
              </w:rPr>
              <w:t>Accounts payable – trade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(8,796)</w:t>
            </w:r>
          </w:p>
        </w:tc>
      </w:tr>
      <w:tr>
        <w:trPr>
          <w:trHeight w:val="229"/>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(51,341)</w:t>
            </w:r>
          </w:p>
        </w:tc>
      </w:tr>
      <w:tr>
        <w:trPr>
          <w:trHeight w:val="223"/>
        </w:trPr>
        <w:tc>
          <w:tcPr>
            <w:tcW w:w="81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228,129</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40"/>
              <w:spacing w:after="0"/>
              <w:rPr>
                <w:sz w:val="20"/>
                <w:szCs w:val="20"/>
                <w:color w:val="auto"/>
              </w:rPr>
            </w:pPr>
            <w:r>
              <w:rPr>
                <w:rFonts w:ascii="Arial" w:cs="Arial" w:eastAsia="Arial" w:hAnsi="Arial"/>
                <w:sz w:val="18"/>
                <w:szCs w:val="18"/>
                <w:color w:val="auto"/>
              </w:rPr>
              <w:t>Purchase of property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(12,010)</w:t>
            </w:r>
          </w:p>
        </w:tc>
      </w:tr>
      <w:tr>
        <w:trPr>
          <w:trHeight w:val="230"/>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16,922</w:t>
            </w:r>
          </w:p>
        </w:tc>
      </w:tr>
      <w:tr>
        <w:trPr>
          <w:trHeight w:val="229"/>
        </w:trPr>
        <w:tc>
          <w:tcPr>
            <w:tcW w:w="8160" w:type="dxa"/>
            <w:vAlign w:val="bottom"/>
          </w:tcPr>
          <w:p>
            <w:pPr>
              <w:ind w:left="340"/>
              <w:spacing w:after="0"/>
              <w:rPr>
                <w:sz w:val="20"/>
                <w:szCs w:val="20"/>
                <w:color w:val="auto"/>
              </w:rPr>
            </w:pPr>
            <w:r>
              <w:rPr>
                <w:rFonts w:ascii="Arial" w:cs="Arial" w:eastAsia="Arial" w:hAnsi="Arial"/>
                <w:sz w:val="18"/>
                <w:szCs w:val="18"/>
                <w:color w:val="auto"/>
              </w:rPr>
              <w:t>Hurricane insurance recovery proceeds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(28,722)</w:t>
            </w:r>
          </w:p>
        </w:tc>
      </w:tr>
      <w:tr>
        <w:trPr>
          <w:trHeight w:val="223"/>
        </w:trPr>
        <w:tc>
          <w:tcPr>
            <w:tcW w:w="816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(22,815)</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40"/>
              <w:spacing w:after="0"/>
              <w:rPr>
                <w:sz w:val="20"/>
                <w:szCs w:val="20"/>
                <w:color w:val="auto"/>
              </w:rPr>
            </w:pPr>
            <w:r>
              <w:rPr>
                <w:rFonts w:ascii="Arial" w:cs="Arial" w:eastAsia="Arial" w:hAnsi="Arial"/>
                <w:sz w:val="18"/>
                <w:szCs w:val="18"/>
                <w:color w:val="auto"/>
              </w:rPr>
              <w:t>Share repurchases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r>
      <w:tr>
        <w:trPr>
          <w:trHeight w:val="229"/>
        </w:trPr>
        <w:tc>
          <w:tcPr>
            <w:tcW w:w="8160" w:type="dxa"/>
            <w:vAlign w:val="bottom"/>
          </w:tcPr>
          <w:p>
            <w:pPr>
              <w:ind w:left="340"/>
              <w:spacing w:after="0"/>
              <w:rPr>
                <w:sz w:val="20"/>
                <w:szCs w:val="20"/>
                <w:color w:val="auto"/>
              </w:rPr>
            </w:pPr>
            <w:r>
              <w:rPr>
                <w:rFonts w:ascii="Arial" w:cs="Arial" w:eastAsia="Arial" w:hAnsi="Arial"/>
                <w:sz w:val="18"/>
                <w:szCs w:val="18"/>
                <w:color w:val="auto"/>
              </w:rPr>
              <w:t>Shares withheld for payment of employee tax withholdings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30"/>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r>
      <w:tr>
        <w:trPr>
          <w:trHeight w:val="230"/>
        </w:trPr>
        <w:tc>
          <w:tcPr>
            <w:tcW w:w="8160" w:type="dxa"/>
            <w:vAlign w:val="bottom"/>
          </w:tcPr>
          <w:p>
            <w:pPr>
              <w:ind w:left="340"/>
              <w:spacing w:after="0"/>
              <w:rPr>
                <w:sz w:val="20"/>
                <w:szCs w:val="20"/>
                <w:color w:val="auto"/>
              </w:rPr>
            </w:pPr>
            <w:r>
              <w:rPr>
                <w:rFonts w:ascii="Arial" w:cs="Arial" w:eastAsia="Arial" w:hAnsi="Arial"/>
                <w:sz w:val="18"/>
                <w:szCs w:val="18"/>
                <w:color w:val="auto"/>
              </w:rPr>
              <w:t>Proceeds from debt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285,400</w:t>
            </w:r>
          </w:p>
        </w:tc>
      </w:tr>
      <w:tr>
        <w:trPr>
          <w:trHeight w:val="230"/>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debt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(568,140)</w:t>
            </w:r>
          </w:p>
        </w:tc>
      </w:tr>
      <w:tr>
        <w:trPr>
          <w:trHeight w:val="229"/>
        </w:trPr>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(287,114)</w:t>
            </w:r>
          </w:p>
        </w:tc>
      </w:tr>
      <w:tr>
        <w:trPr>
          <w:trHeight w:val="229"/>
        </w:trPr>
        <w:tc>
          <w:tcPr>
            <w:tcW w:w="81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(81,709)</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155,391</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of Rent-A-Center,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2019.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first quarter of 2020, the respiratory disease caused by a novel coronavirus (“COVID-19”) began to spread worldwide causing the World Health Organization to declare the outbreak a pandemic, and resulting in significant disruptions to the U.S. and world economies. In response to the issuance of U.S. federal guidelines to contain the spread of the COVID-19 virus, state and local jurisdictions implemented various containment measures, including temporary shelter-in-place orders and closure of non-essential businesses. The effects of these containment measures negatively impacted our operations resulting in the temporary or partial closure of certain locations in all of our U.S. operating segments during the first half of 2020. In addition, certain of our Mexico locations were also temporarily closed in accordance with jurisdictional ordinances issued in Mexico. In response to these restrictions and negative impacts to our operations, we implemented certain measures to reduce operating expenses and cash flow uses in order to mitigate these effects. In addition, we implemented additional electronic payment methods for our Rent-A-Center Business and Preferred Lease customers.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pandemic is ongoing and uncertainties remain that may not allow us to accurately predict the full impact that COVID-19 will ultimately have on our business, all locations in our Rent-A-Center Business, Franchising and Mexico operating segments, and staffed Preferred Lease locations temporarily or partially closed at the onset of the pandemic, were reopened in the second quarter of 2020 and continue to remain fully operational.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future unknown impacts of the COVID-19 pandemic, may affect certain estimates and assumptions inherent in the financial reporting process, which may impact reported amounts of assets and liabilities in future periods and cause actual results to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the "Company", “we,” “us” and “our” refer to the consolidated business operations of Rent-A-Center and any or all of its direct and indirect subsidiaries. We report four operating segments: Rent-A-Center Business, Preferred Lease, Mexico and Franchising.</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Preferred Lease segment, which operates in the United States and Puerto Rico, and includes the operations of Merchants Preferred (as defined in Note 2 below) acquired in August 2019, generally offers the lease-to-own transaction to consumers who do not qualify for financing from the traditional retailer through kiosks located within such retailer's locations, including staffed options, unstaffed or virtual options, or a combination of the two (the hybrid model). The hybrid model can be staffed by a Preferred Lease employee (staffed locations) or employ a virtual solution where customers, either directly or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assistance of a representative of the third-party retailer, initiate the lease-to-own transaction online in the retailers' locations using our virtual solutions (virtual locations).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Rent-A-Center Franchising International, Inc., an indirect, wholly owned subsidiary of Rent-A-Center,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xml:space="preserve"> which requires immediate recognition of estimated current expected credit losses, rather than recognition when incurred. We adopted ASU 2016-13 and all related amendments, including ASU 2020-02 and ASU 2020-03, beginning January 1, 2020, using a modified retrospective approach. Under such approach, we recognized a cumulative-effect of the guidance as an adjustment to the opening balance of retained earnings for the quarter ended March 31, 2020. The application of this new methodology is limited to our installment notes receivables and trade receivables with our franchisees, primarily related to merchandise sales. The comparative information has not been restated and continues to be reported under the accounting standards in effect for periods ending prior to January 1, 2020.</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 as of January 1, 2020 resulting from the adoption of ASU 2016-13 and related amendments was a net decrease to opening retained earnings in our condensed consolidated balance sheet of $0.8 million. See Note 4 for additional information regarding our trade and note receivables and related allowances for doubtful accounts.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simplifies the subsequent measurement of goodwill by eliminating the hypothetical purchase price allocation and instead using the difference between the carrying amount and the fair value of the reporting unit. We adopted ASU 2017-04 beginning January 1, 2020, using a prospective approach. There was no impact on our financial statements for the nine months ended September 30, 2020 resulting from the adoption of this ASU.</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which removes, modifies, and adds certain disclosure requirements in ASC 820, to improve the effectiveness of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disclosures. We adopted ASU 2018-13 beginning January 1, 2020, using a prospective approach. There was no impact on our financial statements for the nine months ended September 30, 2020 resulting from the adoption of this ASU.</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w:t>
      </w:r>
      <w:r>
        <w:rPr>
          <w:rFonts w:ascii="Arial" w:cs="Arial" w:eastAsia="Arial" w:hAnsi="Arial"/>
          <w:sz w:val="17"/>
          <w:szCs w:val="17"/>
          <w:color w:val="auto"/>
        </w:rPr>
        <w:t>which requires implementation costs incurred by customers in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to be deferred and recognized over the term of the arrangement, if those costs would be capitalized by the customer in a software licensing agreement under the internal-use software guidance in ASC 350-40. We adopted ASU 2018-15 beginning January 1, 2020, using a prospective approach. Following our adoption of this ASU, deferred implementation costs related to cloud computing arrangements are recorded to prepaid expenses and other assets in our condensed consolidated balance sheet and subsequently amortized to other store expenses in our condensed consolidated statement of operations. Impacts to our financial statements resulting from the adoption of this ASU were immaterial to our financial statements for the nine months ended September 30,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Store Sales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August 13, 2019, we completed the acquisition of substantially all of the assets of C/C Financial Corp. dba Merchants Preferred ("Merchants Preferred"), a nationwide provider of virtual lease-to-own services. The aggregate purchase price was approximately $46.4 million, including net cash consideration of approximately $28.0 million, and 701,918 shares of our common stock valued at $27.31 per share, as of the date of closing, less working capital adjustments of approximately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Assets acquired and liabilities assumed in connection with the acquisition have been recorded at their fair values. The following table provides the final estimated fair values of the identifiable assets acquired and liabilities assumed as of the acquisition date: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August 13, 2019</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17,904</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4,300</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operating leases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8,900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 measurements were primarily based on significant unobservable inputs (level 3) developed using company-specific information. Certain fair value estimates were determined based on an independent valuation of the net assets acquired, including identifiable intangible assets, relating to dealer relationships of $8.9 million, and software of $4.3 million. The fair value for dealer relationships and software were estimated using common industry valuation methods for similar asset types, based primarily on cost inputs and projected cash flows. The dealer relationships and software assets were both assigned remaining lives of 10 years.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we recorded goodwill of $13.4 million, which consists of the excess of the net purchase price over the fair value of the net assets acquired. The goodwill is not deductible for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Refranchise Sale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22, 2020, we entered into an asset purchase agreement to sell all 99 Rent-A-Center Business corporate stores in the state of California to an experienced franchisee. The sale was consummated on October 5, 2020 for cash consideration of approximately $16 million, including approximately $1 million paid for related franchise fees. In accordance with the criteria included in US GAAP, assets sold in connection with the sale were classified as assets held for sale and reported at their net book value as of September 30, 2020, including idle and on-rent inventory of approximately $31.1 million and property assets of approximately $0.8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for the periods ended September 30, 2020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21"/>
                <w:szCs w:val="2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4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414,798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153,306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579,573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91,233</w:t>
            </w:r>
          </w:p>
        </w:tc>
        <w:tc>
          <w:tcPr>
            <w:tcW w:w="0" w:type="dxa"/>
            <w:vAlign w:val="bottom"/>
          </w:tcPr>
          <w:p>
            <w:pPr>
              <w:spacing w:after="0"/>
              <w:rPr>
                <w:sz w:val="1"/>
                <w:szCs w:val="1"/>
                <w:color w:val="auto"/>
              </w:rPr>
            </w:pPr>
          </w:p>
        </w:tc>
      </w:tr>
      <w:tr>
        <w:trPr>
          <w:trHeight w:val="230"/>
        </w:trPr>
        <w:tc>
          <w:tcPr>
            <w:tcW w:w="4040" w:type="dxa"/>
            <w:vAlign w:val="bottom"/>
          </w:tcPr>
          <w:p>
            <w:pPr>
              <w:ind w:left="34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3"/>
        </w:trPr>
        <w:tc>
          <w:tcPr>
            <w:tcW w:w="4040" w:type="dxa"/>
            <w:vAlign w:val="bottom"/>
          </w:tcPr>
          <w:p>
            <w:pPr>
              <w:ind w:left="54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688,230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23"/>
        </w:trPr>
        <w:tc>
          <w:tcPr>
            <w:tcW w:w="404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712,015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2"/>
              </w:rPr>
              <w:t>Nine Months Ended September 30, 2020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21"/>
                <w:szCs w:val="2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340"/>
              <w:spacing w:after="0"/>
              <w:rPr>
                <w:sz w:val="20"/>
                <w:szCs w:val="20"/>
                <w:color w:val="auto"/>
              </w:rPr>
            </w:pPr>
            <w:r>
              <w:rPr>
                <w:rFonts w:ascii="Arial" w:cs="Arial" w:eastAsia="Arial" w:hAnsi="Arial"/>
                <w:sz w:val="18"/>
                <w:szCs w:val="18"/>
                <w:color w:val="auto"/>
              </w:rPr>
              <w:t>Rentals and fees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1,193,301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454,744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34,265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1,682,310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Merchandise sales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300,693</w:t>
            </w:r>
          </w:p>
        </w:tc>
        <w:tc>
          <w:tcPr>
            <w:tcW w:w="0" w:type="dxa"/>
            <w:vAlign w:val="bottom"/>
          </w:tcPr>
          <w:p>
            <w:pPr>
              <w:spacing w:after="0"/>
              <w:rPr>
                <w:sz w:val="1"/>
                <w:szCs w:val="1"/>
                <w:color w:val="auto"/>
              </w:rPr>
            </w:pP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rPr>
              <w:t>Installment sales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48,970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4020" w:type="dxa"/>
            <w:vAlign w:val="bottom"/>
          </w:tcPr>
          <w:p>
            <w:pPr>
              <w:ind w:left="540"/>
              <w:spacing w:after="0"/>
              <w:rPr>
                <w:sz w:val="20"/>
                <w:szCs w:val="20"/>
                <w:color w:val="auto"/>
              </w:rPr>
            </w:pPr>
            <w:r>
              <w:rPr>
                <w:rFonts w:ascii="Arial" w:cs="Arial" w:eastAsia="Arial" w:hAnsi="Arial"/>
                <w:sz w:val="18"/>
                <w:szCs w:val="18"/>
                <w:color w:val="auto"/>
              </w:rPr>
              <w:t>Total store revenues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1,388,380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2,034,314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340"/>
              <w:spacing w:after="0"/>
              <w:rPr>
                <w:sz w:val="20"/>
                <w:szCs w:val="20"/>
                <w:color w:val="auto"/>
              </w:rPr>
            </w:pPr>
            <w:r>
              <w:rPr>
                <w:rFonts w:ascii="Arial" w:cs="Arial" w:eastAsia="Arial" w:hAnsi="Arial"/>
                <w:sz w:val="18"/>
                <w:szCs w:val="18"/>
                <w:color w:val="auto"/>
              </w:rPr>
              <w:t>Merchandise sales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49,553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0" w:type="dxa"/>
            <w:vAlign w:val="bottom"/>
          </w:tcPr>
          <w:p>
            <w:pPr>
              <w:spacing w:after="0"/>
              <w:rPr>
                <w:sz w:val="1"/>
                <w:szCs w:val="1"/>
                <w:color w:val="auto"/>
              </w:rPr>
            </w:pPr>
          </w:p>
        </w:tc>
      </w:tr>
      <w:tr>
        <w:trPr>
          <w:trHeight w:val="223"/>
        </w:trPr>
        <w:tc>
          <w:tcPr>
            <w:tcW w:w="40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1,388,380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2,097,700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5"/>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21"/>
                <w:szCs w:val="2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rPr>
              <w:t>Rentals and fees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389,421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148,711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550,795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Merchandise sales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65,552</w:t>
            </w:r>
          </w:p>
        </w:tc>
        <w:tc>
          <w:tcPr>
            <w:tcW w:w="0" w:type="dxa"/>
            <w:vAlign w:val="bottom"/>
          </w:tcPr>
          <w:p>
            <w:pPr>
              <w:spacing w:after="0"/>
              <w:rPr>
                <w:sz w:val="1"/>
                <w:szCs w:val="1"/>
                <w:color w:val="auto"/>
              </w:rPr>
            </w:pPr>
          </w:p>
        </w:tc>
      </w:tr>
      <w:tr>
        <w:trPr>
          <w:trHeight w:val="229"/>
        </w:trPr>
        <w:tc>
          <w:tcPr>
            <w:tcW w:w="4020" w:type="dxa"/>
            <w:vAlign w:val="bottom"/>
          </w:tcPr>
          <w:p>
            <w:pPr>
              <w:ind w:left="340"/>
              <w:spacing w:after="0"/>
              <w:rPr>
                <w:sz w:val="20"/>
                <w:szCs w:val="20"/>
                <w:color w:val="auto"/>
              </w:rPr>
            </w:pPr>
            <w:r>
              <w:rPr>
                <w:rFonts w:ascii="Arial" w:cs="Arial" w:eastAsia="Arial" w:hAnsi="Arial"/>
                <w:sz w:val="18"/>
                <w:szCs w:val="18"/>
                <w:color w:val="auto"/>
              </w:rPr>
              <w:t>Installment sales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16,952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4020" w:type="dxa"/>
            <w:vAlign w:val="bottom"/>
          </w:tcPr>
          <w:p>
            <w:pPr>
              <w:ind w:left="540"/>
              <w:spacing w:after="0"/>
              <w:rPr>
                <w:sz w:val="20"/>
                <w:szCs w:val="20"/>
                <w:color w:val="auto"/>
              </w:rPr>
            </w:pPr>
            <w:r>
              <w:rPr>
                <w:rFonts w:ascii="Arial" w:cs="Arial" w:eastAsia="Arial" w:hAnsi="Arial"/>
                <w:sz w:val="18"/>
                <w:szCs w:val="18"/>
                <w:color w:val="auto"/>
              </w:rPr>
              <w:t>Total store revenues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436,497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184,486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634,353</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rPr>
              <w:t>Merchandise sales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23"/>
        </w:trPr>
        <w:tc>
          <w:tcPr>
            <w:tcW w:w="40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184,486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2"/>
              </w:rPr>
              <w:t>Nine Months Ended September 30, 2019</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21"/>
                <w:szCs w:val="2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rPr>
              <w:t>Rentals and fees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1,196,800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431,008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38,021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1,665,829</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Merchandise sales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240,864</w:t>
            </w:r>
          </w:p>
        </w:tc>
        <w:tc>
          <w:tcPr>
            <w:tcW w:w="0" w:type="dxa"/>
            <w:vAlign w:val="bottom"/>
          </w:tcPr>
          <w:p>
            <w:pPr>
              <w:spacing w:after="0"/>
              <w:rPr>
                <w:sz w:val="1"/>
                <w:szCs w:val="1"/>
                <w:color w:val="auto"/>
              </w:rPr>
            </w:pP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rPr>
              <w:t>Installment sales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49,658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23"/>
        </w:trPr>
        <w:tc>
          <w:tcPr>
            <w:tcW w:w="4020" w:type="dxa"/>
            <w:vAlign w:val="bottom"/>
          </w:tcPr>
          <w:p>
            <w:pPr>
              <w:ind w:left="540"/>
              <w:spacing w:after="0"/>
              <w:rPr>
                <w:sz w:val="20"/>
                <w:szCs w:val="20"/>
                <w:color w:val="auto"/>
              </w:rPr>
            </w:pPr>
            <w:r>
              <w:rPr>
                <w:rFonts w:ascii="Arial" w:cs="Arial" w:eastAsia="Arial" w:hAnsi="Arial"/>
                <w:sz w:val="18"/>
                <w:szCs w:val="18"/>
                <w:color w:val="auto"/>
              </w:rPr>
              <w:t>Total store revenues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1,361,650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557,397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40,266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1,959,313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rPr>
              <w:t>Merchandise sales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30,307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23"/>
        </w:trPr>
        <w:tc>
          <w:tcPr>
            <w:tcW w:w="40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1,361,650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557,397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42,677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2,001,990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Preferred Lease, and Mexico</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Rentals and Fees. </w:t>
      </w:r>
      <w:r>
        <w:rPr>
          <w:rFonts w:ascii="Arial" w:cs="Arial" w:eastAsia="Arial" w:hAnsi="Arial"/>
          <w:sz w:val="18"/>
          <w:szCs w:val="18"/>
          <w:color w:val="auto"/>
        </w:rPr>
        <w:t>Rental merchandise is leased to customers pursuant to rental purchase agreements, which provide for weekly, semi-monthly or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rental terms with non-refundable rental payments. At the expiration of each rental term, customers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renew the rental agreement for the next rental term. 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Rental payments received at our Rent-A-Center Business, Preferred Lease (excluding virtual) and Mexico locations must be prepaid in advance of the next rental term. Under the virtual business model, revenues are earned prior to the rental payment due date. Therefore, virtual business revenue is accrued prior to receipt of the rental payment, net of estimated returns and uncollectible renewal payments. Under both models, rental revenue is recognized over the rental term. See Note 4 for additional information regarding accrued rental revenue and the related allowances for returns and uncollectible payments.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received for rental payments, including fees, prior to the period in which it should be recognized, is deferred and recognized according to the rental term. At September 30, 2020 and December 31, 2019, we had $41.9 million and $39.9 million, respectively, in deferred revenue included in accrued liabilities related to our rental purchase agreements. Revenue related to various payment, reinstatement or late fees is recognized when paid by the customer at the point service is provided. Rental merchandise is depreciated using the income forecasting method and is recognized in cost of sales over the rental term.</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Preferred Lease, and Mexico</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Installment Sales. </w:t>
      </w:r>
      <w:r>
        <w:rPr>
          <w:rFonts w:ascii="Arial" w:cs="Arial" w:eastAsia="Arial" w:hAnsi="Arial"/>
          <w:sz w:val="16"/>
          <w:szCs w:val="16"/>
          <w:color w:val="auto"/>
        </w:rPr>
        <w:t>Revenue from the sale of merchandise in our retail installment stores is recognized when the installment note is signed and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September 30, 2020 and December 31, 2019, we had $3.0 million and $2.9 million in deferred revenue included in accrued liabilities related to extended service plans.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primarily consists of other miscellaneous product plans offered to our rental and installment customers. Revenue for other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September 30, 2020 and December 31, 2019, we had $4.2 million and $4.5 million, respectively, in deferred revenue included in accrued liabilities related to franchise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Allowance for Doubtful Accounts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nine months ended September 30, 2020 was $8.5 million.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and notes receivables consist primarily of amounts owed from our franchisees for inventory purchases, earned royalties and other obligations; and other corporate related receivables. Credit is extended based on an evaluation of a franchisee’s financial condition and collateral is generally not required. Trade receivables are generally due within 30 days.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Installment sales receivables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w w:val="98"/>
              </w:rPr>
              <w:t>57,939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56,370</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and notes receivables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w w:val="98"/>
              </w:rPr>
              <w:t>25,448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33,354</w:t>
            </w:r>
          </w:p>
        </w:tc>
      </w:tr>
      <w:tr>
        <w:trPr>
          <w:trHeight w:val="212"/>
        </w:trPr>
        <w:tc>
          <w:tcPr>
            <w:tcW w:w="7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receivables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98"/>
              </w:rPr>
              <w:t>83,387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89,724</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doubtful accounts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w w:val="94"/>
              </w:rPr>
              <w:t>(7,916)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w w:val="94"/>
              </w:rPr>
              <w:t>(5,601)</w:t>
            </w:r>
          </w:p>
        </w:tc>
      </w:tr>
      <w:tr>
        <w:trPr>
          <w:trHeight w:val="237"/>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receivables, net of allowance for doubtful accounts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w w:val="98"/>
              </w:rPr>
              <w:t>75,471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84,123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doubtful accounts related to trade and notes receivable was $0.9 million and $1.5 million at September 30, 2020 and December 31, 2019, respectively. The allowance for doubtful accounts related to installment sales receivable was $7.0 million and $4.1 million at September 30, 2020 and December 31,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6"/>
              </w:rPr>
              <w:t>September 30, 2020</w:t>
            </w:r>
          </w:p>
        </w:tc>
      </w:tr>
      <w:tr>
        <w:trPr>
          <w:trHeight w:val="215"/>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w:t>
            </w:r>
          </w:p>
        </w:tc>
      </w:tr>
      <w:tr>
        <w:trPr>
          <w:trHeight w:val="216"/>
        </w:trPr>
        <w:tc>
          <w:tcPr>
            <w:tcW w:w="95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Bad debt expense </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10,959</w:t>
            </w:r>
          </w:p>
        </w:tc>
      </w:tr>
      <w:tr>
        <w:trPr>
          <w:trHeight w:val="216"/>
        </w:trPr>
        <w:tc>
          <w:tcPr>
            <w:tcW w:w="9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written off</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(9,141)</w:t>
            </w:r>
          </w:p>
        </w:tc>
      </w:tr>
      <w:tr>
        <w:trPr>
          <w:trHeight w:val="213"/>
        </w:trPr>
        <w:tc>
          <w:tcPr>
            <w:tcW w:w="9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Recoveries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238"/>
        </w:trPr>
        <w:tc>
          <w:tcPr>
            <w:tcW w:w="9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Ending allowance for doubtful accounts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Uncollectible installment payments, franchisee obligations, and other corporate receivables are recognized in other store operating expenses in our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lease space for all of our Rent-A-Center Business and Mexico stores under operating leases expiring at various times through 2027.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 We include month-to-month leases in operating lease right-of-use assets and operating lease liabilities in our condensed consolidated balance sheet.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 We also lease vehicles for all of our Mexico stores which have terms expiring at various times through 2022 with rental rates adjusted periodically for inflation. Finally, we have a minimal number of equipment leases, primarily related to temporary storage containers and certain back office technology hardware assets.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all of the leases described above, we have elected not to separate the lease and non-lease components and account for these as a single component. We have also elected to use the practical expedients that remove the requirement to reassess whether expired or existing contracts contain leases and the requirement to reassess the lease classification for any existing leases prior to our adoption of ASU 2016-02.</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right-of-use assets and operating lease liabilities are discounted using our incremental borrowing rate, since the implicit rate is not readily determinable. We do not currently have any financing leases.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420" w:type="dxa"/>
            <w:vAlign w:val="bottom"/>
            <w:gridSpan w:val="4"/>
          </w:tcPr>
          <w:p>
            <w:pPr>
              <w:ind w:lef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September 30, 2019</w:t>
            </w:r>
          </w:p>
        </w:tc>
        <w:tc>
          <w:tcPr>
            <w:tcW w:w="0" w:type="dxa"/>
            <w:vAlign w:val="bottom"/>
          </w:tcPr>
          <w:p>
            <w:pPr>
              <w:spacing w:after="0"/>
              <w:rPr>
                <w:sz w:val="1"/>
                <w:szCs w:val="1"/>
                <w:color w:val="auto"/>
              </w:rPr>
            </w:pPr>
          </w:p>
        </w:tc>
      </w:tr>
      <w:tr>
        <w:trPr>
          <w:trHeight w:val="162"/>
        </w:trPr>
        <w:tc>
          <w:tcPr>
            <w:tcW w:w="394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Operating lease cost included in other store</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34,682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36,441</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106,559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111,226</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20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Operating lease cost included in other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receipts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4"/>
              </w:rPr>
              <w:t>(6,641)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Total operating lease charges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115,852</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Includes short-term lease costs, which are not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w:t>
      </w:r>
    </w:p>
    <w:p>
      <w:pPr>
        <w:sectPr>
          <w:pgSz w:w="11900" w:h="16838" w:orient="portrait"/>
          <w:cols w:equalWidth="0" w:num="1">
            <w:col w:w="11240"/>
          </w:cols>
          <w:pgMar w:left="320" w:top="121" w:right="339" w:bottom="1440" w:gutter="0" w:footer="0" w:header="0"/>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Nine Months Ended</w:t>
      </w:r>
    </w:p>
    <w:p>
      <w:pPr>
        <w:spacing w:after="0" w:line="28" w:lineRule="exact"/>
        <w:rPr>
          <w:sz w:val="20"/>
          <w:szCs w:val="20"/>
          <w:color w:val="auto"/>
        </w:rPr>
      </w:pPr>
    </w:p>
    <w:p>
      <w:pPr>
        <w:jc w:val="center"/>
        <w:ind w:right="280"/>
        <w:spacing w:after="0"/>
        <w:tabs>
          <w:tab w:leader="none" w:pos="66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5"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operating lease liabilities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85,794</w:t>
            </w: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Cash paid for short-term operating leases not included in operating lease liabilities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17,466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21,247</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and weighted-average remaining lease term:</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2020</w:t>
            </w:r>
          </w:p>
        </w:tc>
        <w:tc>
          <w:tcPr>
            <w:tcW w:w="190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36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(1)</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93"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January 1, 2019 incremental borrowing rate was used for leases in existence at the time of adoption of ASU 2016-02.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70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9"/>
              </w:rPr>
              <w:t>RENT-A-CENTER, INC. AND SUBSIDIARIES</w:t>
            </w:r>
          </w:p>
        </w:tc>
        <w:tc>
          <w:tcPr>
            <w:tcW w:w="2060" w:type="dxa"/>
            <w:vAlign w:val="bottom"/>
          </w:tcPr>
          <w:p>
            <w:pPr>
              <w:spacing w:after="0"/>
              <w:rPr>
                <w:sz w:val="18"/>
                <w:szCs w:val="18"/>
                <w:color w:val="auto"/>
              </w:rPr>
            </w:pPr>
          </w:p>
        </w:tc>
      </w:tr>
      <w:tr>
        <w:trPr>
          <w:trHeight w:val="216"/>
        </w:trPr>
        <w:tc>
          <w:tcPr>
            <w:tcW w:w="9180" w:type="dxa"/>
            <w:vAlign w:val="bottom"/>
            <w:gridSpan w:val="3"/>
          </w:tcPr>
          <w:p>
            <w:pPr>
              <w:jc w:val="center"/>
              <w:ind w:left="1978"/>
              <w:spacing w:after="0"/>
              <w:rPr>
                <w:sz w:val="20"/>
                <w:szCs w:val="20"/>
                <w:color w:val="auto"/>
              </w:rPr>
            </w:pPr>
            <w:r>
              <w:rPr>
                <w:rFonts w:ascii="Arial" w:cs="Arial" w:eastAsia="Arial" w:hAnsi="Arial"/>
                <w:sz w:val="18"/>
                <w:szCs w:val="18"/>
                <w:b w:val="1"/>
                <w:bCs w:val="1"/>
                <w:color w:val="auto"/>
                <w:w w:val="98"/>
              </w:rPr>
              <w:t>NOTES TO CONDENSED CONSOLIDATED FINANCIAL STATEMENTS - (Continued)</w:t>
            </w:r>
          </w:p>
        </w:tc>
        <w:tc>
          <w:tcPr>
            <w:tcW w:w="20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570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1"/>
              </w:rPr>
              <w:t>(Unaudited)</w:t>
            </w:r>
          </w:p>
        </w:tc>
        <w:tc>
          <w:tcPr>
            <w:tcW w:w="2060" w:type="dxa"/>
            <w:vAlign w:val="bottom"/>
          </w:tcPr>
          <w:p>
            <w:pPr>
              <w:spacing w:after="0"/>
              <w:rPr>
                <w:sz w:val="20"/>
                <w:szCs w:val="20"/>
                <w:color w:val="auto"/>
              </w:rPr>
            </w:pPr>
          </w:p>
        </w:tc>
      </w:tr>
      <w:tr>
        <w:trPr>
          <w:trHeight w:val="648"/>
        </w:trPr>
        <w:tc>
          <w:tcPr>
            <w:tcW w:w="9180" w:type="dxa"/>
            <w:vAlign w:val="bottom"/>
            <w:gridSpan w:val="3"/>
          </w:tcPr>
          <w:p>
            <w:pPr>
              <w:spacing w:after="0"/>
              <w:rPr>
                <w:sz w:val="20"/>
                <w:szCs w:val="20"/>
                <w:color w:val="auto"/>
              </w:rPr>
            </w:pPr>
            <w:r>
              <w:rPr>
                <w:rFonts w:ascii="Arial" w:cs="Arial" w:eastAsia="Arial" w:hAnsi="Arial"/>
                <w:sz w:val="18"/>
                <w:szCs w:val="18"/>
                <w:color w:val="auto"/>
                <w:w w:val="91"/>
              </w:rPr>
              <w:t>Reconciliation of undiscounted operating lease liabilities to the present value operating lease liabilities at September 30, 2020:</w:t>
            </w:r>
          </w:p>
        </w:tc>
        <w:tc>
          <w:tcPr>
            <w:tcW w:w="2060" w:type="dxa"/>
            <w:vAlign w:val="bottom"/>
          </w:tcPr>
          <w:p>
            <w:pPr>
              <w:spacing w:after="0"/>
              <w:rPr>
                <w:sz w:val="24"/>
                <w:szCs w:val="24"/>
                <w:color w:val="auto"/>
              </w:rPr>
            </w:pPr>
          </w:p>
        </w:tc>
      </w:tr>
      <w:tr>
        <w:trPr>
          <w:trHeight w:val="21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8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w w:val="96"/>
              </w:rPr>
              <w:t>Operating Leases</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57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29,607</w:t>
            </w: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2021</w:t>
            </w:r>
          </w:p>
        </w:tc>
        <w:tc>
          <w:tcPr>
            <w:tcW w:w="4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101,986</w:t>
            </w: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8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73,861</w:t>
            </w: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2023</w:t>
            </w:r>
          </w:p>
        </w:tc>
        <w:tc>
          <w:tcPr>
            <w:tcW w:w="4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48,490</w:t>
            </w: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8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31,687</w:t>
            </w:r>
          </w:p>
        </w:tc>
      </w:tr>
      <w:tr>
        <w:trPr>
          <w:trHeight w:val="21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8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34,289</w:t>
            </w:r>
          </w:p>
        </w:tc>
      </w:tr>
      <w:tr>
        <w:trPr>
          <w:trHeight w:val="213"/>
        </w:trPr>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undiscounted operating lease liabilities</w:t>
            </w:r>
          </w:p>
        </w:tc>
        <w:tc>
          <w:tcPr>
            <w:tcW w:w="4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319,920</w:t>
            </w:r>
          </w:p>
        </w:tc>
      </w:tr>
      <w:tr>
        <w:trPr>
          <w:trHeight w:val="21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48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(36,136)</w:t>
            </w:r>
          </w:p>
        </w:tc>
      </w:tr>
      <w:tr>
        <w:trPr>
          <w:trHeight w:val="233"/>
        </w:trPr>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present value of operating lease liabilities</w:t>
            </w:r>
          </w:p>
        </w:tc>
        <w:tc>
          <w:tcPr>
            <w:tcW w:w="57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283,784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response to the COVID-19 pandemic and related government restrictions negatively impacting our operations, we renegotiated certain store lease agreements in the second quarter to obtain rent relief in the near term, in order to help offset the negative financial impacts of COVID-19. As of September 30, 2020, we have renegotiated approximately 500 lease agreements, receiving near term rent abatements of approximately $2.3 million and rent deferrals of approximately $2.2 million. On April 10, 2020, the Financial Accounting Standards Board ("FASB") staff issued a question-and-answer document providing guidance for lease concessions provided to lessees in response to the effects of COVID-19. Such guidance allows lessees to make an election not to evaluate whether a lease concession provided by a lessor should be accounted for as a lease modification in the event the concession does not result in a substantial increase in the rights of the lessor or the obligations of the lessee. We elected this practical expedient in our accounting for any lease concessions provided in connection with our renegotiated lease agreements that did not result in a substantial increase in the rights of or obligations to the lessor. As a result of this election, we recognized rent abatement credits of approximately $0.8 million for the nine-months ended September 30, 2020 in our condensed consolidated statement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(the "CARES Act”), which includes modifications to the limitation on business interest expense deductions and net operating loss provisions. The effective tax rate was 11.4% for the nine months ended September 30, 2020, compared to 17.2% in 2019, primarily as a result of the tax benefit of net operating loss carrybacks at a 35% tax rate that became available as a result of the CARES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Debt, net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5, 2019, we entered into a new Term Loan Credit Agreement (the “Term Loan Credit Agreement”) providing for a seven-year $200 million senior secured term loan facility and an Asset Based Loan Credit Agreement (the “ABL Credit Agreement”) providing a five-year asset-based revolving credit facility (the “ABL Credit Facility”) with commitments of up to $300 million, the proceeds of which were used for the redemption of all of our outstanding senior notes.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outstanding under the Term Loan Credit Agreement was $198.0 million at September 30, 2020. We had no amounts outstanding under our ABL Credit Agreement at September 30, 2020 and had $209.3 million available.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Proceeds from the Term Loan Credit Agreement were net of original issue discount of $2.0 million upon issuance from the lenders. In addition, in connection with the closing of the Term Loan Credit Agreement and the ABL Credit Agreement, we incurred approximately $6.3 million in debt issuance costs. The original issue discount and debt issuance costs will be amortized over the remaining terms of the respective credit agreements. As of September 30, 2020, the total unamortized balance of debt issuance costs relating to our senior debt and original issue discount reported in the condensed consolidated balance sheet were $5.7 million and $1.7 million, respectively.</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utilize the ABL Credit Facility for the issuance of letters of credit. As of September 30, 2020, we have issued letters of credit in the aggregate outstanding amount of $90.7 million primarily relating to workers compensation insurance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 Loan Credit Agreement, which matures on August 5, 2026, amortizes in equal quarterly installments at a rate of 1.00% per annum of the original principal amount thereof, with the remaining balance due at final maturity. Interest on the Term Loan Credit Agreement will accrue at the Eurodollar rate plus an applicable margin equal to 4.50%. The margin on the Term Loan Credit Agreement was 4.69%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Credit Agreement permits us to prepay the term loans, in whole or in part, without penalty on or after the six-month anniversary of the closing date of the Term Loan Credit Agreement. It also permits us to incur incremental term loans in an aggregate amount equal to $150 million plus the amount of voluntary prepayments of the term loans and an unlimited amount subject to a pro forma consolidated senior secured leverage ratio of not greater than 2.00 to 1.00, subject to certain other conditions.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obligations under the Term Loan Credit Agreement are guaranteed by certain of our subsidiaries. The Term Loan Credit Agreement and the guarantees are secured on a first-priority basis by substantially all of our tangible and intangible assets, other than collateral subject to a first-priority lien under the ABL Credit Agreement, consisting of, among other things, accounts receivable, inventory and bank accounts (and funds on deposit therein), in which the Term Loan Credit Agreement and the guarantees have a second-priority security interest, in each case, subject to certain exceptions.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Credit Agreement contains covenants that are usual and customary for facilities and transactions of this type and that, among other things, restrict our ability to:</w:t>
      </w:r>
    </w:p>
    <w:p>
      <w:pPr>
        <w:spacing w:after="0" w:line="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certain liens and enter into certain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assume, incur or guarantee certain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or merge with, or convey, transfer or lease all or substantially all of our assets, to another person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repurchase or redeem, our capital stock or certain other debt;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other restricted payments.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covenants are subject to a number of limitations and exceptions set forth in the Term Loan Credit Agreement. We are currently permitted to pay dividends and repurchase our common stock without limitation.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Credit Agreement provides for customary events of default, including, but not limited to, failure to pay principal and interest, failure to comply with covenants, agreements or conditions, and certain events of bankruptcy or insolvency.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ABL Credit Facility will mature on August 5, 2024. The Borrowers (as defined in the ABL Credit Agreement) may borrow only up to the lesser of the level of the then-current Borrowing Base and the committed maximum borrowing capacity of $300 million. The Borrowing Base is tied to the Eligible Installment Sales Accounts, Inventory and Eligible Rental Contracts, reduced by Reserves, as defined in the ABL Credit Agreement. We provide to the Agent information necessary to calculate the Borrowing Base within 30 days of the end of each calendar month, unless liquidity is less than 15% of the maximum borrowing capacity of the ABL Credit Agreement or $45 million, in which case we must provide weekly information.</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Interest is payable on the ABL Credit Facility at a fluctuating rate of interest determined by reference to the Eurodollar rate plus an applicable margin of 1.50% to 2.00%. The margin on the ABL Credit Facility was 1.69% at September 30, 2020. A commitment fee equal to 0.250% to 0.375% of the unused portion of the ABL Credit Facility fluctuates dependent upon average utilization for the prior month as defined by a pricing grid included in the ABL Credit Agreement. The commitment fee at September 30, 2020 was 0.375%. We paid $0.6 million of commitment fees during the third quarter of 2020.</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are limited to the lesser of (x) $150 million, subject to certain limitations, and (y) the aggregate unused availability then in effect.</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conditions, the ABL Credit Facility may be expanded by up to $100 million in additional commitments, subject to a pro forma fixed charge coverage ratio being greater than 1.10 to 1.00.</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obligations under the ABL Credit Agreement are guaranteed by us and certain of our subsidiaries. The ABL Credit Agreement and the guarantees are secured on a first-priority basis on all our and the guarantors’ accounts receivable, inventory and bank accounts (and funds on deposit therein) and a second-priority basis on all of the tangible and intangible assets (second in priority to the liens securing the Term Loan Credit Agreement) of such persons, in each case, subject to certain exceptions.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Credit Agreement contains covenants that are usual and customary for facilities and transactions of this type and are substantially the same as covenants in the Term Loan Credit Agreement. The ABL Credit Facility also requires the maintenance of a Consolidated Fixed Charge Coverage Ratio (as defined in the ABL Credit Agreement) of 1.10 to 1.00 at the end of each fiscal quarter when either (i) certain specified events of default have occurred and are continuing or (ii) availability is less than or equal to the greater of $33.75 million and 15% of the line cap then in effect. The Fixed Charge Coverage Ratio as of September 30, 2020 was 1.58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ABL Credit Agreement provides for customary events of default that are substantially the same as events of default in the Term Loan Credit Agreement.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scheduled maturity dates of our outstanding debt at September 30, 2020 for each of the years ending December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0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Term Loan</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ABL Credit</w:t>
            </w:r>
          </w:p>
        </w:tc>
        <w:tc>
          <w:tcPr>
            <w:tcW w:w="260" w:type="dxa"/>
            <w:vAlign w:val="bottom"/>
          </w:tcPr>
          <w:p>
            <w:pPr>
              <w:spacing w:after="0"/>
              <w:rPr>
                <w:sz w:val="14"/>
                <w:szCs w:val="14"/>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189,500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senior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198,000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There were no changes in the methods and assumptions used in measuring fair value during the period.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instruments include cash and cash equivalents, receivables, payables, and borrowings against our ABL Credit Facility and Term Loan Facility. The carrying amount of cash and cash equivalents, receivables and payables approximates fair value at September 30, 2020 and December 31, 2019, because of the short maturities of these instruments. In addition, the interest rates on our Term Loan Facility and ABL Credit Facility are variable and, therefore, the carrying value of outstanding borrowings approximates their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Charges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Store Consolidations. </w:t>
      </w:r>
      <w:r>
        <w:rPr>
          <w:rFonts w:ascii="Arial" w:cs="Arial" w:eastAsia="Arial" w:hAnsi="Arial"/>
          <w:sz w:val="16"/>
          <w:szCs w:val="16"/>
          <w:color w:val="auto"/>
        </w:rPr>
        <w:t>During the first nine months of 2020, we closed 25 Rent-A-Center Business stores, resulting in pre-tax charges of $1.2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other miscellaneous shutdown and holding costs, $0.4 million in lease impairment charges, and $0.1 million in disposal of fixed assets. During the first nine months of 2019, we closed 83 Rent-A-Center Business stores, resulting in pre-tax charges of $3.1 million in lease impairment, $1.7 million in other miscellaneous shutdown and holding costs, $0.8 million in disposal of fixed assets, and $0.4 million in severance and other payroll-related costs.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Cost Savings Initiatives. </w:t>
      </w:r>
      <w:r>
        <w:rPr>
          <w:rFonts w:ascii="Arial" w:cs="Arial" w:eastAsia="Arial" w:hAnsi="Arial"/>
          <w:sz w:val="18"/>
          <w:szCs w:val="18"/>
          <w:color w:val="auto"/>
        </w:rPr>
        <w:t>During 2018, we began the execution of multiple cost savings initiatives, including reductions in overhead and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connection with these initiatives, we recorded pre-tax charges during the nine months ended September 30, 2020 consisting of $1.1 million in severance and other payroll-related costs, $0.4 million in lease impairment charges, and $0.4 million in other miscellaneous shutdown and holding costs. Costs incurred during the first nine months of 2019 related to these initiatives included pre-tax charges of $4.7 million in lease impairment charges, $2.8 million in severance and other payroll-related costs, $2.2 million in other miscellaneous shutdown and holding costs, and $0.4 million in disposal of fixed assets.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In March 2020, national efforts to contain the COVID-19 virus began to be implemented. In connection with COVID-19,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2020, we incurred approximately $1.0 million in sanitization cleaning and personal protective equipment expenses, $0.4 million in payroll-related costs, and $0.2 million in lease expense related to closed stores and idled vehicles, partially offset by real estate lease abatement credits of $0.8 million for our Rent-A-Center Business stores.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Social Unrest. </w:t>
      </w:r>
      <w:r>
        <w:rPr>
          <w:rFonts w:ascii="Arial" w:cs="Arial" w:eastAsia="Arial" w:hAnsi="Arial"/>
          <w:sz w:val="17"/>
          <w:szCs w:val="17"/>
          <w:color w:val="auto"/>
        </w:rPr>
        <w:t>During the second quarter of 2020, we incurred expenses resulting from certain civil unrest that occurred in connection with efforts to</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institute law enforcement and other social and political reforms. In connection with this unrest, approximately 30 Rent-A-Center Business stores were looted and/or damaged, resulting in $0.7 million of inventory write-offs and $0.1 million in disposal of fixed assets during the first nine months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other charges for the nine months ended September 30, 2020 is summarized in the below table:</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Accrued Charges at</w:t>
            </w:r>
          </w:p>
        </w:tc>
        <w:tc>
          <w:tcPr>
            <w:tcW w:w="220" w:type="dxa"/>
            <w:vAlign w:val="bottom"/>
          </w:tcPr>
          <w:p>
            <w:pPr>
              <w:spacing w:after="0"/>
              <w:rPr>
                <w:sz w:val="14"/>
                <w:szCs w:val="14"/>
                <w:color w:val="auto"/>
              </w:rPr>
            </w:pP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Charges &amp;</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 &amp;</w:t>
            </w:r>
          </w:p>
        </w:tc>
        <w:tc>
          <w:tcPr>
            <w:tcW w:w="10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w w:val="99"/>
              </w:rPr>
              <w:t>Accrued Charges at</w:t>
            </w:r>
          </w:p>
        </w:tc>
        <w:tc>
          <w:tcPr>
            <w:tcW w:w="0" w:type="dxa"/>
            <w:vAlign w:val="bottom"/>
          </w:tcPr>
          <w:p>
            <w:pPr>
              <w:spacing w:after="0"/>
              <w:rPr>
                <w:sz w:val="1"/>
                <w:szCs w:val="1"/>
                <w:color w:val="auto"/>
              </w:rPr>
            </w:pPr>
          </w:p>
        </w:tc>
      </w:tr>
      <w:tr>
        <w:trPr>
          <w:trHeight w:val="188"/>
        </w:trPr>
        <w:tc>
          <w:tcPr>
            <w:tcW w:w="4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6"/>
                <w:szCs w:val="16"/>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11"/>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charges: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00"/>
              <w:spacing w:after="0"/>
              <w:rPr>
                <w:sz w:val="20"/>
                <w:szCs w:val="20"/>
                <w:color w:val="auto"/>
              </w:rPr>
            </w:pPr>
            <w:r>
              <w:rPr>
                <w:rFonts w:ascii="Arial" w:cs="Arial" w:eastAsia="Arial" w:hAnsi="Arial"/>
                <w:sz w:val="18"/>
                <w:szCs w:val="18"/>
                <w:color w:val="auto"/>
              </w:rPr>
              <w:t>Labor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1,610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Lease obligations</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ind w:left="100"/>
              <w:spacing w:after="0"/>
              <w:rPr>
                <w:sz w:val="20"/>
                <w:szCs w:val="20"/>
                <w:color w:val="auto"/>
              </w:rPr>
            </w:pPr>
            <w:r>
              <w:rPr>
                <w:rFonts w:ascii="Arial" w:cs="Arial" w:eastAsia="Arial" w:hAnsi="Arial"/>
                <w:sz w:val="18"/>
                <w:szCs w:val="18"/>
                <w:color w:val="auto"/>
              </w:rPr>
              <w:t>Shutdown and holding costs</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cash charges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Non-cash charges: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Rental merchandise losses</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2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320"/>
              <w:spacing w:after="0"/>
              <w:rPr>
                <w:sz w:val="20"/>
                <w:szCs w:val="20"/>
                <w:color w:val="auto"/>
              </w:rPr>
            </w:pPr>
            <w:r>
              <w:rPr>
                <w:rFonts w:ascii="Arial" w:cs="Arial" w:eastAsia="Arial" w:hAnsi="Arial"/>
                <w:sz w:val="18"/>
                <w:szCs w:val="18"/>
                <w:color w:val="auto"/>
              </w:rPr>
              <w:t>Total other charges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Includes lease abatement credits related to renegotiated lease agreements in response to COVID-19.</w:t>
      </w:r>
    </w:p>
    <w:p>
      <w:pPr>
        <w:ind w:left="140" w:hanging="132"/>
        <w:spacing w:after="0" w:line="193"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Reflects losses due to looting.</w:t>
      </w:r>
    </w:p>
    <w:p>
      <w:pPr>
        <w:ind w:right="220" w:firstLine="8"/>
        <w:spacing w:after="0" w:line="247" w:lineRule="auto"/>
        <w:tabs>
          <w:tab w:leader="none" w:pos="127"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Asset impairments primarily includes impairments of operating lease right-of-use assets and other property assets related to the closure of Rent-A-Center Business stores and previously closed product service centers, damage related to looting, as well as a write-down of capitalized software in the first nine months of 2020.</w:t>
      </w:r>
    </w:p>
    <w:p>
      <w:pPr>
        <w:spacing w:after="0" w:line="1" w:lineRule="exact"/>
        <w:rPr>
          <w:rFonts w:ascii="Arial" w:cs="Arial" w:eastAsia="Arial" w:hAnsi="Arial"/>
          <w:sz w:val="14"/>
          <w:szCs w:val="14"/>
          <w:color w:val="auto"/>
          <w:vertAlign w:val="superscript"/>
        </w:rPr>
      </w:pPr>
    </w:p>
    <w:p>
      <w:pPr>
        <w:ind w:right="240" w:firstLine="8"/>
        <w:spacing w:after="0" w:line="261" w:lineRule="auto"/>
        <w:tabs>
          <w:tab w:leader="none" w:pos="127"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Other primarily includes legal settlement reserves, state tax audit assessment reserves, expenses related to COVID-19, partially offset by proceeds received from the sale of a class action claim and insurance proceeds related to Hurricane Maria in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All operating segments offer merchandise from certain basic product categories: furniture, consumer electronics, appliances, computers, and accessories. Smartphones are also offered in our Rent-A-Center Business stores and franchise locations. In addition, in the Rent-A-Center Business segment, we have recently expanded into other product categories including, tires, tools, handbags, jewelry and other accessories.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and nine months ended September 30, 2020 and 2019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32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338"/>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474,223</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436,497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1,388,380</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1,361,650</w:t>
            </w:r>
          </w:p>
        </w:tc>
      </w:tr>
      <w:tr>
        <w:trPr>
          <w:trHeight w:val="229"/>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557,397</w:t>
            </w: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40,266</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42,677</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712,015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649,371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2,097,700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2,001,990</w:t>
            </w:r>
          </w:p>
        </w:tc>
      </w:tr>
      <w:tr>
        <w:trPr>
          <w:trHeight w:val="20"/>
        </w:trPr>
        <w:tc>
          <w:tcPr>
            <w:tcW w:w="3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54"/>
        </w:trPr>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24"/>
                <w:szCs w:val="24"/>
                <w:color w:val="auto"/>
              </w:rPr>
            </w:pPr>
          </w:p>
        </w:tc>
        <w:tc>
          <w:tcPr>
            <w:tcW w:w="32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332,742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306,881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966,347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945,392</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246,821</w:t>
            </w:r>
          </w:p>
        </w:tc>
      </w:tr>
      <w:tr>
        <w:trPr>
          <w:trHeight w:val="229"/>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27,966</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gross profit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425,028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399,996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1,244,738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1,232,933</w:t>
            </w:r>
          </w:p>
        </w:tc>
      </w:tr>
      <w:tr>
        <w:trPr>
          <w:trHeight w:val="20"/>
        </w:trPr>
        <w:tc>
          <w:tcPr>
            <w:tcW w:w="3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1060" w:type="dxa"/>
            <w:vAlign w:val="bottom"/>
            <w:gridSpan w:val="2"/>
          </w:tcPr>
          <w:p>
            <w:pPr>
              <w:jc w:val="right"/>
              <w:ind w:right="86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99,950</w:t>
            </w:r>
          </w:p>
        </w:tc>
        <w:tc>
          <w:tcPr>
            <w:tcW w:w="100" w:type="dxa"/>
            <w:vAlign w:val="bottom"/>
          </w:tcPr>
          <w:p>
            <w:pPr>
              <w:spacing w:after="0"/>
              <w:rPr>
                <w:sz w:val="19"/>
                <w:szCs w:val="19"/>
                <w:color w:val="auto"/>
              </w:rPr>
            </w:pPr>
          </w:p>
        </w:tc>
        <w:tc>
          <w:tcPr>
            <w:tcW w:w="1080" w:type="dxa"/>
            <w:vAlign w:val="bottom"/>
            <w:gridSpan w:val="2"/>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52,175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253,025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170,411</w:t>
            </w:r>
          </w:p>
        </w:tc>
      </w:tr>
      <w:tr>
        <w:trPr>
          <w:trHeight w:val="229"/>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66,077</w:t>
            </w: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29"/>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120,893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305,990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245,110</w:t>
            </w:r>
          </w:p>
        </w:tc>
      </w:tr>
      <w:tr>
        <w:trPr>
          <w:trHeight w:val="229"/>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(40,706)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(37,506)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(59,085)</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operating profit</w:t>
            </w:r>
          </w:p>
        </w:tc>
        <w:tc>
          <w:tcPr>
            <w:tcW w:w="1060" w:type="dxa"/>
            <w:vAlign w:val="bottom"/>
            <w:tcBorders>
              <w:bottom w:val="single" w:sz="8" w:color="auto"/>
            </w:tcBorders>
            <w:gridSpan w:val="2"/>
          </w:tcPr>
          <w:p>
            <w:pPr>
              <w:jc w:val="right"/>
              <w:ind w:right="86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80,187</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182,697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186,025</w:t>
            </w:r>
          </w:p>
        </w:tc>
      </w:tr>
      <w:tr>
        <w:trPr>
          <w:trHeight w:val="20"/>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54"/>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2019</w:t>
            </w: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1060" w:type="dxa"/>
            <w:vAlign w:val="bottom"/>
            <w:gridSpan w:val="2"/>
          </w:tcPr>
          <w:p>
            <w:pPr>
              <w:jc w:val="right"/>
              <w:ind w:right="84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19"/>
                <w:szCs w:val="19"/>
                <w:color w:val="auto"/>
              </w:rPr>
            </w:pPr>
          </w:p>
        </w:tc>
        <w:tc>
          <w:tcPr>
            <w:tcW w:w="1080" w:type="dxa"/>
            <w:vAlign w:val="bottom"/>
            <w:gridSpan w:val="2"/>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14,759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15,619</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17,018</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28,770</w:t>
            </w: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20" w:type="dxa"/>
            <w:vAlign w:val="bottom"/>
          </w:tcPr>
          <w:p>
            <w:pPr>
              <w:spacing w:after="0"/>
              <w:rPr>
                <w:sz w:val="19"/>
                <w:szCs w:val="19"/>
                <w:color w:val="auto"/>
              </w:rPr>
            </w:pP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45,788</w:t>
            </w:r>
          </w:p>
        </w:tc>
      </w:tr>
      <w:tr>
        <w:trPr>
          <w:trHeight w:val="21"/>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54"/>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2019</w:t>
            </w: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1060" w:type="dxa"/>
            <w:vAlign w:val="bottom"/>
            <w:gridSpan w:val="2"/>
          </w:tcPr>
          <w:p>
            <w:pPr>
              <w:jc w:val="right"/>
              <w:ind w:right="84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19"/>
                <w:szCs w:val="19"/>
                <w:color w:val="auto"/>
              </w:rPr>
            </w:pPr>
          </w:p>
        </w:tc>
        <w:tc>
          <w:tcPr>
            <w:tcW w:w="1080" w:type="dxa"/>
            <w:vAlign w:val="bottom"/>
            <w:gridSpan w:val="2"/>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10,205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5,594</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3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Mexico</w:t>
            </w: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segments</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r>
      <w:tr>
        <w:trPr>
          <w:trHeight w:val="229"/>
        </w:trPr>
        <w:tc>
          <w:tcPr>
            <w:tcW w:w="3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w:t>
            </w:r>
          </w:p>
        </w:tc>
      </w:tr>
      <w:tr>
        <w:trPr>
          <w:trHeight w:val="248"/>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capital expenditures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35"/>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2019</w:t>
            </w:r>
          </w:p>
        </w:tc>
      </w:tr>
      <w:tr>
        <w:trPr>
          <w:trHeight w:val="21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 rent rental merchandise, net</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417,212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411,482</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268,845</w:t>
            </w:r>
          </w:p>
        </w:tc>
      </w:tr>
      <w:tr>
        <w:trPr>
          <w:trHeight w:val="230"/>
        </w:trPr>
        <w:tc>
          <w:tcPr>
            <w:tcW w:w="3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Mexico</w:t>
            </w: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16,943</w:t>
            </w:r>
          </w:p>
        </w:tc>
      </w:tr>
      <w:tr>
        <w:trPr>
          <w:trHeight w:val="248"/>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on rent rental merchandise, net</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697,270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35"/>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2019</w:t>
            </w:r>
          </w:p>
        </w:tc>
      </w:tr>
      <w:tr>
        <w:trPr>
          <w:trHeight w:val="215"/>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Held for rent rental merchandise, net</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112,176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131,086</w:t>
            </w:r>
          </w:p>
        </w:tc>
      </w:tr>
      <w:tr>
        <w:trPr>
          <w:trHeight w:val="23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3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Mexico</w:t>
            </w: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w:t>
            </w:r>
          </w:p>
        </w:tc>
      </w:tr>
      <w:tr>
        <w:trPr>
          <w:trHeight w:val="248"/>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held for rent rental merchandise, net</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2019</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by segment</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916,894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953,151</w:t>
            </w:r>
          </w:p>
        </w:tc>
      </w:tr>
      <w:tr>
        <w:trPr>
          <w:trHeight w:val="229"/>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357,859</w:t>
            </w:r>
          </w:p>
        </w:tc>
      </w:tr>
      <w:tr>
        <w:trPr>
          <w:trHeight w:val="230"/>
        </w:trPr>
        <w:tc>
          <w:tcPr>
            <w:tcW w:w="7600" w:type="dxa"/>
            <w:vAlign w:val="bottom"/>
          </w:tcPr>
          <w:p>
            <w:pPr>
              <w:ind w:left="120"/>
              <w:spacing w:after="0"/>
              <w:rPr>
                <w:sz w:val="20"/>
                <w:szCs w:val="20"/>
                <w:color w:val="auto"/>
              </w:rPr>
            </w:pPr>
            <w:r>
              <w:rPr>
                <w:rFonts w:ascii="Arial" w:cs="Arial" w:eastAsia="Arial" w:hAnsi="Arial"/>
                <w:sz w:val="18"/>
                <w:szCs w:val="18"/>
                <w:color w:val="auto"/>
              </w:rPr>
              <w:t>Mexico</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33,707</w:t>
            </w:r>
          </w:p>
        </w:tc>
      </w:tr>
      <w:tr>
        <w:trPr>
          <w:trHeight w:val="229"/>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1,300,647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1,355,812</w:t>
            </w:r>
          </w:p>
        </w:tc>
      </w:tr>
      <w:tr>
        <w:trPr>
          <w:trHeight w:val="229"/>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226,986</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1,667,565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1,582,798</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and Stock-Based Compensation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our Board of Directors authorized a stock repurchase program with respect to the purchase of up to an aggregate of $75 million of Rent-A-Center common stock, superseding our prior authorization. During the nine months ended September 30, 2020, the Company repurchased 1,463,377 shares of our common stock for an aggregate purchase price of $26.6 million, which includes shares having aggregate purchase price of $10.0 million that were purchased under a former repurchase program that was previously authorized by our Board of Directors. No shares were repurchased during the nine months ended September 30, 2019. Under the March 2020 authorization, $58.4 million remains available for repurchases in the open market and privately negotiated transactions.</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recognized $3.0 million and $2.0 million in compensation expense related to stock options and restricted stock units during the three months ended September 30, 2020 and 2019, respectively, and $8.9 million and $4.6 million during the nine months ended September 30, 2020 and 2019, respectively. During the nine months ended September 30, 2020, we granted approximately 390,000 stock options, 400,000 market-based performance restricted stock units and 192,000 time-vesting restricted stock units. The stock options granted were valued using a Black-Scholes pricing model with the following assumptions: an expected volatility of 45.62% to 54.72%, a risk-free interest rate of 0.22% to 1.72%, an expected dividend yield of 4.02% to 8.20%, and an expected term of 3.50 to 5.75 years. The weighted-average exercise price of the options granted during the nine months ended September 30, 2020 was $24.47 and the weighted-average grant-date fair value was $6.94. Performance-based restricted stock units are valued using a Monte Carlo simulation. Time-vesting restricted stock units are valued using the closing price on the trading day immediately preceding the day of the grant. The weighted-average grant date fair value of the market-based performance and time-vesting restricted stock units granted during the nine months ended September 30, 2020 was $29.05 and $25.06,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Contingencies</w:t>
      </w:r>
    </w:p>
    <w:p>
      <w:pPr>
        <w:spacing w:after="0" w:line="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From time to time, we are a party to various legal proceedings and governmental inquiries arising in the ordinary course of business. We reserve for loss contingencies that are both probable and reasonably estimable. We regularly monitor developments related to these legal proceedings and inquiries, and review the adequacy of our legal reserves on a quarterly basis. We do not expect these losses to have a material impact on our condensed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unclaimed property audits by states in the ordinary course of business. The property subject to review in the audit process include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in compliance with applicable escheat laws.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California Attorney General. </w:t>
      </w:r>
      <w:r>
        <w:rPr>
          <w:rFonts w:ascii="Arial" w:cs="Arial" w:eastAsia="Arial" w:hAnsi="Arial"/>
          <w:sz w:val="17"/>
          <w:szCs w:val="17"/>
          <w:color w:val="auto"/>
        </w:rPr>
        <w:t>The California Attorney General (“CAG”) previously issued an investigative subpoena seeking information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Acceptance Now business practices (now part of the Preferred Lease segment). The request for documents and information was sought in connection with a broader investigation of the lease-to-own industry in California. Since receiving such demand, we have cooperated with the CAG in connection with its investigation and made several productions of requested documents. In March 2020, the CAG put forth proposed settlement terms to address alleged violations of California law. After several rounds of negotiations, in September 2020, the CAG proposed revised terms. In both cases, the proposed settlement terms include civil penalties, disgorgement of certain revenues, additional training requirements, and recommended changes to Acceptance Now business practices. We believe that our business practices are in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California law and are continuing to discuss resolution of the inquiry with the CAG. At this point, while we cannot predict the ultimate outcome, we do not believe any such outcome will have a material impact on our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earnings per common share were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6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133,055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54,190</w:t>
            </w:r>
          </w:p>
        </w:tc>
      </w:tr>
      <w:tr>
        <w:trPr>
          <w:trHeight w:val="23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Effect of dilutive stock awards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r>
      <w:tr>
        <w:trPr>
          <w:trHeight w:val="223"/>
        </w:trPr>
        <w:tc>
          <w:tcPr>
            <w:tcW w:w="4580" w:type="dxa"/>
            <w:vAlign w:val="bottom"/>
          </w:tcPr>
          <w:p>
            <w:pPr>
              <w:ind w:left="260"/>
              <w:spacing w:after="0"/>
              <w:rPr>
                <w:sz w:val="20"/>
                <w:szCs w:val="20"/>
                <w:color w:val="auto"/>
              </w:rPr>
            </w:pPr>
            <w:r>
              <w:rPr>
                <w:rFonts w:ascii="Arial" w:cs="Arial" w:eastAsia="Arial" w:hAnsi="Arial"/>
                <w:sz w:val="18"/>
                <w:szCs w:val="18"/>
                <w:color w:val="auto"/>
              </w:rPr>
              <w:t>Weighted-average dilutive shares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55,662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55,753</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Anti-dilutive securities excluded from diluted loss per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common share: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performance share units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Anti-dilutive stock options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and includes statements regarding the potential effects of the COVID-19 pandemic on our business, operations, financial performance and prospects. 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5" w:lineRule="exact"/>
        <w:rPr>
          <w:sz w:val="20"/>
          <w:szCs w:val="20"/>
          <w:color w:val="auto"/>
        </w:rPr>
      </w:pPr>
    </w:p>
    <w:p>
      <w:pPr>
        <w:jc w:val="both"/>
        <w:ind w:left="660" w:hanging="166"/>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and related government and regulatory restrictions issued to combat the pandemic, including adverse changes in such restrictions, and impacts on (i) demand for our lease-to-own products offered in our operating segments, (ii) our Preferred Lease retail partners, (iii) our customers and their willingness and ability to satisfy their lease obligations, (iv) our supplier's ability to satisfy our merchandise needs, (v) our coworkers, including our ability to adequately staff our operating locations, (vi) our financial and operational performance, and (vii) our liquidity;</w:t>
      </w:r>
    </w:p>
    <w:p>
      <w:pPr>
        <w:spacing w:after="0" w:line="25"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 including mitigating risks associated with any potential mergers and acquisitions, or refranchising opportunities;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retail partner offering, Preferred Lease, including our ability to integrate our historic, retail partner business (Acceptance Now) and the Merchants Preferred business under the Preferred Lease offering and to successfully grow this business segment;</w:t>
      </w:r>
    </w:p>
    <w:p>
      <w:pPr>
        <w:spacing w:after="0" w:line="21"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Preferred Lease offering and potential for higher merchandise losses;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proprietary intellectual property;</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and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and other competitors, including subprime lenders;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identify and successfully market products and services that appeal to our current and future targeted customer segments;</w:t>
      </w:r>
    </w:p>
    <w:p>
      <w:pPr>
        <w:spacing w:after="0" w:line="74" w:lineRule="exact"/>
        <w:rPr>
          <w:rFonts w:ascii="Arial" w:cs="Arial" w:eastAsia="Arial" w:hAnsi="Arial"/>
          <w:sz w:val="17"/>
          <w:szCs w:val="17"/>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new and collect on our rental or lease purchase agreements;</w:t>
      </w:r>
    </w:p>
    <w:p>
      <w:pPr>
        <w:spacing w:after="0" w:line="63"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21"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any additional social unrest such as that experienced in 2020 or otherwise, and resulting damage to our inventory or other assets and potential lost revenues;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 and our ability to protect the integrity and security of individually identifiable data of our customers and employees;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and income tax and litigation reserves;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Securities and Exchange Commission.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important factors that could cause our actual results to differ materially from our expectations are discussed under the section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2019 and in our Quarterly Report on Form 10-Q for the quarter ended March 31, 2020, and elsewhere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an industry leading omni-channel lease-to-own provider for the credit-constrained customer. We focus on improving the quality of life for our customers by providing access and the opportunity to obtain ownership of high-quality, durable products via small payments over time under a flexible lease-purchase agreement and no long-term debt obligation. Preferred Lease provides virtual and staffed lease-to-own solutions to retail partners in stores and online enabling our partners to grow sales by expanding their customer base utilizing our differentiated offering. We were incorporated in the State of Delaware in 1986, and our common stock is traded on the Nasdaq Global Select Market under the ticker symbol "RCII."</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hanging="166"/>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positive trends in our Rent-A-Center Business segment driven by accelerating e-commerce momentum, expanding product categories, and improving the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ind w:left="660" w:hanging="166"/>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generating favorable adjusted EBITDA margins and strong free cash flow to fund strategic priorities and return capital to shareholders; and</w:t>
      </w:r>
    </w:p>
    <w:p>
      <w:pPr>
        <w:spacing w:after="0" w:line="74" w:lineRule="exact"/>
        <w:rPr>
          <w:rFonts w:ascii="Arial" w:cs="Arial" w:eastAsia="Arial" w:hAnsi="Arial"/>
          <w:sz w:val="17"/>
          <w:szCs w:val="17"/>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executing on large market opportunities using a virtual platform via our Preferred Lease offering and e-commerce.</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we pursue our strategy, we may take advantage of merger and acquisition opportunities from time to time that advance our key initiatives, and engage in discussions regarding these opportunities, which could include mergers, consolidations or acquisitions or dispositions or other transactions, although there can be no assurance that any such activities will be consummated.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California Refranchise Sale. </w:t>
      </w:r>
      <w:r>
        <w:rPr>
          <w:rFonts w:ascii="Arial" w:cs="Arial" w:eastAsia="Arial" w:hAnsi="Arial"/>
          <w:sz w:val="18"/>
          <w:szCs w:val="18"/>
          <w:color w:val="auto"/>
        </w:rPr>
        <w:t>On July 22, 2020, we entered into an asset purchase agreement to sell all 99 Rent-A-Center Business corporate stores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California to an experienced franchisee. The sale was consummated on October 5, 2020 for cash consideration of approximately $16 million, including approximately $1 million paid for related franchise fees. In accordance with the criteria provided by US GAAP, assets sold in connection with the sale were classified as assets held for sale and reported at their net book value as of September 30, 2020, including idle and on-rent inventory of approximately $31.1 million and property assets of approximately $0.8 million.</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COVID-19 Pandemic. </w:t>
      </w:r>
      <w:r>
        <w:rPr>
          <w:rFonts w:ascii="Arial" w:cs="Arial" w:eastAsia="Arial" w:hAnsi="Arial"/>
          <w:sz w:val="17"/>
          <w:szCs w:val="17"/>
          <w:color w:val="auto"/>
        </w:rPr>
        <w:t>Beginning in the latter half of March 2020, the worldwide spread of the respiratory disease caused by a novel coronavirus (“COVID-19”) caused significant disruptions to the U.S. and world economies. On March 11, 2020, the World Health Organization declared the COVID-19 outbreak a worldwide pandemic. On March 13, 2020, President Trump declared a national state of emergency for the United States. In response to the issuance of U.S. federal guidelines to contain the spread of the COVID-19 virus, U.S. state and local jurisdictions implemented various containment or mitigation measures, including temporary shelter-in-place orders and the temporary closure of non-essential businesses.</w:t>
      </w:r>
    </w:p>
    <w:p>
      <w:pPr>
        <w:spacing w:after="0" w:line="6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See "Trends and Uncertainties - COVID-19 Pandemic" below, and "Risk Factors" in Part II, Item 1A of our Quarterly Report on Form 10-Q for the quarter ended March 31, 2020 for an additional discussion of operational impacts to our business and additional risks associated with COVID-19.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months ended September 30, 2020 included in Part I, Item I of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COVID-19 and related jurisdictional ordinances implemented in the United States beginning in the latter half of March 2020 to contain the spread of COVID-19 or mitigate its effects, a significant number of Preferred Lease retail partner locations were temporarily closed, resulting in the initial closure of approximately 65% of our staffed Preferred Lease locations, which operated within those stores. In addition, with respect to our Rent-A-Center Business, we temporarily shut down operations at a small number of stores and partially closed approximately 24% of stores. Our partially closed locations operated with closed showrooms, conducting business only through e-commerce web orders. Franchise locations and stores in our Mexico operating segment were also temporarily closed due to COVID-19. Since the onset of the pandemic, the jurisdictional ordinances directly impacting our operations have been withdrawn and, as of the date hereof, all of our staffed Preferred Lease locations and physical locations of our Rent-A-Center Business, Mexico and Franchising operating segments are fully operational.</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response to the negative impacts to our business resulting from COVID-19,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brief period of time, suspending further share repurchases. Nonetheless, there are no assurances we will not be subject to future government actions negatively impacting our business as the pandemic progresses. However, while we may also be impacted by deteriorating worldwide economic conditions, including elevated unemployment rates throughout the United States, which could have a sustained impact on discretionary consumer spending, the lease-to-own industry is resilient because it provides credit constrained customers with a viable option to obtain merchandise they may not otherwise be able to obtain through other retailers offering financing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Virtual Business Model</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13, 2019, we completed the acquisition of substantially all of the assets of C/C Financial Corp. dba Merchants Preferred ("Merchants Preferred"), a nationwide provider of virtual lease-to-own services, accelerating our growth in the virtual lease-to-own industry. In January 2020, we announced plans for our new integrated retail partner offering under Preferred Lease, which combines our staffed and virtual lease-to-own business models to meet the needs and expectations of both our customers and retail partners. While we believe the acquisition of the Merchants Preferred virtual business model and rollout of our Preferred Lease integrated offering positions us for significant revenue and earnings growth, we are exposed to potential operating margin degradation due to the higher cost of merchandise in our retail partner business and potential for higher merchandise losses.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Savings Initiatives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2018, we initiated and executed multiple cost savings initiatives, resulting in reductions in overhead and supply chain costs. While these initiatives have led to significant decreases in operating expenses and corresponding improvement in operating profit on a year-over-year basis in our 2018 and 2019 results of operations, we do not expect to continue to realize cost reduction benefits in future periods at the same annualized rate as past periods.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nine months ended September 30, 2020 as compared to the nine months ended September 30, 2019.</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nine months of 2020, consolidated revenues increased approximately $95.7 million, primarily due to increases in same store sales in our Rent-A-Center Business and Mexico operating segments, and implementation and expansion of the Preferred Lease virtual solution following the acquisition of Merchants Preferred in August 2019, partially offset by store closures and refranchising of approximately 33 Rent-A-Center Business corporate stores since September 30, 2019. Operating profit decreased approximately $3.3 million for the nine months ended September 30, 2020, primarily due to our receipt during the second quarter of 2019 of $92.5 million in settlement of litigation relating to our termination of the merger agreement by and among Vintage Rodeo Parent, LLC, Vintage Rodeo Acquisition, Inc. and Rent-A-Center, Inc., of which we retained net pre-tax proceeds of approximately $80 million following payment of all remaining costs, fees and expenses relating to the termination (the "Vintage Settlement Proceeds"), partially offset by decreases in labor in 2020, due to previous store closures and refranchise sales, in addition to temporary furloughs in response to COVID-19.</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 our Rent-A-Center Business segment increased approximately $26.7 million for the nine months ended September 30, 2020, driven primarily by an increase in same store sales resulting from by higher merchandise sales and growth in e-commerce sales. Gross profit as a percentage of revenue increased 0.2%. Operating profit increased $82.6 million for the nine months ended September 30, 2020, primarily driven by decreased labor and operating expenses.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Preferred Lease segment revenues increased approximately $51.6 million for the nine months ended September 30, 2020, primarily due to the implementation and growth of the Preferred Lease virtual solution following the acquisition of Merchants Preferred in August 2019, despite negative impacts related to the temporary closure of stores due to the COVID-19 pandemic. Gross profit as a percent of revenue decreased 5.2% and operating profit decreased approximately $25.5 million for the nine months ended September 30, 2020 primarily due to a higher number of early payouts, higher merchandise losses primarily due to the COVID-19 pandemic, and investments to support the growth of the business.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Mexico segment revenues decreased by 9.8% for the nine months ended September 30, 2020, driving a decrease in gross profit of 8.4%, or $2.4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Franchising segment increased $21.3 million for the nine months ended September 30, 2020, primarily due to higher store count resulting from the refranchising of Rent-A-Center Business corporate stores during the previous twelve months, as described above, and higher inventory purchases by our franchisees.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 from operations was $296.2 million for the nine months ended September 30, 2020. As of September 30, 2020, we held $227.4 million of cash and cash equivalents and outstanding indebtedness of $198.0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12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120"/>
              <w:spacing w:after="0"/>
              <w:rPr>
                <w:sz w:val="20"/>
                <w:szCs w:val="20"/>
                <w:color w:val="auto"/>
              </w:rPr>
            </w:pPr>
            <w:r>
              <w:rPr>
                <w:rFonts w:ascii="Arial" w:cs="Arial" w:eastAsia="Arial" w:hAnsi="Arial"/>
                <w:sz w:val="18"/>
                <w:szCs w:val="18"/>
                <w:color w:val="auto"/>
              </w:rPr>
              <w:t>Store</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Rentals and fees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1,682,310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1,665,829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2440" w:type="dxa"/>
            <w:vAlign w:val="bottom"/>
          </w:tcPr>
          <w:p>
            <w:pPr>
              <w:ind w:left="220"/>
              <w:spacing w:after="0"/>
              <w:rPr>
                <w:sz w:val="20"/>
                <w:szCs w:val="20"/>
                <w:color w:val="auto"/>
              </w:rPr>
            </w:pPr>
            <w:r>
              <w:rPr>
                <w:rFonts w:ascii="Arial" w:cs="Arial" w:eastAsia="Arial" w:hAnsi="Arial"/>
                <w:sz w:val="18"/>
                <w:szCs w:val="18"/>
                <w:color w:val="auto"/>
              </w:rPr>
              <w:t>Merchandise sales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91,233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300,693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Installment sales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store 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2,034,314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1,959,313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2440" w:type="dxa"/>
            <w:vAlign w:val="bottom"/>
          </w:tcPr>
          <w:p>
            <w:pPr>
              <w:ind w:left="120"/>
              <w:spacing w:after="0"/>
              <w:rPr>
                <w:sz w:val="20"/>
                <w:szCs w:val="20"/>
                <w:color w:val="auto"/>
              </w:rPr>
            </w:pPr>
            <w:r>
              <w:rPr>
                <w:rFonts w:ascii="Arial" w:cs="Arial" w:eastAsia="Arial" w:hAnsi="Arial"/>
                <w:sz w:val="18"/>
                <w:szCs w:val="18"/>
                <w:color w:val="auto"/>
              </w:rPr>
              <w:t>Franchise</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sales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Royalty income and fees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2,001,990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Store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20"/>
              <w:spacing w:after="0"/>
              <w:rPr>
                <w:sz w:val="20"/>
                <w:szCs w:val="20"/>
                <w:color w:val="auto"/>
              </w:rPr>
            </w:pPr>
            <w:r>
              <w:rPr>
                <w:rFonts w:ascii="Arial" w:cs="Arial" w:eastAsia="Arial" w:hAnsi="Arial"/>
                <w:sz w:val="18"/>
                <w:szCs w:val="18"/>
                <w:color w:val="auto"/>
              </w:rPr>
              <w:t>Cost of rentals and fees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167,027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161,971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merchandise sold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of installment sales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Total cost of store revenues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175"/>
        </w:trPr>
        <w:tc>
          <w:tcPr>
            <w:tcW w:w="2440" w:type="dxa"/>
            <w:vAlign w:val="bottom"/>
          </w:tcPr>
          <w:p>
            <w:pPr>
              <w:ind w:left="300"/>
              <w:spacing w:after="0" w:line="176" w:lineRule="exact"/>
              <w:rPr>
                <w:sz w:val="20"/>
                <w:szCs w:val="20"/>
                <w:color w:val="auto"/>
              </w:rPr>
            </w:pPr>
            <w:r>
              <w:rPr>
                <w:rFonts w:ascii="Arial" w:cs="Arial" w:eastAsia="Arial" w:hAnsi="Arial"/>
                <w:sz w:val="18"/>
                <w:szCs w:val="18"/>
                <w:color w:val="auto"/>
              </w:rPr>
              <w:t>Franchise cost of</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19,070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7,768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68.7 %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49,632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29,923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19,709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65.9 %</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merchandise sold</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3"/>
        </w:trPr>
        <w:tc>
          <w:tcPr>
            <w:tcW w:w="24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425,028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399,996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1,244,738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1,232,933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120"/>
              <w:spacing w:after="0"/>
              <w:rPr>
                <w:sz w:val="20"/>
                <w:szCs w:val="20"/>
                <w:color w:val="auto"/>
              </w:rPr>
            </w:pPr>
            <w:r>
              <w:rPr>
                <w:rFonts w:ascii="Arial" w:cs="Arial" w:eastAsia="Arial" w:hAnsi="Arial"/>
                <w:sz w:val="18"/>
                <w:szCs w:val="18"/>
                <w:color w:val="auto"/>
              </w:rPr>
              <w:t>Store expenses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2440" w:type="dxa"/>
            <w:vAlign w:val="bottom"/>
          </w:tcPr>
          <w:p>
            <w:pPr>
              <w:ind w:left="220"/>
              <w:spacing w:after="0"/>
              <w:rPr>
                <w:sz w:val="20"/>
                <w:szCs w:val="20"/>
                <w:color w:val="auto"/>
              </w:rPr>
            </w:pPr>
            <w:r>
              <w:rPr>
                <w:rFonts w:ascii="Arial" w:cs="Arial" w:eastAsia="Arial" w:hAnsi="Arial"/>
                <w:sz w:val="18"/>
                <w:szCs w:val="18"/>
                <w:color w:val="auto"/>
              </w:rPr>
              <w:t>Other store expenses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140,818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113,694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105,822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180"/>
              <w:spacing w:after="0"/>
              <w:rPr>
                <w:sz w:val="20"/>
                <w:szCs w:val="20"/>
                <w:color w:val="auto"/>
              </w:rPr>
            </w:pPr>
            <w:r>
              <w:rPr>
                <w:rFonts w:ascii="Arial" w:cs="Arial" w:eastAsia="Arial" w:hAnsi="Arial"/>
                <w:sz w:val="18"/>
                <w:szCs w:val="18"/>
                <w:color w:val="auto"/>
                <w:w w:val="93"/>
              </w:rPr>
              <w:t>Depreciation and amortization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and charges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118.8 %</w:t>
            </w: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1,062,041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1,046,908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440" w:type="dxa"/>
            <w:vAlign w:val="bottom"/>
          </w:tcPr>
          <w:p>
            <w:pPr>
              <w:ind w:left="180"/>
              <w:spacing w:after="0"/>
              <w:rPr>
                <w:sz w:val="20"/>
                <w:szCs w:val="20"/>
                <w:color w:val="auto"/>
              </w:rPr>
            </w:pPr>
            <w:r>
              <w:rPr>
                <w:rFonts w:ascii="Arial" w:cs="Arial" w:eastAsia="Arial" w:hAnsi="Arial"/>
                <w:sz w:val="18"/>
                <w:szCs w:val="18"/>
                <w:color w:val="auto"/>
              </w:rPr>
              <w:t>Debt refinancing charges</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net</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55"/>
        </w:trPr>
        <w:tc>
          <w:tcPr>
            <w:tcW w:w="2440" w:type="dxa"/>
            <w:vAlign w:val="bottom"/>
          </w:tcPr>
          <w:p>
            <w:pPr>
              <w:ind w:left="380"/>
              <w:spacing w:after="0" w:line="156" w:lineRule="exact"/>
              <w:rPr>
                <w:sz w:val="20"/>
                <w:szCs w:val="20"/>
                <w:color w:val="auto"/>
              </w:rPr>
            </w:pPr>
            <w:r>
              <w:rPr>
                <w:rFonts w:ascii="Arial" w:cs="Arial" w:eastAsia="Arial" w:hAnsi="Arial"/>
                <w:sz w:val="18"/>
                <w:szCs w:val="18"/>
                <w:color w:val="auto"/>
              </w:rPr>
              <w:t>Earnings before income</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76,989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30,031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46,958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156.4 %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171,300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160,599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2440" w:type="dxa"/>
            <w:vAlign w:val="bottom"/>
          </w:tcPr>
          <w:p>
            <w:pPr>
              <w:ind w:left="3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1,140.0 %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244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104.7 %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Store Revenue. </w:t>
      </w:r>
      <w:r>
        <w:rPr>
          <w:rFonts w:ascii="Arial" w:cs="Arial" w:eastAsia="Arial" w:hAnsi="Arial"/>
          <w:sz w:val="16"/>
          <w:szCs w:val="16"/>
          <w:color w:val="auto"/>
        </w:rPr>
        <w:t>Total store revenue increased by $53.8 million, or 8.5%, to $688.2 million for the three months ended September 30, 2020, from $634.4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2019. This increase was primarily due to increases of approximately $37.7 million and $17.2 million in revenues in the Rent-A-Center Business and Preferred Lease segments, respectively, as discussed further in the section "Segment Performance" below.</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Cost of Rentals and Fees. </w:t>
      </w:r>
      <w:r>
        <w:rPr>
          <w:rFonts w:ascii="Arial" w:cs="Arial" w:eastAsia="Arial" w:hAnsi="Arial"/>
          <w:sz w:val="17"/>
          <w:szCs w:val="17"/>
          <w:color w:val="auto"/>
        </w:rPr>
        <w:t>Cost of rentals and fees consists primarily of depreciation of rental merchandise. Cost of rentals and fees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increased by $5.0 million, or 3.1%, to $167.0 million as compared to $162.0 million in 2019. This increase in cost of rentals and fees was primarily attributable to an increase of $5.1 million in the Rent-A-Center Business segment. Cost of rentals and fees expressed as a percentage of rentals and fees revenue was 28.8% for the three months ended September 30, 2020, as compared to 29.4% in 2019.</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$24.6 million, or 34.9%, to $95.2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from $70.6 million in 2019, primarily attributable to increases of $18.1 and $6.6 million in the Preferred Lease and Rent-A-Center Business segments, respectively, as discussed further in the section "Segment Performance" below. The gross margin percent of merchandise sales increased to (4.3)% for the three months ended September 30, 2020, from (7.7)% in 2019.</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by $25.0 million, or 6.3%, to $425.0 million for the three months ended September 30, 2020, from $400.0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due primarily to an increase of $25.9 million in the Rent-A-Center Business segment, as discussed further in the section "Segment Performance" below. Gross profit as a percentage of total revenue decreased to 59.7% for the three months ended September 30, 2020, as compared to 61.6% in 2019.</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decreased by $8.2 million, or 5.2%, to $150.5 million, for the three months ended September 30, 2020, as compared to $158.7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2019, primarily due to decreases of $4.2 million and $3.7 million in the Rent-A-Center Business and Preferred Lease segments, respectively, primarily as a result of a lower store base and a higher mix of virtual locations. Store labor expressed as a percentage of total store revenue was 21.9% for the three months ended September 30, 2020, as compared to 25.0% in 2019.</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decreased by $9.6 million, or 6.3%, to $140.8 million for the three months ended September 30, 2020,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$150.4 million in 2019, primarily due to a decrease of $15.4 million in the Rent-A-Center Business segment, partially offset by an increase of $6.5 million in the Preferred Lease segment, as discussed further in the section "Segment Performance" below. Other store expenses expressed as a percentage of total store revenue were 20.5% for the three months ended September 30, 2020, compared to 23.7% in 2019.</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$7.2 million, or 21.0%, to $41.6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as compared to $34.4 million in 2019, primarily due to higher incentive compensation expenses. General and administrative expenses expressed as a percentage of total revenue were 5.8% for the three months ended September 30, 2020, compared to 5.3% in 2019.</w:t>
      </w:r>
    </w:p>
    <w:p>
      <w:pPr>
        <w:spacing w:after="0" w:line="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Other (Gains) and Charges. </w:t>
      </w:r>
      <w:r>
        <w:rPr>
          <w:rFonts w:ascii="Arial" w:cs="Arial" w:eastAsia="Arial" w:hAnsi="Arial"/>
          <w:sz w:val="16"/>
          <w:szCs w:val="16"/>
          <w:color w:val="auto"/>
        </w:rPr>
        <w:t>Other (gains) and charges decreased by $4.8 million, to $(1.9) million for the three months ended September 30,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$2.9 million in 2019. Other gains for the three months ended September 30, 2020 primarily related to proceeds from the sale of a class action claim, partially offset by asset impairments, store closure impacts, and cost savings initiatives. Other charges for the three months ended September 30, 2019 primarily related to store closures, the associated Vintage merger termination legal and professional fees, and cost savings initiatives.</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increased by $41.4 million, to $80.2 million for the three months ended September 30, 2020, as compared to $38.8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2019, primarily due to the increase in gross profit and decreases in store labor and other store expenses, in each case as described above. Operating profit expressed as a percentage of total revenue was 11.3% for the three months ended September 30, 2020, compared to 6.0% in 2019.</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(benefit) for the three months ended September 30, 2020 was $13.0 million, as compared to $(1.2)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2019. The effective tax rate was 16.8% for the three months ended September 30, 2020, compared to (4.2)% in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Nine Months Ended September 30, 2019</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Store Revenue. </w:t>
      </w:r>
      <w:r>
        <w:rPr>
          <w:rFonts w:ascii="Arial" w:cs="Arial" w:eastAsia="Arial" w:hAnsi="Arial"/>
          <w:sz w:val="18"/>
          <w:szCs w:val="18"/>
          <w:color w:val="auto"/>
        </w:rPr>
        <w:t>Total store revenue increased by $75.0 million, or 3.8%, to $2,034.3 million for the nine months ended September 30, 2020, from $1,959.3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2019. This increase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primarily due to increases of approximately $51.6 million and $26.7 million in the Preferred Lease and Rent-A-Center Business segments, respectively, as discussed further in the section "Segment Performance" below.</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increased by $16.6 million, or 3.5%, to $489.6 million as compared to $473.0 million in 2019. This increase in cost of rentals and fees was primarily attributable to an increase of $20.8 million in the Preferred Lease segment, partially offset by a decrease of $2.9 million in the Rent-A-Center Business segment. Cost of rentals and fees expressed as a percentage of rentals and fees revenue increased to 29.1% for the nine months ended September 30, 2020 as compared to 28.4% in 2019.</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$46.9 million, or 18.8%, to $296.9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from $250.0 million in 2019, primarily attributable to increases of $39.2 million and $7.9 million in the Preferred Lease and Rent-A-Center Business segments, respectively, as discussed further in the section "Segment Performance" below. The gross margin percent of merchandise sales increased to 1.3% for the nine months ended September 30, 2020, from (3.8)% in 2019.</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$11.8 million, or 1.0%, to $1,244.7 million for the nine months ended September 30, 2020, from $1,232.9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due primarily to an increase of $21.0 million in the Rent-A-Center Business segment, partially offset by a decrease of $8.4 million in the Preferred Lease segment, as discussed further in the section "Segment Performance" below. Gross profit as a percentage of total revenue decreased to 59.3% for the nine months ended September 30, 2020, as compared to 61.6% in 2019.</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decreased by $39.0 million, or 8.2%, to $434.2 million, for the nine months ended September 30, 2020, as compared to $473.2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2019, primarily attributable to decreases of $20.6 million and $17.8 million in the Rent-A-Center Business and Preferred Lease segments, respectively, as discussed further in the section "Segment Performance" below. Store labor expressed as a percentage of total store revenue was 21.3% for the nine months ended September 30, 2020, as compared to 24.2% in 2019.</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Store Expenses. </w:t>
      </w:r>
      <w:r>
        <w:rPr>
          <w:rFonts w:ascii="Arial" w:cs="Arial" w:eastAsia="Arial" w:hAnsi="Arial"/>
          <w:sz w:val="18"/>
          <w:szCs w:val="18"/>
          <w:color w:val="auto"/>
        </w:rPr>
        <w:t>Other store expenses decreased by $0.1 million, to $463.3 million for the nine months ended September 30,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$463.4 million in 2019, primarily attributable to decreases of $29.3 million and $1.7 million in the Rent-A-Center Business and Mexico segments, respectively, partially offset by an increase of $31.2 million in the Preferred Lease segment, as discussed further in the section "Segment Performance" below. Other store expenses expressed as a percentage of total store revenue were 22.8% for the nine months ended September 30, 2020, compared to 23.7% in 2019.</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by $7.9 million, or 7.4%, to $113.7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as compared to $105.8 million in 2019. General and administrative expenses expressed as a percentage of total revenue were 5.4% for the nine months ended September 30, 2020, compared to 5.3% in 2019.</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Other (Gains) and Charges. </w:t>
      </w:r>
      <w:r>
        <w:rPr>
          <w:rFonts w:ascii="Arial" w:cs="Arial" w:eastAsia="Arial" w:hAnsi="Arial"/>
          <w:sz w:val="16"/>
          <w:szCs w:val="16"/>
          <w:color w:val="auto"/>
        </w:rPr>
        <w:t>Other (gains) and charges increased by $49.1 million, to $7.8 million for the nine months ended September 30,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$(41.3) million in 2019. Other charges for the nine months ended September 30, 2020 primarily related to legal settlement and state sales tax assessment reserves, cost savings initiatives, inventory losses resulting from damage related to looting, employee payroll and sanitation costs in connection with COVID-19, store closure impacts, and asset disposals, partially offset by proceeds from the sale of a legal antitrust claim, rent abatements, and insurance proceeds related to hurricane Maria in 2017. Other gains for the nine months ended September 30, 2019 primarily related to the Vintage Settlement Proceeds, and insurance proceeds related to the 2017 hurricanes, partially offset by the Blair class action settlement costs, associated Vintage merger termination legal and professional fees, store closures, state tax audit assessments, and cost savings initiatives</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decreased by $3.3 million, to $182.7 million for the nine months ended September 30, 2020, as compared to $186.0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2019, primarily due to an increase in other (gains) and charges driven by the Vintage termination settlement received in 2019 documented above, partially offset by the increase in gross profit, as described above. Operating profit expressed as a percentage of total revenue was 8.7% for the nine months ended September 30, 2020, compared to 9.3% in 2019. Excluding other (gains) and charges, operating profit was $190.5 million, or 9.1% of revenue for the nine months ended September 30, 2020, compared to $144.7 million, or 7.2% of revenue for the comparable period of 2019.</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for the nine months ended September 30, 2020 was $19.5 million, as compared to $27.5 million in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 was 11.4% for the nine months ended September 30, 2020, compared to 17.2% in 2019. The decrease in income tax expense for the nine months ended September 30, 2020 compared to 2019 was primarily related to the tax benefit of net operating loss carrybacks at a 35% tax rate as a result of changes from the Coronavirus Aid, Relief, and Economic Security Act, enacted on March 27, 2020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Segment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2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10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08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474,223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436,497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1,388,380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1,361,650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tcPr>
          <w:p>
            <w:pPr>
              <w:jc w:val="right"/>
              <w:spacing w:after="0"/>
              <w:rPr>
                <w:sz w:val="20"/>
                <w:szCs w:val="20"/>
                <w:color w:val="auto"/>
              </w:rPr>
            </w:pPr>
            <w:r>
              <w:rPr>
                <w:rFonts w:ascii="Arial" w:cs="Arial" w:eastAsia="Arial" w:hAnsi="Arial"/>
                <w:sz w:val="18"/>
                <w:szCs w:val="18"/>
                <w:color w:val="auto"/>
              </w:rPr>
              <w:t>332,742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306,881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966,347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Change in same store revenue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Stores in same store revenue</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w w:val="97"/>
              </w:rPr>
              <w:t>1,611</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calculation</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8"/>
        <w:spacing w:after="0" w:line="257" w:lineRule="auto"/>
        <w:tabs>
          <w:tab w:leader="none" w:pos="127"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24</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full month following account transfer. Due to the COVID-19 pandemic and related temporary store closures, all 32 stores in Puerto Rico were excluded starting in March 2020 and will remain excluded through September 2021.</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The increase in revenue for the three and nine months ended September 30, 2020 was driven primarily by an increase in same 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higher merchandise sales and growth in e-commerce sales, which were positively impacted by government stimulus and supplemental unemployment benefits issued by the federal government in response to the COVID-19 pandemic, as compared to 2019, partially offset by decreases in revenue due to our refranchising efforts and the rationalization of our Rent-A-Center Business store base.</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increased for the three and nine months ended September 30, 2020, as compared to 2019, primarily due to the increases in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described above, partially offset by increases in the cost of merchandise sold. Gross profit as a percentage of segment revenues was 70.2% and 69.6% for the three and nine months ended September 30, 2020, as compared to 70.3% and 69.4% for the respective periods in 2019.</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as a percentage of segment revenues was 21.1% and 18.2% for the three and nine months ended September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12.0% and 12.5% for the respective periods in 2019. The increase in operating profit for the three and nine months ended September 30, 2020, as compared to 2019 was partially due to the increase in gross profit described above, in addition to decreases in store labor and other store expenses. Declines in store labor and other store expenses were driven primarily by lower store count and a decrease in customer stolen merchandise. Charge-offs in our Rent-A-Center Business lease-to-own stores due to customer stolen merchandise, expressed as a percentage of Rent-A-Center Business lease-to-own revenues, were approximately 2.0% and 3.2% for the three and nine months ended September 30, 2020, compared to 4.1% and 3.7% for the respective periods in 2019. Charge-offs in our Rent-A-Center Business lease-to-own stores due to other merchandise losses, expressed as a percentage of Rent-A-Center Business lease-to-own revenues, were approximately 1.4% for both the three and nine months ended September 30, 2020, compared to 1.4% and 1.3% for the respective periods in 2019. Other merchandise losses include unrepairable and missing merchandise, and loss/damage waiver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Lease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2540" w:type="dxa"/>
            <w:vAlign w:val="bottom"/>
          </w:tcPr>
          <w:p>
            <w:pPr>
              <w:spacing w:after="0"/>
              <w:rPr>
                <w:sz w:val="16"/>
                <w:szCs w:val="16"/>
                <w:color w:val="auto"/>
              </w:rPr>
            </w:pPr>
          </w:p>
        </w:tc>
        <w:tc>
          <w:tcPr>
            <w:tcW w:w="2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8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16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188"/>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r>
      <w:tr>
        <w:trPr>
          <w:trHeight w:val="224"/>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201,659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184,486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17,173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51,632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tcPr>
          <w:p>
            <w:pPr>
              <w:jc w:val="right"/>
              <w:spacing w:after="0"/>
              <w:rPr>
                <w:sz w:val="20"/>
                <w:szCs w:val="20"/>
                <w:color w:val="auto"/>
              </w:rPr>
            </w:pPr>
            <w:r>
              <w:rPr>
                <w:rFonts w:ascii="Arial" w:cs="Arial" w:eastAsia="Arial" w:hAnsi="Arial"/>
                <w:sz w:val="18"/>
                <w:szCs w:val="18"/>
                <w:color w:val="auto"/>
              </w:rPr>
              <w:t>78,727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w w:val="91"/>
              </w:rPr>
              <w:t>(1,386)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(5,757)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and nine months ended September 30, 2020 compared to 2019, was primarily due to the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of the Preferred Lease virtual solution following the acquisition of Merchants Preferred in August 2019.</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for the three and nine months ended September 30, 2020, compared to 2019, primarily driven by a higher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early payouts resulting from government stimulus and supplemental unemployment benefits issued by the federal government in response to the COVID-19 pandemic. Gross profit as a percentage of segment revenues decreased to 39.0% and 39.1% for the three and nine months ended September 30, 2020, compared to 43.4% and 44.3% for the respective periods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decreased by 26.4% and 38.7% for the three and nine months ended September 30, 2020, as compared to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operating profit for the three and nine months ended September 30, 2020 were primarily due to increases in other store expenses. The increase in other store expenses was primarily due to higher merchandise losses, primarily related to COVID-19, a higher mix of virtual locations, and investments to support expected revenue growth. Charge-offs in our Preferred Lease locations due to customer stolen merchandise, expressed as a percentage of revenues, were approximately 11.3% and 13.9% for the three and nine months ended September 30, 2020, compared to 8.9% and 9.5% for the respective periods in 2019. Charge-offs in our Preferred Lease locations due to other merchandise losses, expressed as a percentage of revenues, were approximately 0.5% and 0.4% for the three and nine months ended September 30, 2020, compared to 0.5% and 0.3% in 2019. Operating profit as a percentage of segment revenues decreased to 8.0% and 6.7% for the three and nine months ended September 30, 2020, compared to 11.8% and 11.9% for the respective periods in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24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26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8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12,159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13,370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40,266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40" w:type="dxa"/>
            <w:vAlign w:val="bottom"/>
          </w:tcPr>
          <w:p>
            <w:pPr>
              <w:jc w:val="right"/>
              <w:spacing w:after="0"/>
              <w:rPr>
                <w:sz w:val="20"/>
                <w:szCs w:val="20"/>
                <w:color w:val="auto"/>
              </w:rPr>
            </w:pPr>
            <w:r>
              <w:rPr>
                <w:rFonts w:ascii="Arial" w:cs="Arial" w:eastAsia="Arial" w:hAnsi="Arial"/>
                <w:sz w:val="18"/>
                <w:szCs w:val="18"/>
                <w:color w:val="auto"/>
              </w:rPr>
              <w:t>8,655</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25,615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Change in same store revenue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Stores in same store revenue</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calculation</w:t>
            </w:r>
            <w:r>
              <w:rPr>
                <w:rFonts w:ascii="Arial" w:cs="Arial" w:eastAsia="Arial" w:hAnsi="Arial"/>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8"/>
        <w:spacing w:after="0" w:line="260" w:lineRule="auto"/>
        <w:tabs>
          <w:tab w:leader="none" w:pos="99"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24</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full month following account transfer.</w:t>
      </w:r>
    </w:p>
    <w:p>
      <w:pPr>
        <w:spacing w:after="0" w:line="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and nine months ended September 30, 2020 were negatively impacted by exchange rate fluctuations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and $4.6 million as compared to the same periods in 2019. On a constant currency basis, revenues for the three and nine months ended September 30, 2020 increased approximately $0.5 million and $0.6 million, compared to the same periods in 2019.</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and nine months ended September 30, 2020 was negatively impacted by exchange rate fluctuations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$1.2 million and $3.2 million as compared to the same periods in 2019. On a constant currency basis, gross profit for the three and nine months ended September 30, 2020 increased by approximately $0.6 million and $0.8 million as compared to the same periods in 2019. Gross profit as a percentage of segment revenues was 71.2% and 70.5% for the three and nine months ended September 30, 2020, compared to 69.5% for both of the respective periods in 2019.</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for the three and nine months ended September 30, 2020 were each negatively impacted by exchange rate fluctuations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$0.2 million and $0.4 million as compared to the same periods in 2019. Operating profit as a percentage of segment revenues increased to 14.2% and 10.3% for the three and nine months ended September 30, 2020, from 9.1% and 9.7% for the respective periods in 2019.</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6"/>
                <w:szCs w:val="16"/>
                <w:color w:val="auto"/>
              </w:rPr>
            </w:pPr>
          </w:p>
        </w:tc>
        <w:tc>
          <w:tcPr>
            <w:tcW w:w="116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r>
      <w:tr>
        <w:trPr>
          <w:trHeight w:val="188"/>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r>
      <w:tr>
        <w:trPr>
          <w:trHeight w:val="224"/>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49.9 %</w:t>
            </w: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r>
    </w:tbl>
    <w:p>
      <w:pPr>
        <w:spacing w:after="0" w:line="9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for the three and nine months ended September 30, 2020 compared to the respective periods in 2019, primarily due to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franchise locations as a result of refranchising Rent-A-Center Business corporate stores, and higher inventory purchases by our franchisees.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as a percentage of segment revenues decreased to 20.5% and 22.4% for the three and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24.7% and 29.9% for the respective periods in 2019, primarily due to changes in our revenue mix of franchise royalties and fees and rental merchandise sales, related to the increase in franchise locations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as a percentage of segment revenues increased for the three and nine months ended September 30, 2020 to 13.1% and</w:t>
      </w:r>
      <w:r>
        <w:rPr>
          <w:rFonts w:ascii="Arial" w:cs="Arial" w:eastAsia="Arial" w:hAnsi="Arial"/>
          <w:sz w:val="18"/>
          <w:szCs w:val="18"/>
          <w:i w:val="1"/>
          <w:iCs w:val="1"/>
          <w:color w:val="auto"/>
        </w:rPr>
        <w:t xml:space="preserve"> </w:t>
      </w:r>
      <w:r>
        <w:rPr>
          <w:rFonts w:ascii="Arial" w:cs="Arial" w:eastAsia="Arial" w:hAnsi="Arial"/>
          <w:sz w:val="18"/>
          <w:szCs w:val="18"/>
          <w:color w:val="auto"/>
        </w:rPr>
        <w:t>13.6%, compared to 7.6% and 11.1% for the respective periods in 2019, primarily due to a decrease in operating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For the nine months ended September 30, 2020, we generated $296.2 million in operating cash flow. We paid down $41.5 million of debt using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generated from operations, and used cash in the amount of $47.3 million for dividends, $26.6 million for share repurchases, and $22.6 million for capital expenditures. We ended the third quarter of 2020 with $227.4 million of cash and cash equivalents and outstanding indebtedness of $198.0 million.</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Analysis of Cash Flow. </w:t>
      </w:r>
      <w:r>
        <w:rPr>
          <w:rFonts w:ascii="Arial" w:cs="Arial" w:eastAsia="Arial" w:hAnsi="Arial"/>
          <w:sz w:val="18"/>
          <w:szCs w:val="18"/>
          <w:color w:val="auto"/>
        </w:rPr>
        <w:t>Cash provided by operating activities increased $68.1 million to $296.2 million for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$228.1 million in 2019. This increase was primarily attributable to a decrease in rental merchandise purchases during the nine months ended September 30, 2020 compared to the same period in 2019, receipt of our federal tax refund of approximately $30 million, and other net changes in operating assets and liabilities.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was $22.9 million for the nine months ended September 30, 2020, compared to $22.8 million in 2019, a change of $0.1 million, primarily due to an increase in capital expenditures and lower proceeds from the sale of property assets, offset by cash consideration paid for the acquisition of Merchants Preferred in 2019.</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was $114.9 million for the nine months ended September 30, 2020, compared to $287.1 million in 2019, a decrease of $172.2 million, primarily due to a net decrease in debt repayments compared to debt proceeds of $241.2 million, partially offset by increases in dividends paid of $47.3 million, and share repurchases of $26.6 million for the nine months ended September 30, 2020.</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Liquidity Requirements</w:t>
      </w:r>
      <w:r>
        <w:rPr>
          <w:rFonts w:ascii="Arial" w:cs="Arial" w:eastAsia="Arial" w:hAnsi="Arial"/>
          <w:sz w:val="18"/>
          <w:szCs w:val="18"/>
          <w:color w:val="auto"/>
        </w:rPr>
        <w:t>. Our primary liquidity requirements are for rental merchandise purchases and other operating expenses. Other capital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expenditures for property assets, including rental expense, debt service, and dividends. Historically, our primary source of liquidity has been cash provided by operations. Should we require additional funding sources, we maintain our ABL Credit Facility with commitments of up to $300 million, subject to the terms and availability of our ABL Credit Facility. We utilize our ABL Credit Facility for the issuance of letters of credit, as well as to manage normal fluctuations in operational cash flow caused by the timing of cash receipts. In March 2020, as a precautionary measure in response to negative impacts to our operations stemming from the COVID-19 pandemic, we drew down approximately $118.0 million against our ABL Credit Facility to enhance our financial flexibility and increase our available cash on hand. With cash flow generated from operations, we repaid the full outstanding balance of approximately $163.0 million borrowed against our ABL Credit Facility in the second quarter of 2020, and had no outstanding borrowings as of September 30, 2020.</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response to the negative impacts to our business resulting from COVID-19,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brief period of time, suspending further share repurchases. In addition, we received approximately $30 million in federal tax refunds described above, including $12 million related to net operating loss carrybacks at a 35% tax rate in connection with the CARES Act, and expect to defer approximately $19 million in employer payroll taxes to future periods.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Taking into consideration our efforts to minimize expenses in response to COVID-19 and benefits from the CARES Act, and based on current assumptions and expectations, we believe the cash flow generated from operations and other sources of liquidity including availability under our ABL Credit Facility will be sufficient to fund our operations over the next 12 months.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October 22, 2020, we had approximately $204.4 million in cash on hand and, at September 30, 2020, we had $209.3 million available under our ABL Credit Agreement. In addition, in September 2020, the Rent-A-Center Board of Directors declared a cash dividend of $0.29 per share for the fourth quarter of 2020, which was paid on October 26, 2020 to stockholders of record at the close of business on October 7, 2020.</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Deferred Taxes. </w:t>
      </w:r>
      <w:r>
        <w:rPr>
          <w:rFonts w:ascii="Arial" w:cs="Arial" w:eastAsia="Arial" w:hAnsi="Arial"/>
          <w:sz w:val="17"/>
          <w:szCs w:val="17"/>
          <w:color w:val="auto"/>
        </w:rPr>
        <w:t>Certain federal tax legislation enacted during the period 2009 to 2017 permitted bonus first-year depreciation deductions ranging from 50%</w:t>
      </w:r>
      <w:r>
        <w:rPr>
          <w:rFonts w:ascii="Arial" w:cs="Arial" w:eastAsia="Arial" w:hAnsi="Arial"/>
          <w:sz w:val="17"/>
          <w:szCs w:val="17"/>
          <w:i w:val="1"/>
          <w:iCs w:val="1"/>
          <w:color w:val="auto"/>
        </w:rPr>
        <w:t xml:space="preserve"> </w:t>
      </w:r>
      <w:r>
        <w:rPr>
          <w:rFonts w:ascii="Arial" w:cs="Arial" w:eastAsia="Arial" w:hAnsi="Arial"/>
          <w:sz w:val="17"/>
          <w:szCs w:val="17"/>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$194 million for us in 2019. We estimate the remaining tax deferral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bonus depreciation from the Tax Act was approximately $239 million at December 31, 2019, of which approximately 78%, or $189 million, will reverse in 2020, and the majority of the remainder will reverse between 2021 and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8"/>
        </w:trPr>
        <w:tc>
          <w:tcPr>
            <w:tcW w:w="48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24"/>
        </w:trPr>
        <w:tc>
          <w:tcPr>
            <w:tcW w:w="48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Customer stolen merchandise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37,110</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110,299</w:t>
            </w:r>
          </w:p>
        </w:tc>
      </w:tr>
      <w:tr>
        <w:trPr>
          <w:trHeight w:val="230"/>
        </w:trPr>
        <w:tc>
          <w:tcPr>
            <w:tcW w:w="4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merchandise losses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19,080</w:t>
            </w:r>
          </w:p>
        </w:tc>
      </w:tr>
      <w:tr>
        <w:trPr>
          <w:trHeight w:val="248"/>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merchandise losses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43,886</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129,379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3"/>
          <w:szCs w:val="13"/>
          <w:color w:val="auto"/>
        </w:rPr>
        <w:t>Includes incremental losses related to COVID-19</w:t>
      </w:r>
    </w:p>
    <w:p>
      <w:pPr>
        <w:ind w:left="160" w:hanging="152"/>
        <w:spacing w:after="0" w:line="195" w:lineRule="auto"/>
        <w:tabs>
          <w:tab w:leader="none" w:pos="16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We make capital expenditures in order to maintain our existing operations, acquire new capital assets in new and acquired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information technology. We spent $22.6 million and $12.0 million on capital expenditures during the nine months ended September 30, 2020 and 2019,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and New Location Openings. </w:t>
      </w:r>
      <w:r>
        <w:rPr>
          <w:rFonts w:ascii="Arial" w:cs="Arial" w:eastAsia="Arial" w:hAnsi="Arial"/>
          <w:sz w:val="18"/>
          <w:szCs w:val="18"/>
          <w:color w:val="auto"/>
        </w:rPr>
        <w:t>During the first nine months of 2020, we acquired two rent-to-own store locations and customer accounts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purchase price of approximately $0.7 million in two separate transactions. The store locations were closed upon acquisition and consolidated into existing store operations in our Rent-A-Center Business segment.</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table below summarizes the store location activity for the nine-month period ended September 30, 2020 for our Rent-A-Center Business, Mexico and Franchising operating segments.</w:t>
      </w:r>
    </w:p>
    <w:tbl>
      <w:tblPr>
        <w:tblLayout w:type="fixed"/>
        <w:tblInd w:w="0" w:type="dxa"/>
        <w:tblCellMar>
          <w:top w:w="0" w:type="dxa"/>
          <w:left w:w="0" w:type="dxa"/>
          <w:bottom w:w="0" w:type="dxa"/>
          <w:right w:w="0" w:type="dxa"/>
        </w:tblCellMar>
      </w:tblPr>
      <w:tr>
        <w:trPr>
          <w:trHeight w:val="144"/>
        </w:trPr>
        <w:tc>
          <w:tcPr>
            <w:tcW w:w="5580" w:type="dxa"/>
            <w:vAlign w:val="bottom"/>
          </w:tcPr>
          <w:p>
            <w:pPr>
              <w:spacing w:after="0"/>
              <w:rPr>
                <w:sz w:val="12"/>
                <w:szCs w:val="12"/>
                <w:color w:val="auto"/>
              </w:rPr>
            </w:pPr>
          </w:p>
        </w:tc>
        <w:tc>
          <w:tcPr>
            <w:tcW w:w="14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Rent-A-Center</w:t>
            </w:r>
          </w:p>
        </w:tc>
        <w:tc>
          <w:tcPr>
            <w:tcW w:w="14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Mexico</w:t>
            </w:r>
          </w:p>
        </w:tc>
        <w:tc>
          <w:tcPr>
            <w:tcW w:w="14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Franchising</w:t>
            </w:r>
          </w:p>
        </w:tc>
        <w:tc>
          <w:tcPr>
            <w:tcW w:w="13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Business</w:t>
            </w:r>
          </w:p>
        </w:tc>
        <w:tc>
          <w:tcPr>
            <w:tcW w:w="14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beginning of period</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New location openings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Closed locations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Merged with existing locations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Sold or closed with no surviving location</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end of period</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As discussed in Note 7 to the condensed consolidated financial statements included in Part I, Item I of this Quarterly Report on Form 10-Q, in</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2019, we completed the refinancing of our prior revolving facility and, effective August 5, 2019, redeemed in full our unsecured senior notes using cash on hand and proceeds from our new $300 million ABL Credit Facility and $200 million from a new term loan under our ABL Credit Agreement. We may use, subject to certain limitations and borrowing availability, $150 million under our ABL Credit Agreement for the issuance of letters of credit, of which $90.7 million, primarily relating to workers compensation, had been so utilized as of October 22, 2020. The ABL Credit Agreement has a scheduled maturity date of August 5, 2024.</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Store Leases</w:t>
      </w:r>
      <w:r>
        <w:rPr>
          <w:rFonts w:ascii="Arial" w:cs="Arial" w:eastAsia="Arial" w:hAnsi="Arial"/>
          <w:sz w:val="16"/>
          <w:szCs w:val="16"/>
          <w:color w:val="auto"/>
        </w:rPr>
        <w:t>. We lease space for all of our Rent-A-Center Business and Mexico stores under operating leases expiring at various times through 2027.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i w:val="1"/>
          <w:iCs w:val="1"/>
          <w:color w:val="auto"/>
        </w:rPr>
        <w:t>Contractual Cash Commitments</w:t>
      </w:r>
      <w:r>
        <w:rPr>
          <w:rFonts w:ascii="Arial" w:cs="Arial" w:eastAsia="Arial" w:hAnsi="Arial"/>
          <w:sz w:val="16"/>
          <w:szCs w:val="16"/>
          <w:color w:val="auto"/>
        </w:rPr>
        <w:t>. The table below summarizes debt, lease and other minimum cash obligations outstanding as of September 30,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3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2023-2024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14"/>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34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Term Loan</w:t>
            </w:r>
            <w:r>
              <w:rPr>
                <w:rFonts w:ascii="Arial" w:cs="Arial" w:eastAsia="Arial" w:hAnsi="Arial"/>
                <w:sz w:val="23"/>
                <w:szCs w:val="23"/>
                <w:color w:val="auto"/>
                <w:vertAlign w:val="superscript"/>
              </w:rPr>
              <w:t>(1)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189,500</w:t>
            </w:r>
          </w:p>
        </w:tc>
      </w:tr>
      <w:tr>
        <w:trPr>
          <w:trHeight w:val="229"/>
        </w:trPr>
        <w:tc>
          <w:tcPr>
            <w:tcW w:w="3460" w:type="dxa"/>
            <w:vAlign w:val="bottom"/>
          </w:tcPr>
          <w:p>
            <w:pPr>
              <w:ind w:left="20"/>
              <w:spacing w:after="0" w:line="230" w:lineRule="exact"/>
              <w:rPr>
                <w:sz w:val="20"/>
                <w:szCs w:val="20"/>
                <w:color w:val="auto"/>
              </w:rPr>
            </w:pPr>
            <w:r>
              <w:rPr>
                <w:rFonts w:ascii="Arial" w:cs="Arial" w:eastAsia="Arial" w:hAnsi="Arial"/>
                <w:sz w:val="18"/>
                <w:szCs w:val="18"/>
                <w:color w:val="auto"/>
              </w:rPr>
              <w:t>ABL Credit Agreement</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34,289</w:t>
            </w:r>
          </w:p>
        </w:tc>
      </w:tr>
      <w:tr>
        <w:trPr>
          <w:trHeight w:val="223"/>
        </w:trPr>
        <w:tc>
          <w:tcPr>
            <w:tcW w:w="3460" w:type="dxa"/>
            <w:vAlign w:val="bottom"/>
          </w:tcPr>
          <w:p>
            <w:pPr>
              <w:ind w:left="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223,789</w:t>
            </w:r>
          </w:p>
        </w:tc>
      </w:tr>
      <w:tr>
        <w:trPr>
          <w:trHeight w:val="21"/>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Does not include interest payments. Our Term Loan bears interest at varying rates equal to the Eurodollar rate plus 4.50%. The Eurodollar rate on our Term Loan at September 30, 2020, was 4.69%.</w:t>
      </w:r>
    </w:p>
    <w:p>
      <w:pPr>
        <w:ind w:left="160" w:hanging="152"/>
        <w:spacing w:after="0" w:line="221" w:lineRule="auto"/>
        <w:tabs>
          <w:tab w:leader="none" w:pos="160"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Our ABL Credit Agreement bears interest at varying rates equal to the Eurodollar rate plus 1.50% to 2.00%. The weighted average Eurodollar rate on our ABL Credit Agreement at September 30, 2020, was 1.69%.</w:t>
      </w:r>
    </w:p>
    <w:p>
      <w:pPr>
        <w:ind w:left="180" w:hanging="172"/>
        <w:spacing w:after="0" w:line="214" w:lineRule="auto"/>
        <w:tabs>
          <w:tab w:leader="none" w:pos="167"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As of September 30, 2020, we have recorded $24.1 million in uncertain tax positions. Because of the uncertainty of the amounts to be ultimately paid as well as the timing of such payments, uncertain tax positions are not reflected in the contractual obligations table.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rental purchase agreements or purchase pre-leased merchandise off the showroom floor during the first quarter of each fiscal year, primarily due to the receipt of federal income tax refunds. Furthermore, we tend to experience slower growth in the number of rental purchase agreements in the third quarter of each fiscal year when compared to other quarters throughout the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various aspects related to accounting for income taxes. The standard removes certain exceptions to the general principles in Topic 740 and also clarifies and amends existing guidance to improve consistent application. The adoption of ASU 2019-12 will be required for us beginning January 1, 2021. We do not believe this ASU will have a material impact on our financial statements upon adoption.</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we had $198.0 million outstanding under our term loan credit agreement at interest rates indexed to the Eurodollar rate or the prime rate. Carrying value approximates fair value for this indebtedness.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debt with variable interest rates indexed to prime or Eurodollar rates that exposes us to the risk of increased interest costs if interest rates rise. As of September 30, 2020, we have not entered into any interest rate swap agreements. Based on our overall interest rate exposure at September 30, 2020, a hypothetical 1.0% increase or decrease in market interest rates would have the effect of causing an additional $2.0 million annualized pre-tax charge or credit to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In accordance with Rule 13a-15(b) under the Securities Exchange Act of 1934, an evaluation was performed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September 30, 2020, our disclosure controls and procedures (as defined in Rules 13a–15(e) and 15d–15(e) under the Securities Exchange Act of 1934) were effective.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Changes in internal controls over financial reporting</w:t>
      </w:r>
      <w:r>
        <w:rPr>
          <w:rFonts w:ascii="Arial" w:cs="Arial" w:eastAsia="Arial" w:hAnsi="Arial"/>
          <w:sz w:val="18"/>
          <w:szCs w:val="18"/>
          <w:color w:val="auto"/>
        </w:rPr>
        <w:t>. For the quarter ended September 30, 2020, there have been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defined in Rule 13a-15(f) under the Securities Exchange Act of 1934) that, in the aggregate,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California Attorney General. </w:t>
      </w:r>
      <w:r>
        <w:rPr>
          <w:rFonts w:ascii="Arial" w:cs="Arial" w:eastAsia="Arial" w:hAnsi="Arial"/>
          <w:sz w:val="17"/>
          <w:szCs w:val="17"/>
          <w:color w:val="auto"/>
        </w:rPr>
        <w:t>The California Attorney General (“CAG”) previously issued an investigative subpoena seeking information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Acceptance Now business practices (now part of the Preferred Lease segment). The request for documents and information was sought in connection with a broader investigation of the lease-to-own industry in California. Since receiving such demand, we have cooperated with the CAG in connection with its investigation and made several productions of requested documents. In March 2020, the CAG put forth proposed settlement terms to address alleged violations of California law. After several rounds of negotiations, in September 2020, the CAG proposed revised terms. In both cases, the proposed settlement terms include civil penalties, disgorgement of certain revenues, additional training requirements, and recommended changes to Acceptance Now business practices. We believe that our business practices are in compliance with California law and are continuing to discuss resolution of the inquiry with the CAG. At this point, while we cannot predict the ultimate outcome, we do not believe any such outcome will have a material impact on our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have been no material changes to the risk factors disclosed in Item 1A of Part 1, "Risk Factors" of our Annual Report on Form 10-K for the year ended December 31, 2019 and in Item 1A of Part II, "Risk Factors" of our Quarterly Report on Form 10-Q for the quarter ended March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information with respect to purchases of our common stock the Company made during the three months ended September 30, 2020:</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720" w:type="dxa"/>
            <w:vAlign w:val="bottom"/>
            <w:gridSpan w:val="2"/>
          </w:tcPr>
          <w:p>
            <w:pPr>
              <w:jc w:val="center"/>
              <w:ind w:right="206"/>
              <w:spacing w:after="0"/>
              <w:rPr>
                <w:sz w:val="20"/>
                <w:szCs w:val="20"/>
                <w:color w:val="auto"/>
              </w:rPr>
            </w:pPr>
            <w:r>
              <w:rPr>
                <w:rFonts w:ascii="Arial" w:cs="Arial" w:eastAsia="Arial" w:hAnsi="Arial"/>
                <w:sz w:val="14"/>
                <w:szCs w:val="14"/>
                <w:b w:val="1"/>
                <w:bCs w:val="1"/>
                <w:color w:val="auto"/>
                <w:w w:val="94"/>
              </w:rPr>
              <w:t>Maximum dollar value of shares</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800" w:type="dxa"/>
            <w:vAlign w:val="bottom"/>
            <w:vMerge w:val="restart"/>
          </w:tcPr>
          <w:p>
            <w:pPr>
              <w:jc w:val="center"/>
              <w:ind w:left="526"/>
              <w:spacing w:after="0"/>
              <w:rPr>
                <w:sz w:val="20"/>
                <w:szCs w:val="20"/>
                <w:color w:val="auto"/>
              </w:rPr>
            </w:pPr>
            <w:r>
              <w:rPr>
                <w:rFonts w:ascii="Arial" w:cs="Arial" w:eastAsia="Arial" w:hAnsi="Arial"/>
                <w:sz w:val="14"/>
                <w:szCs w:val="14"/>
                <w:b w:val="1"/>
                <w:bCs w:val="1"/>
                <w:color w:val="auto"/>
                <w:w w:val="93"/>
              </w:rPr>
              <w:t>Total Number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520" w:type="dxa"/>
            <w:vAlign w:val="bottom"/>
            <w:vMerge w:val="restart"/>
          </w:tcPr>
          <w:p>
            <w:pPr>
              <w:jc w:val="center"/>
              <w:ind w:right="126"/>
              <w:spacing w:after="0"/>
              <w:rPr>
                <w:sz w:val="20"/>
                <w:szCs w:val="20"/>
                <w:color w:val="auto"/>
              </w:rPr>
            </w:pPr>
            <w:r>
              <w:rPr>
                <w:rFonts w:ascii="Arial" w:cs="Arial" w:eastAsia="Arial" w:hAnsi="Arial"/>
                <w:sz w:val="14"/>
                <w:szCs w:val="14"/>
                <w:b w:val="1"/>
                <w:bCs w:val="1"/>
                <w:color w:val="auto"/>
                <w:w w:val="90"/>
              </w:rPr>
              <w:t>Total number of shares purchased</w:t>
            </w:r>
          </w:p>
        </w:tc>
        <w:tc>
          <w:tcPr>
            <w:tcW w:w="2720" w:type="dxa"/>
            <w:vAlign w:val="bottom"/>
            <w:gridSpan w:val="2"/>
          </w:tcPr>
          <w:p>
            <w:pPr>
              <w:jc w:val="center"/>
              <w:ind w:right="206"/>
              <w:spacing w:after="0" w:line="135" w:lineRule="exact"/>
              <w:rPr>
                <w:sz w:val="20"/>
                <w:szCs w:val="20"/>
                <w:color w:val="auto"/>
              </w:rPr>
            </w:pPr>
            <w:r>
              <w:rPr>
                <w:rFonts w:ascii="Arial" w:cs="Arial" w:eastAsia="Arial" w:hAnsi="Arial"/>
                <w:sz w:val="14"/>
                <w:szCs w:val="14"/>
                <w:b w:val="1"/>
                <w:bCs w:val="1"/>
                <w:color w:val="auto"/>
                <w:w w:val="92"/>
              </w:rPr>
              <w:t>that may yet be purchased under</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2"/>
              </w:rPr>
              <w:t>Average Price</w:t>
            </w:r>
          </w:p>
        </w:tc>
        <w:tc>
          <w:tcPr>
            <w:tcW w:w="25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340" w:type="dxa"/>
            <w:vAlign w:val="bottom"/>
          </w:tcPr>
          <w:p>
            <w:pPr>
              <w:jc w:val="center"/>
              <w:ind w:right="586"/>
              <w:spacing w:after="0" w:line="135" w:lineRule="exact"/>
              <w:rPr>
                <w:sz w:val="20"/>
                <w:szCs w:val="20"/>
                <w:color w:val="auto"/>
              </w:rPr>
            </w:pPr>
            <w:r>
              <w:rPr>
                <w:rFonts w:ascii="Arial" w:cs="Arial" w:eastAsia="Arial" w:hAnsi="Arial"/>
                <w:sz w:val="14"/>
                <w:szCs w:val="14"/>
                <w:b w:val="1"/>
                <w:bCs w:val="1"/>
                <w:color w:val="auto"/>
                <w:w w:val="90"/>
              </w:rPr>
              <w:t>publicly</w:t>
            </w:r>
          </w:p>
        </w:tc>
        <w:tc>
          <w:tcPr>
            <w:tcW w:w="0" w:type="dxa"/>
            <w:vAlign w:val="bottom"/>
          </w:tcPr>
          <w:p>
            <w:pPr>
              <w:spacing w:after="0"/>
              <w:rPr>
                <w:sz w:val="1"/>
                <w:szCs w:val="1"/>
                <w:color w:val="auto"/>
              </w:rPr>
            </w:pPr>
          </w:p>
        </w:tc>
      </w:tr>
      <w:tr>
        <w:trPr>
          <w:trHeight w:val="135"/>
        </w:trPr>
        <w:tc>
          <w:tcPr>
            <w:tcW w:w="294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Period</w:t>
            </w:r>
          </w:p>
        </w:tc>
        <w:tc>
          <w:tcPr>
            <w:tcW w:w="1800" w:type="dxa"/>
            <w:vAlign w:val="bottom"/>
          </w:tcPr>
          <w:p>
            <w:pPr>
              <w:jc w:val="center"/>
              <w:ind w:left="526"/>
              <w:spacing w:after="0" w:line="135"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520" w:type="dxa"/>
            <w:vAlign w:val="bottom"/>
          </w:tcPr>
          <w:p>
            <w:pPr>
              <w:jc w:val="center"/>
              <w:ind w:right="146"/>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380" w:type="dxa"/>
            <w:vAlign w:val="bottom"/>
          </w:tcPr>
          <w:p>
            <w:pPr>
              <w:spacing w:after="0"/>
              <w:rPr>
                <w:sz w:val="11"/>
                <w:szCs w:val="11"/>
                <w:color w:val="auto"/>
              </w:rPr>
            </w:pPr>
          </w:p>
        </w:tc>
        <w:tc>
          <w:tcPr>
            <w:tcW w:w="2340" w:type="dxa"/>
            <w:vAlign w:val="bottom"/>
          </w:tcPr>
          <w:p>
            <w:pPr>
              <w:jc w:val="center"/>
              <w:ind w:right="586"/>
              <w:spacing w:after="0" w:line="135" w:lineRule="exact"/>
              <w:rPr>
                <w:sz w:val="20"/>
                <w:szCs w:val="20"/>
                <w:color w:val="auto"/>
              </w:rPr>
            </w:pPr>
            <w:r>
              <w:rPr>
                <w:rFonts w:ascii="Arial" w:cs="Arial" w:eastAsia="Arial" w:hAnsi="Arial"/>
                <w:sz w:val="14"/>
                <w:szCs w:val="14"/>
                <w:b w:val="1"/>
                <w:bCs w:val="1"/>
                <w:color w:val="auto"/>
                <w:w w:val="90"/>
              </w:rPr>
              <w:t>announced plans or</w:t>
            </w:r>
          </w:p>
        </w:tc>
        <w:tc>
          <w:tcPr>
            <w:tcW w:w="0" w:type="dxa"/>
            <w:vAlign w:val="bottom"/>
          </w:tcPr>
          <w:p>
            <w:pPr>
              <w:spacing w:after="0"/>
              <w:rPr>
                <w:sz w:val="1"/>
                <w:szCs w:val="1"/>
                <w:color w:val="auto"/>
              </w:rPr>
            </w:pPr>
          </w:p>
        </w:tc>
      </w:tr>
      <w:tr>
        <w:trPr>
          <w:trHeight w:val="188"/>
        </w:trPr>
        <w:tc>
          <w:tcPr>
            <w:tcW w:w="2940" w:type="dxa"/>
            <w:vAlign w:val="bottom"/>
            <w:vMerge w:val="continue"/>
          </w:tcPr>
          <w:p>
            <w:pPr>
              <w:spacing w:after="0"/>
              <w:rPr>
                <w:sz w:val="16"/>
                <w:szCs w:val="16"/>
                <w:color w:val="auto"/>
              </w:rPr>
            </w:pPr>
          </w:p>
        </w:tc>
        <w:tc>
          <w:tcPr>
            <w:tcW w:w="1800" w:type="dxa"/>
            <w:vAlign w:val="bottom"/>
          </w:tcPr>
          <w:p>
            <w:pPr>
              <w:jc w:val="center"/>
              <w:ind w:left="526"/>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Paid per Share</w:t>
            </w:r>
          </w:p>
        </w:tc>
        <w:tc>
          <w:tcPr>
            <w:tcW w:w="2520" w:type="dxa"/>
            <w:vAlign w:val="bottom"/>
          </w:tcPr>
          <w:p>
            <w:pPr>
              <w:jc w:val="center"/>
              <w:ind w:right="146"/>
              <w:spacing w:after="0"/>
              <w:rPr>
                <w:sz w:val="20"/>
                <w:szCs w:val="20"/>
                <w:color w:val="auto"/>
              </w:rPr>
            </w:pPr>
            <w:r>
              <w:rPr>
                <w:rFonts w:ascii="Arial" w:cs="Arial" w:eastAsia="Arial" w:hAnsi="Arial"/>
                <w:sz w:val="14"/>
                <w:szCs w:val="14"/>
                <w:b w:val="1"/>
                <w:bCs w:val="1"/>
                <w:color w:val="auto"/>
                <w:w w:val="92"/>
              </w:rPr>
              <w:t>plans or programs</w:t>
            </w:r>
          </w:p>
        </w:tc>
        <w:tc>
          <w:tcPr>
            <w:tcW w:w="380" w:type="dxa"/>
            <w:vAlign w:val="bottom"/>
          </w:tcPr>
          <w:p>
            <w:pPr>
              <w:spacing w:after="0"/>
              <w:rPr>
                <w:sz w:val="16"/>
                <w:szCs w:val="16"/>
                <w:color w:val="auto"/>
              </w:rPr>
            </w:pPr>
          </w:p>
        </w:tc>
        <w:tc>
          <w:tcPr>
            <w:tcW w:w="2340" w:type="dxa"/>
            <w:vAlign w:val="bottom"/>
          </w:tcPr>
          <w:p>
            <w:pPr>
              <w:jc w:val="center"/>
              <w:ind w:right="586"/>
              <w:spacing w:after="0"/>
              <w:rPr>
                <w:sz w:val="20"/>
                <w:szCs w:val="20"/>
                <w:color w:val="auto"/>
              </w:rPr>
            </w:pPr>
            <w:r>
              <w:rPr>
                <w:rFonts w:ascii="Arial" w:cs="Arial" w:eastAsia="Arial" w:hAnsi="Arial"/>
                <w:sz w:val="14"/>
                <w:szCs w:val="14"/>
                <w:b w:val="1"/>
                <w:bCs w:val="1"/>
                <w:color w:val="auto"/>
                <w:w w:val="92"/>
              </w:rPr>
              <w:t>programs (</w:t>
            </w:r>
            <w:r>
              <w:rPr>
                <w:rFonts w:ascii="Arial" w:cs="Arial" w:eastAsia="Arial" w:hAnsi="Arial"/>
                <w:sz w:val="14"/>
                <w:szCs w:val="14"/>
                <w:b w:val="1"/>
                <w:bCs w:val="1"/>
                <w:i w:val="1"/>
                <w:iCs w:val="1"/>
                <w:color w:val="auto"/>
                <w:w w:val="92"/>
              </w:rPr>
              <w:t>in millions</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2020 - September 30, 2020</w:t>
            </w:r>
          </w:p>
        </w:tc>
        <w:tc>
          <w:tcPr>
            <w:tcW w:w="180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2,200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27.89</w:t>
            </w:r>
          </w:p>
        </w:tc>
        <w:tc>
          <w:tcPr>
            <w:tcW w:w="252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 xml:space="preserve">2,200  </w:t>
            </w:r>
            <w:r>
              <w:rPr>
                <w:rFonts w:ascii="Arial" w:cs="Arial" w:eastAsia="Arial" w:hAnsi="Arial"/>
                <w:sz w:val="10"/>
                <w:szCs w:val="10"/>
                <w:color w:val="auto"/>
              </w:rPr>
              <w:t>(1)</w:t>
            </w:r>
          </w:p>
        </w:tc>
        <w:tc>
          <w:tcPr>
            <w:tcW w:w="3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 xml:space="preserve">58.4  </w:t>
            </w:r>
            <w:r>
              <w:rPr>
                <w:rFonts w:ascii="Arial" w:cs="Arial" w:eastAsia="Arial" w:hAnsi="Arial"/>
                <w:sz w:val="10"/>
                <w:szCs w:val="10"/>
                <w:color w:val="auto"/>
              </w:rPr>
              <w:t>(1)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60" w:firstLine="8"/>
        <w:spacing w:after="0" w:line="280" w:lineRule="auto"/>
        <w:tabs>
          <w:tab w:leader="none" w:pos="127"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Shares repurchased pursuant to the share repurchase program publicly announced on May 11, 2020 that allows for the repurchase of an aggregate of up to $75.0 million of shares of our common stock through open market and privately negotiated transactions from time to time.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p>
      <w:pPr>
        <w:ind w:left="280"/>
        <w:spacing w:after="0"/>
        <w:tabs>
          <w:tab w:leader="none" w:pos="58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87"/>
              </w:rPr>
              <w:t>3.1</w:t>
            </w:r>
          </w:p>
        </w:tc>
        <w:tc>
          <w:tcPr>
            <w:tcW w:w="9920" w:type="dxa"/>
            <w:vAlign w:val="bottom"/>
            <w:gridSpan w:val="18"/>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Certificate of Incorporation of Rent-A-Center, Inc., as amended (incorporated herein by reference to Exhibit 3.1 to the registrant's</w:t>
              </w:r>
            </w:hyperlink>
          </w:p>
        </w:tc>
      </w:tr>
      <w:tr>
        <w:trPr>
          <w:trHeight w:val="156"/>
        </w:trPr>
        <w:tc>
          <w:tcPr>
            <w:tcW w:w="11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Current Report on Form 8-K dated as of December 31, 2002)</w:t>
              </w:r>
            </w:hyperlink>
          </w:p>
        </w:tc>
        <w:tc>
          <w:tcPr>
            <w:tcW w:w="54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87"/>
              </w:rPr>
              <w:t>3.2</w:t>
            </w:r>
          </w:p>
        </w:tc>
        <w:tc>
          <w:tcPr>
            <w:tcW w:w="9920" w:type="dxa"/>
            <w:vAlign w:val="bottom"/>
            <w:gridSpan w:val="18"/>
          </w:tcPr>
          <w:p>
            <w:pPr>
              <w:spacing w:after="0"/>
              <w:rPr>
                <w:rFonts w:ascii="Arial" w:cs="Arial" w:eastAsia="Arial" w:hAnsi="Arial"/>
                <w:sz w:val="18"/>
                <w:szCs w:val="18"/>
                <w:color w:val="0000FF"/>
                <w:w w:val="98"/>
              </w:rPr>
            </w:pPr>
            <w:hyperlink r:id="rId50">
              <w:r>
                <w:rPr>
                  <w:rFonts w:ascii="Arial" w:cs="Arial" w:eastAsia="Arial" w:hAnsi="Arial"/>
                  <w:sz w:val="18"/>
                  <w:szCs w:val="18"/>
                  <w:color w:val="0000FF"/>
                  <w:w w:val="98"/>
                </w:rPr>
                <w:t>Certificate of Amendment to the Certificate of Incorporation of Rent-A-Center, Inc., dated May 19, 2004 (incorporated herein by</w:t>
              </w:r>
            </w:hyperlink>
          </w:p>
        </w:tc>
      </w:tr>
      <w:tr>
        <w:trPr>
          <w:trHeight w:val="156"/>
        </w:trPr>
        <w:tc>
          <w:tcPr>
            <w:tcW w:w="110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reference to Exhibit 3.2 to the registrant's Quarterly Report on Form 10-Q for the quarter ended June 30, 2004)</w:t>
              </w:r>
            </w:hyperlink>
          </w:p>
        </w:tc>
        <w:tc>
          <w:tcPr>
            <w:tcW w:w="4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87"/>
              </w:rPr>
              <w:t>3.3</w:t>
            </w:r>
          </w:p>
        </w:tc>
        <w:tc>
          <w:tcPr>
            <w:tcW w:w="9920" w:type="dxa"/>
            <w:vAlign w:val="bottom"/>
            <w:gridSpan w:val="18"/>
          </w:tcPr>
          <w:p>
            <w:pPr>
              <w:spacing w:after="0"/>
              <w:rPr>
                <w:rFonts w:ascii="Arial" w:cs="Arial" w:eastAsia="Arial" w:hAnsi="Arial"/>
                <w:sz w:val="18"/>
                <w:szCs w:val="18"/>
                <w:color w:val="0000FF"/>
                <w:w w:val="97"/>
              </w:rPr>
            </w:pPr>
            <w:hyperlink r:id="rId51">
              <w:r>
                <w:rPr>
                  <w:rFonts w:ascii="Arial" w:cs="Arial" w:eastAsia="Arial" w:hAnsi="Arial"/>
                  <w:sz w:val="18"/>
                  <w:szCs w:val="18"/>
                  <w:color w:val="0000FF"/>
                  <w:w w:val="97"/>
                </w:rPr>
                <w:t>Amended and Restated Bylaws of Rent-A-Center, Inc. (incorporated herein by reference to Exhibit 3.1 to the registrant's Current</w:t>
              </w:r>
            </w:hyperlink>
          </w:p>
        </w:tc>
      </w:tr>
      <w:tr>
        <w:trPr>
          <w:trHeight w:val="156"/>
        </w:trPr>
        <w:tc>
          <w:tcPr>
            <w:tcW w:w="110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Report on Form 8-K dated as of September 28,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87"/>
              </w:rPr>
              <w:t>3.4</w:t>
            </w:r>
          </w:p>
        </w:tc>
        <w:tc>
          <w:tcPr>
            <w:tcW w:w="9920" w:type="dxa"/>
            <w:vAlign w:val="bottom"/>
            <w:gridSpan w:val="18"/>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Certificate of Designations of Series D Preferred Stock of Rent-A-Center, Inc. (incorporated herein by reference to Exhibit 3.1 to the</w:t>
              </w:r>
            </w:hyperlink>
          </w:p>
        </w:tc>
      </w:tr>
      <w:tr>
        <w:trPr>
          <w:trHeight w:val="155"/>
        </w:trPr>
        <w:tc>
          <w:tcPr>
            <w:tcW w:w="11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registrant's Current Report on Form 8-K dated as of March 29, 2017)</w:t>
              </w:r>
            </w:hyperlink>
          </w:p>
        </w:tc>
        <w:tc>
          <w:tcPr>
            <w:tcW w:w="488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7"/>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87"/>
              </w:rPr>
              <w:t>4.1</w:t>
            </w:r>
          </w:p>
        </w:tc>
        <w:tc>
          <w:tcPr>
            <w:tcW w:w="9920" w:type="dxa"/>
            <w:vAlign w:val="bottom"/>
            <w:gridSpan w:val="18"/>
          </w:tcPr>
          <w:p>
            <w:pPr>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Form of Certificate evidencing Common Stock (incorporated herein by reference to Exhibit 4.1 to the registrant's Current Report on</w:t>
              </w:r>
            </w:hyperlink>
          </w:p>
        </w:tc>
      </w:tr>
      <w:tr>
        <w:trPr>
          <w:trHeight w:val="156"/>
        </w:trPr>
        <w:tc>
          <w:tcPr>
            <w:tcW w:w="110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Form 10-Q for the quarter ended March 31, 2017)</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4"/>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31.1*</w:t>
            </w:r>
          </w:p>
        </w:tc>
        <w:tc>
          <w:tcPr>
            <w:tcW w:w="9920" w:type="dxa"/>
            <w:vAlign w:val="bottom"/>
            <w:gridSpan w:val="18"/>
          </w:tcPr>
          <w:p>
            <w:pPr>
              <w:spacing w:after="0"/>
              <w:rPr>
                <w:rFonts w:ascii="Arial" w:cs="Arial" w:eastAsia="Arial" w:hAnsi="Arial"/>
                <w:sz w:val="18"/>
                <w:szCs w:val="18"/>
                <w:color w:val="0000FF"/>
                <w:w w:val="93"/>
              </w:rPr>
            </w:pPr>
            <w:hyperlink w:anchor="page39">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6"/>
        </w:trPr>
        <w:tc>
          <w:tcPr>
            <w:tcW w:w="110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of 2002 by Mitchell E. Fadel</w:t>
              </w:r>
            </w:hyperlink>
          </w:p>
        </w:tc>
        <w:tc>
          <w:tcPr>
            <w:tcW w:w="8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1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31.2*</w:t>
            </w:r>
          </w:p>
        </w:tc>
        <w:tc>
          <w:tcPr>
            <w:tcW w:w="9920" w:type="dxa"/>
            <w:vAlign w:val="bottom"/>
            <w:gridSpan w:val="18"/>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5"/>
        </w:trPr>
        <w:tc>
          <w:tcPr>
            <w:tcW w:w="110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of 2002 by Maureen B. Short</w:t>
              </w:r>
            </w:hyperlink>
          </w:p>
        </w:tc>
        <w:tc>
          <w:tcPr>
            <w:tcW w:w="7720" w:type="dxa"/>
            <w:vAlign w:val="bottom"/>
            <w:tcBorders>
              <w:top w:val="single" w:sz="8" w:color="0000FF"/>
            </w:tcBorders>
            <w:gridSpan w:val="10"/>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32.1*</w:t>
            </w:r>
          </w:p>
        </w:tc>
        <w:tc>
          <w:tcPr>
            <w:tcW w:w="9920" w:type="dxa"/>
            <w:vAlign w:val="bottom"/>
            <w:gridSpan w:val="18"/>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pursuant to 18 U.S.C. Section 1350 as adopted pursuant to Section 906 of the Sarbanes-Oxley Act of 2002 by Mitchell E.</w:t>
              </w:r>
            </w:hyperlink>
          </w:p>
        </w:tc>
      </w:tr>
      <w:tr>
        <w:trPr>
          <w:trHeight w:val="156"/>
        </w:trPr>
        <w:tc>
          <w:tcPr>
            <w:tcW w:w="11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1">
              <w:r>
                <w:rPr>
                  <w:rFonts w:ascii="Arial" w:cs="Arial" w:eastAsia="Arial" w:hAnsi="Arial"/>
                  <w:sz w:val="18"/>
                  <w:szCs w:val="18"/>
                  <w:color w:val="0000FF"/>
                  <w:w w:val="88"/>
                </w:rPr>
                <w:t>Fadel</w:t>
              </w:r>
            </w:hyperlink>
          </w:p>
        </w:tc>
        <w:tc>
          <w:tcPr>
            <w:tcW w:w="9360" w:type="dxa"/>
            <w:vAlign w:val="bottom"/>
            <w:tcBorders>
              <w:top w:val="single" w:sz="8" w:color="0000FF"/>
            </w:tcBorders>
            <w:gridSpan w:val="9"/>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17"/>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32.2*</w:t>
            </w:r>
          </w:p>
        </w:tc>
        <w:tc>
          <w:tcPr>
            <w:tcW w:w="9920" w:type="dxa"/>
            <w:vAlign w:val="bottom"/>
            <w:gridSpan w:val="18"/>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pursuant to 18 U.S.C. Section 1350 as adopted pursuant to Section 906 of the Sarbanes-Oxley Act of 2002 by Maureen B.</w:t>
              </w:r>
            </w:hyperlink>
          </w:p>
        </w:tc>
      </w:tr>
      <w:tr>
        <w:trPr>
          <w:trHeight w:val="156"/>
        </w:trPr>
        <w:tc>
          <w:tcPr>
            <w:tcW w:w="11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2">
              <w:r>
                <w:rPr>
                  <w:rFonts w:ascii="Arial" w:cs="Arial" w:eastAsia="Arial" w:hAnsi="Arial"/>
                  <w:sz w:val="18"/>
                  <w:szCs w:val="18"/>
                  <w:color w:val="0000FF"/>
                  <w:w w:val="88"/>
                </w:rPr>
                <w:t>Short</w:t>
              </w:r>
            </w:hyperlink>
          </w:p>
        </w:tc>
        <w:tc>
          <w:tcPr>
            <w:tcW w:w="9360" w:type="dxa"/>
            <w:vAlign w:val="bottom"/>
            <w:tcBorders>
              <w:top w:val="single" w:sz="8" w:color="0000FF"/>
            </w:tcBorders>
            <w:gridSpan w:val="9"/>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04"/>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7"/>
              </w:rPr>
              <w:t>101.INS*</w:t>
            </w:r>
          </w:p>
        </w:tc>
        <w:tc>
          <w:tcPr>
            <w:tcW w:w="9920" w:type="dxa"/>
            <w:vAlign w:val="bottom"/>
            <w:gridSpan w:val="18"/>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files because its XBRL tags are embedded</w:t>
            </w:r>
          </w:p>
        </w:tc>
      </w:tr>
      <w:tr>
        <w:trPr>
          <w:trHeight w:val="230"/>
        </w:trPr>
        <w:tc>
          <w:tcPr>
            <w:tcW w:w="1100" w:type="dxa"/>
            <w:vAlign w:val="bottom"/>
          </w:tcPr>
          <w:p>
            <w:pPr>
              <w:spacing w:after="0"/>
              <w:rPr>
                <w:sz w:val="20"/>
                <w:szCs w:val="20"/>
                <w:color w:val="auto"/>
              </w:rPr>
            </w:pPr>
          </w:p>
        </w:tc>
        <w:tc>
          <w:tcPr>
            <w:tcW w:w="9920" w:type="dxa"/>
            <w:vAlign w:val="bottom"/>
            <w:gridSpan w:val="18"/>
          </w:tcPr>
          <w:p>
            <w:pPr>
              <w:spacing w:after="0"/>
              <w:rPr>
                <w:sz w:val="20"/>
                <w:szCs w:val="20"/>
                <w:color w:val="auto"/>
              </w:rPr>
            </w:pPr>
            <w:r>
              <w:rPr>
                <w:rFonts w:ascii="Arial" w:cs="Arial" w:eastAsia="Arial" w:hAnsi="Arial"/>
                <w:sz w:val="18"/>
                <w:szCs w:val="18"/>
                <w:color w:val="auto"/>
              </w:rPr>
              <w:t>within the inline XBRL document</w:t>
            </w:r>
          </w:p>
        </w:tc>
      </w:tr>
      <w:tr>
        <w:trPr>
          <w:trHeight w:val="337"/>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4"/>
              </w:rPr>
              <w:t>101.SCH*</w:t>
            </w:r>
          </w:p>
        </w:tc>
        <w:tc>
          <w:tcPr>
            <w:tcW w:w="992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8"/>
              </w:rPr>
              <w:t>101.CAL*</w:t>
            </w:r>
          </w:p>
        </w:tc>
        <w:tc>
          <w:tcPr>
            <w:tcW w:w="992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4"/>
              </w:rPr>
              <w:t>101.DEF*</w:t>
            </w:r>
          </w:p>
        </w:tc>
        <w:tc>
          <w:tcPr>
            <w:tcW w:w="992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9"/>
              </w:rPr>
              <w:t>101.LAB*</w:t>
            </w:r>
          </w:p>
        </w:tc>
        <w:tc>
          <w:tcPr>
            <w:tcW w:w="992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3"/>
              </w:rPr>
              <w:t>101.PRE*</w:t>
            </w:r>
          </w:p>
        </w:tc>
        <w:tc>
          <w:tcPr>
            <w:tcW w:w="992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7"/>
              </w:rPr>
              <w:t>104*</w:t>
            </w:r>
          </w:p>
        </w:tc>
        <w:tc>
          <w:tcPr>
            <w:tcW w:w="9920" w:type="dxa"/>
            <w:vAlign w:val="bottom"/>
            <w:gridSpan w:val="18"/>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bl>
    <w:p>
      <w:pPr>
        <w:spacing w:after="0" w:line="373"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RENT-A-CENTER, INC.</w:t>
      </w:r>
    </w:p>
    <w:p>
      <w:pPr>
        <w:spacing w:after="0" w:line="29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MAUREEN B. SHORT</w:t>
            </w:r>
          </w:p>
        </w:tc>
      </w:tr>
      <w:tr>
        <w:trPr>
          <w:trHeight w:val="222"/>
        </w:trPr>
        <w:tc>
          <w:tcPr>
            <w:tcW w:w="2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Maureen B. Short</w:t>
            </w:r>
          </w:p>
        </w:tc>
      </w:tr>
      <w:tr>
        <w:trPr>
          <w:trHeight w:val="230"/>
        </w:trPr>
        <w:tc>
          <w:tcPr>
            <w:tcW w:w="2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3"/>
              </w:rPr>
              <w:t>EVP, Chief Financial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03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Maureen B. Short, certify that:</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Maureen B. Short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355"/>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September 30, 2020,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October 30, 2020</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355"/>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September 30, 2020,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Maureen B. Short, Chief Financial Officer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Maureen B. Short</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Maureen B. Short</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October 30, 2020</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49" Type="http://schemas.openxmlformats.org/officeDocument/2006/relationships/hyperlink" Target="http://www.sec.gov/Archives/edgar/data/933036/000095013402016210/d02215exv3w1.txt" TargetMode="External"/><Relationship Id="rId50" Type="http://schemas.openxmlformats.org/officeDocument/2006/relationships/hyperlink" Target="http://www.sec.gov/Archives/edgar/data/933036/000095013404010948/d17068exv3w2.txt" TargetMode="External"/><Relationship Id="rId51" Type="http://schemas.openxmlformats.org/officeDocument/2006/relationships/hyperlink" Target="http://www.sec.gov/Archives/edgar/data/933036/000095012311087538/d84891exv3w1.htm" TargetMode="External"/><Relationship Id="rId52" Type="http://schemas.openxmlformats.org/officeDocument/2006/relationships/hyperlink" Target="http://www.sec.gov/Archives/edgar/data/933036/000093303617000022/exhibit31march282017america.htm" TargetMode="External"/><Relationship Id="rId53" Type="http://schemas.openxmlformats.org/officeDocument/2006/relationships/hyperlink" Target="http://www.sec.gov/Archives/edgar/data/933036/000093303617000033/ex-41_q1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2020-10-30T11:07:52Z</dcterms:created>
  <dcterms:modified xsi:type="dcterms:W3CDTF">2020-10-30T11:07:52Z</dcterms:modified>
</cp:coreProperties>
</file>